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theme/themeOverride1.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theme/themeOverride2.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theme/themeOverride3.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theme/themeOverride4.xml" ContentType="application/vnd.openxmlformats-officedocument.themeOverride+xml"/>
  <Override PartName="/word/drawings/drawing9.xml" ContentType="application/vnd.openxmlformats-officedocument.drawingml.chartshapes+xml"/>
  <Override PartName="/word/charts/chart10.xml" ContentType="application/vnd.openxmlformats-officedocument.drawingml.chart+xml"/>
  <Override PartName="/word/theme/themeOverride5.xml" ContentType="application/vnd.openxmlformats-officedocument.themeOverride+xml"/>
  <Override PartName="/word/drawings/drawing10.xml" ContentType="application/vnd.openxmlformats-officedocument.drawingml.chartshapes+xml"/>
  <Override PartName="/word/charts/chart11.xml" ContentType="application/vnd.openxmlformats-officedocument.drawingml.chart+xml"/>
  <Override PartName="/word/theme/themeOverride6.xml" ContentType="application/vnd.openxmlformats-officedocument.themeOverride+xml"/>
  <Override PartName="/word/drawings/drawing11.xml" ContentType="application/vnd.openxmlformats-officedocument.drawingml.chartshapes+xml"/>
  <Override PartName="/word/charts/chart12.xml" ContentType="application/vnd.openxmlformats-officedocument.drawingml.chart+xml"/>
  <Override PartName="/word/theme/themeOverride7.xml" ContentType="application/vnd.openxmlformats-officedocument.themeOverride+xml"/>
  <Override PartName="/word/drawings/drawing12.xml" ContentType="application/vnd.openxmlformats-officedocument.drawingml.chartshapes+xml"/>
  <Override PartName="/word/charts/chart13.xml" ContentType="application/vnd.openxmlformats-officedocument.drawingml.chart+xml"/>
  <Override PartName="/word/theme/themeOverride8.xml" ContentType="application/vnd.openxmlformats-officedocument.themeOverride+xml"/>
  <Override PartName="/word/drawings/drawing13.xml" ContentType="application/vnd.openxmlformats-officedocument.drawingml.chartshapes+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drawings/drawing14.xml" ContentType="application/vnd.openxmlformats-officedocument.drawingml.chartshapes+xml"/>
  <Override PartName="/word/charts/chart17.xml" ContentType="application/vnd.openxmlformats-officedocument.drawingml.chart+xml"/>
  <Override PartName="/word/theme/themeOverride9.xml" ContentType="application/vnd.openxmlformats-officedocument.themeOverride+xml"/>
  <Override PartName="/word/charts/chart18.xml" ContentType="application/vnd.openxmlformats-officedocument.drawingml.chart+xml"/>
  <Override PartName="/word/theme/themeOverride10.xml" ContentType="application/vnd.openxmlformats-officedocument.themeOverride+xml"/>
  <Override PartName="/word/drawings/drawing15.xml" ContentType="application/vnd.openxmlformats-officedocument.drawingml.chartshapes+xml"/>
  <Override PartName="/word/charts/chart19.xml" ContentType="application/vnd.openxmlformats-officedocument.drawingml.chart+xml"/>
  <Override PartName="/word/theme/themeOverride11.xml" ContentType="application/vnd.openxmlformats-officedocument.themeOverride+xml"/>
  <Override PartName="/word/drawings/drawing16.xml" ContentType="application/vnd.openxmlformats-officedocument.drawingml.chartshapes+xml"/>
  <Override PartName="/word/charts/chart20.xml" ContentType="application/vnd.openxmlformats-officedocument.drawingml.chart+xml"/>
  <Override PartName="/word/theme/themeOverride12.xml" ContentType="application/vnd.openxmlformats-officedocument.themeOverride+xml"/>
  <Override PartName="/word/drawings/drawing17.xml" ContentType="application/vnd.openxmlformats-officedocument.drawingml.chartshapes+xml"/>
  <Override PartName="/word/charts/chart21.xml" ContentType="application/vnd.openxmlformats-officedocument.drawingml.chart+xml"/>
  <Override PartName="/word/theme/themeOverride13.xml" ContentType="application/vnd.openxmlformats-officedocument.themeOverride+xml"/>
  <Override PartName="/word/drawings/drawing18.xml" ContentType="application/vnd.openxmlformats-officedocument.drawingml.chartshapes+xml"/>
  <Override PartName="/word/charts/chart22.xml" ContentType="application/vnd.openxmlformats-officedocument.drawingml.chart+xml"/>
  <Override PartName="/word/theme/themeOverride14.xml" ContentType="application/vnd.openxmlformats-officedocument.themeOverride+xml"/>
  <Override PartName="/word/drawings/drawing19.xml" ContentType="application/vnd.openxmlformats-officedocument.drawingml.chartshapes+xml"/>
  <Override PartName="/word/charts/chart23.xml" ContentType="application/vnd.openxmlformats-officedocument.drawingml.chart+xml"/>
  <Override PartName="/word/theme/themeOverride15.xml" ContentType="application/vnd.openxmlformats-officedocument.themeOverride+xml"/>
  <Override PartName="/word/drawings/drawing20.xml" ContentType="application/vnd.openxmlformats-officedocument.drawingml.chartshapes+xml"/>
  <Override PartName="/word/charts/chart24.xml" ContentType="application/vnd.openxmlformats-officedocument.drawingml.chart+xml"/>
  <Override PartName="/word/charts/chart25.xml" ContentType="application/vnd.openxmlformats-officedocument.drawingml.chart+xml"/>
  <Override PartName="/word/theme/themeOverride16.xml" ContentType="application/vnd.openxmlformats-officedocument.themeOverride+xml"/>
  <Override PartName="/word/charts/chart26.xml" ContentType="application/vnd.openxmlformats-officedocument.drawingml.chart+xml"/>
  <Override PartName="/word/theme/themeOverride17.xml" ContentType="application/vnd.openxmlformats-officedocument.themeOverride+xml"/>
  <Override PartName="/word/charts/chart27.xml" ContentType="application/vnd.openxmlformats-officedocument.drawingml.chart+xml"/>
  <Override PartName="/word/theme/themeOverride18.xml" ContentType="application/vnd.openxmlformats-officedocument.themeOverride+xml"/>
  <Override PartName="/word/drawings/drawing21.xml" ContentType="application/vnd.openxmlformats-officedocument.drawingml.chartshapes+xml"/>
  <Override PartName="/word/charts/chart28.xml" ContentType="application/vnd.openxmlformats-officedocument.drawingml.chart+xml"/>
  <Override PartName="/word/theme/themeOverride19.xml" ContentType="application/vnd.openxmlformats-officedocument.themeOverride+xml"/>
  <Override PartName="/word/charts/chart29.xml" ContentType="application/vnd.openxmlformats-officedocument.drawingml.chart+xml"/>
  <Override PartName="/word/theme/themeOverride20.xml" ContentType="application/vnd.openxmlformats-officedocument.themeOverride+xml"/>
  <Override PartName="/word/drawings/drawing22.xml" ContentType="application/vnd.openxmlformats-officedocument.drawingml.chartshapes+xml"/>
  <Override PartName="/word/charts/chart30.xml" ContentType="application/vnd.openxmlformats-officedocument.drawingml.chart+xml"/>
  <Override PartName="/word/theme/themeOverride21.xml" ContentType="application/vnd.openxmlformats-officedocument.themeOverride+xml"/>
  <Override PartName="/word/charts/chart31.xml" ContentType="application/vnd.openxmlformats-officedocument.drawingml.chart+xml"/>
  <Override PartName="/word/theme/themeOverride22.xml" ContentType="application/vnd.openxmlformats-officedocument.themeOverride+xml"/>
  <Override PartName="/word/charts/chart32.xml" ContentType="application/vnd.openxmlformats-officedocument.drawingml.chart+xml"/>
  <Override PartName="/word/theme/themeOverride23.xml" ContentType="application/vnd.openxmlformats-officedocument.themeOverride+xml"/>
  <Override PartName="/word/charts/chart33.xml" ContentType="application/vnd.openxmlformats-officedocument.drawingml.chart+xml"/>
  <Override PartName="/word/theme/themeOverride24.xml" ContentType="application/vnd.openxmlformats-officedocument.themeOverride+xml"/>
  <Override PartName="/word/drawings/drawing23.xml" ContentType="application/vnd.openxmlformats-officedocument.drawingml.chartshapes+xml"/>
  <Override PartName="/word/charts/chart34.xml" ContentType="application/vnd.openxmlformats-officedocument.drawingml.chart+xml"/>
  <Override PartName="/word/theme/themeOverride25.xml" ContentType="application/vnd.openxmlformats-officedocument.themeOverride+xml"/>
  <Override PartName="/word/drawings/drawing24.xml" ContentType="application/vnd.openxmlformats-officedocument.drawingml.chartshapes+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072" w:type="dxa"/>
        <w:tblLayout w:type="fixed"/>
        <w:tblCellMar>
          <w:left w:w="0" w:type="dxa"/>
          <w:right w:w="0" w:type="dxa"/>
        </w:tblCellMar>
        <w:tblLook w:val="0000" w:firstRow="0" w:lastRow="0" w:firstColumn="0" w:lastColumn="0" w:noHBand="0" w:noVBand="0"/>
      </w:tblPr>
      <w:tblGrid>
        <w:gridCol w:w="6350"/>
        <w:gridCol w:w="2722"/>
      </w:tblGrid>
      <w:tr w:rsidR="005C27DB" w:rsidTr="00204942">
        <w:trPr>
          <w:trHeight w:val="2353"/>
        </w:trPr>
        <w:tc>
          <w:tcPr>
            <w:tcW w:w="6350" w:type="dxa"/>
            <w:shd w:val="clear" w:color="auto" w:fill="auto"/>
          </w:tcPr>
          <w:p w:rsidR="005C27DB" w:rsidRPr="00A10E66" w:rsidRDefault="002934FA" w:rsidP="00204942">
            <w:pPr>
              <w:pStyle w:val="TableContents"/>
              <w:rPr>
                <w:b/>
              </w:rPr>
            </w:pPr>
            <w:bookmarkStart w:id="0" w:name="_GoBack"/>
            <w:bookmarkEnd w:id="0"/>
            <w:r>
              <w:rPr>
                <w:b/>
                <w:noProof/>
                <w:lang w:eastAsia="et-EE" w:bidi="ar-SA"/>
              </w:rPr>
              <w:drawing>
                <wp:anchor distT="0" distB="0" distL="114300" distR="114300" simplePos="0" relativeHeight="251666432" behindDoc="0" locked="0" layoutInCell="1" allowOverlap="1" wp14:anchorId="676E240E" wp14:editId="076A25E0">
                  <wp:simplePos x="0" y="0"/>
                  <wp:positionH relativeFrom="page">
                    <wp:posOffset>-460375</wp:posOffset>
                  </wp:positionH>
                  <wp:positionV relativeFrom="page">
                    <wp:posOffset>-154305</wp:posOffset>
                  </wp:positionV>
                  <wp:extent cx="2944800" cy="957600"/>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pollumaj_vapp_est_blac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4800" cy="957600"/>
                          </a:xfrm>
                          <a:prstGeom prst="rect">
                            <a:avLst/>
                          </a:prstGeom>
                        </pic:spPr>
                      </pic:pic>
                    </a:graphicData>
                  </a:graphic>
                  <wp14:sizeRelH relativeFrom="page">
                    <wp14:pctWidth>0</wp14:pctWidth>
                  </wp14:sizeRelH>
                  <wp14:sizeRelV relativeFrom="page">
                    <wp14:pctHeight>0</wp14:pctHeight>
                  </wp14:sizeRelV>
                </wp:anchor>
              </w:drawing>
            </w:r>
          </w:p>
        </w:tc>
        <w:tc>
          <w:tcPr>
            <w:tcW w:w="2722" w:type="dxa"/>
            <w:shd w:val="clear" w:color="auto" w:fill="auto"/>
          </w:tcPr>
          <w:p w:rsidR="009D3383" w:rsidRDefault="005C27DB" w:rsidP="00937973">
            <w:pPr>
              <w:pStyle w:val="AK"/>
            </w:pPr>
            <w:r>
              <w:t xml:space="preserve">Kinnitatud  põllumajandusministri </w:t>
            </w:r>
          </w:p>
          <w:p w:rsidR="00F848FA" w:rsidRDefault="002934FA" w:rsidP="00937973">
            <w:pPr>
              <w:pStyle w:val="AK"/>
            </w:pPr>
            <w:r w:rsidRPr="003B59B4">
              <w:rPr>
                <w:noProof/>
                <w:lang w:eastAsia="et-EE" w:bidi="ar-SA"/>
              </w:rPr>
              <mc:AlternateContent>
                <mc:Choice Requires="wps">
                  <w:drawing>
                    <wp:anchor distT="0" distB="0" distL="114300" distR="114300" simplePos="0" relativeHeight="251664384" behindDoc="0" locked="0" layoutInCell="1" allowOverlap="1" wp14:anchorId="0E3BAE5C" wp14:editId="229CCACD">
                      <wp:simplePos x="0" y="0"/>
                      <wp:positionH relativeFrom="column">
                        <wp:posOffset>353695</wp:posOffset>
                      </wp:positionH>
                      <wp:positionV relativeFrom="paragraph">
                        <wp:posOffset>493395</wp:posOffset>
                      </wp:positionV>
                      <wp:extent cx="1352550" cy="542925"/>
                      <wp:effectExtent l="0" t="0" r="0" b="0"/>
                      <wp:wrapNone/>
                      <wp:docPr id="9" name="Tekstiväli 2"/>
                      <wp:cNvGraphicFramePr/>
                      <a:graphic xmlns:a="http://schemas.openxmlformats.org/drawingml/2006/main">
                        <a:graphicData uri="http://schemas.microsoft.com/office/word/2010/wordprocessingShape">
                          <wps:wsp>
                            <wps:cNvSpPr txBox="1"/>
                            <wps:spPr>
                              <a:xfrm>
                                <a:off x="0" y="0"/>
                                <a:ext cx="1352550"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14C0" w:rsidRPr="00B916C1" w:rsidRDefault="00A514C0" w:rsidP="00E95653">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iväli 2" o:spid="_x0000_s1026" type="#_x0000_t202" style="position:absolute;left:0;text-align:left;margin-left:27.85pt;margin-top:38.85pt;width:106.5pt;height:42.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" filled="f" stroked="f" strokeweight=".5pt">
                      <v:textbox>
                        <w:txbxContent>
                          <w:p w:rsidR="00A514C0" w:rsidRPr="00B916C1" w:rsidRDefault="00A514C0" w:rsidP="00E95653">
                            <w:pPr>
                              <w:jc w:val="right"/>
                            </w:pPr>
                          </w:p>
                        </w:txbxContent>
                      </v:textbox>
                    </v:shape>
                  </w:pict>
                </mc:Fallback>
              </mc:AlternateContent>
            </w:r>
            <w:r w:rsidR="00FB2074">
              <w:t>16</w:t>
            </w:r>
            <w:r w:rsidR="0067582F">
              <w:t>.</w:t>
            </w:r>
            <w:r w:rsidR="007471A7">
              <w:t>10</w:t>
            </w:r>
            <w:r w:rsidR="005C27DB">
              <w:t>.2014 käskkirjaga n</w:t>
            </w:r>
            <w:r w:rsidR="00FB2074">
              <w:t>r 137</w:t>
            </w:r>
          </w:p>
          <w:p w:rsidR="00895F3B" w:rsidRDefault="00895F3B" w:rsidP="00937973">
            <w:pPr>
              <w:pStyle w:val="AK"/>
            </w:pPr>
          </w:p>
          <w:p w:rsidR="005C27DB" w:rsidRPr="00BC1A62" w:rsidRDefault="00F848FA" w:rsidP="00937973">
            <w:pPr>
              <w:pStyle w:val="AK"/>
            </w:pPr>
            <w:r>
              <w:t>Lisa 1</w:t>
            </w:r>
            <w:r w:rsidR="009D3383">
              <w:t xml:space="preserve">  </w:t>
            </w:r>
            <w:r w:rsidR="009D3383" w:rsidRPr="009D3383">
              <w:rPr>
                <w:color w:val="FFFFFF" w:themeColor="background1"/>
              </w:rPr>
              <w:t>x</w:t>
            </w:r>
            <w:r w:rsidR="009D3383">
              <w:t xml:space="preserve"> </w:t>
            </w:r>
          </w:p>
        </w:tc>
      </w:tr>
    </w:tbl>
    <w:p w:rsidR="009229BB" w:rsidRDefault="009229BB">
      <w:r>
        <w:tab/>
      </w:r>
    </w:p>
    <w:sdt>
      <w:sdtPr>
        <w:rPr>
          <w:rFonts w:asciiTheme="minorHAnsi" w:eastAsiaTheme="minorEastAsia" w:hAnsiTheme="minorHAnsi" w:cstheme="minorBidi"/>
          <w:b w:val="0"/>
          <w:kern w:val="0"/>
          <w:sz w:val="20"/>
          <w:szCs w:val="20"/>
          <w:lang w:eastAsia="et-EE" w:bidi="ar-SA"/>
        </w:rPr>
        <w:id w:val="-127394293"/>
        <w:docPartObj>
          <w:docPartGallery w:val="Cover Pages"/>
          <w:docPartUnique/>
        </w:docPartObj>
      </w:sdtPr>
      <w:sdtEndPr>
        <w:rPr>
          <w:rStyle w:val="IntenseReference"/>
          <w:b/>
          <w:bCs/>
          <w:i/>
          <w:iCs/>
          <w:caps/>
          <w:color w:val="AD0101" w:themeColor="accent1"/>
        </w:rPr>
      </w:sdtEndPr>
      <w:sdtContent>
        <w:p w:rsidR="00F031E1" w:rsidRDefault="00F031E1" w:rsidP="00D97A14">
          <w:pPr>
            <w:pStyle w:val="Liik"/>
          </w:pPr>
        </w:p>
        <w:p w:rsidR="00F031E1" w:rsidRDefault="00F031E1" w:rsidP="00D97A14">
          <w:pPr>
            <w:pStyle w:val="Liik"/>
          </w:pPr>
        </w:p>
        <w:p w:rsidR="00F031E1" w:rsidRDefault="00F031E1" w:rsidP="00D97A14">
          <w:pPr>
            <w:pStyle w:val="Liik"/>
          </w:pPr>
        </w:p>
        <w:p w:rsidR="00D97A14" w:rsidRPr="00D97A14" w:rsidRDefault="00D97A14" w:rsidP="00D97A14">
          <w:pPr>
            <w:pStyle w:val="Liik"/>
            <w:rPr>
              <w:b w:val="0"/>
            </w:rPr>
          </w:pPr>
          <w:r w:rsidRPr="00D97A14">
            <w:rPr>
              <w:b w:val="0"/>
            </w:rPr>
            <w:t>ARENGUKAVA</w:t>
          </w:r>
        </w:p>
        <w:p w:rsidR="00D97A14" w:rsidRDefault="00D97A14" w:rsidP="00D97A14">
          <w:pPr>
            <w:pStyle w:val="Liik"/>
          </w:pPr>
        </w:p>
        <w:p w:rsidR="00D97A14" w:rsidRPr="00D97A14" w:rsidRDefault="002067B2" w:rsidP="00D97A14">
          <w:pPr>
            <w:pStyle w:val="Liik"/>
            <w:ind w:left="6480" w:firstLine="720"/>
            <w:rPr>
              <w:b w:val="0"/>
            </w:rPr>
          </w:pPr>
          <w:r>
            <w:rPr>
              <w:b w:val="0"/>
            </w:rPr>
            <w:t xml:space="preserve">    </w:t>
          </w:r>
          <w:r w:rsidR="0067582F">
            <w:rPr>
              <w:b w:val="0"/>
            </w:rPr>
            <w:t>.</w:t>
          </w:r>
          <w:r w:rsidR="007471A7">
            <w:rPr>
              <w:b w:val="0"/>
            </w:rPr>
            <w:t>10</w:t>
          </w:r>
          <w:r w:rsidR="00D97A14" w:rsidRPr="00D97A14">
            <w:rPr>
              <w:b w:val="0"/>
            </w:rPr>
            <w:t>.2014</w:t>
          </w:r>
        </w:p>
        <w:p w:rsidR="00D97A14" w:rsidRDefault="00D97A14" w:rsidP="00D97A14">
          <w:pPr>
            <w:pStyle w:val="Liik"/>
          </w:pPr>
        </w:p>
        <w:p w:rsidR="00D97A14" w:rsidRDefault="00D97A14" w:rsidP="00D97A14">
          <w:pPr>
            <w:pStyle w:val="Liik"/>
          </w:pPr>
        </w:p>
        <w:p w:rsidR="00D97A14" w:rsidRDefault="00D97A14" w:rsidP="00D97A14">
          <w:pPr>
            <w:pStyle w:val="Liik"/>
          </w:pPr>
        </w:p>
        <w:p w:rsidR="00F031E1" w:rsidRDefault="00F031E1" w:rsidP="00D97A14">
          <w:pPr>
            <w:pStyle w:val="Liik"/>
            <w:rPr>
              <w:sz w:val="36"/>
              <w:szCs w:val="36"/>
            </w:rPr>
          </w:pPr>
        </w:p>
        <w:p w:rsidR="00F031E1" w:rsidRDefault="00F031E1" w:rsidP="00D97A14">
          <w:pPr>
            <w:pStyle w:val="Liik"/>
            <w:rPr>
              <w:sz w:val="36"/>
              <w:szCs w:val="36"/>
            </w:rPr>
          </w:pPr>
        </w:p>
        <w:p w:rsidR="00F031E1" w:rsidRDefault="00F031E1" w:rsidP="00D97A14">
          <w:pPr>
            <w:pStyle w:val="Liik"/>
            <w:rPr>
              <w:sz w:val="36"/>
              <w:szCs w:val="36"/>
            </w:rPr>
          </w:pPr>
        </w:p>
        <w:p w:rsidR="00D97A14" w:rsidRPr="006A038A" w:rsidRDefault="00D97A14" w:rsidP="00D97A14">
          <w:pPr>
            <w:pStyle w:val="Liik"/>
            <w:rPr>
              <w:sz w:val="36"/>
              <w:szCs w:val="36"/>
            </w:rPr>
          </w:pPr>
          <w:r w:rsidRPr="006A038A">
            <w:rPr>
              <w:sz w:val="36"/>
              <w:szCs w:val="36"/>
            </w:rPr>
            <w:t>Eesti teraviljasektori arengukava aastateks 2014</w:t>
          </w:r>
          <w:r w:rsidR="007E1C08" w:rsidRPr="003B59B4">
            <w:rPr>
              <w:b w:val="0"/>
              <w:sz w:val="36"/>
              <w:szCs w:val="36"/>
            </w:rPr>
            <w:t>–</w:t>
          </w:r>
          <w:r w:rsidRPr="006A038A">
            <w:rPr>
              <w:sz w:val="36"/>
              <w:szCs w:val="36"/>
            </w:rPr>
            <w:t>2020</w:t>
          </w:r>
        </w:p>
        <w:p w:rsidR="00D97A14" w:rsidRDefault="00D97A14" w:rsidP="00D97A14">
          <w:pPr>
            <w:pStyle w:val="Liik"/>
          </w:pPr>
        </w:p>
        <w:p w:rsidR="004B43BD" w:rsidRDefault="004B43BD"/>
        <w:p w:rsidR="004B43BD" w:rsidRDefault="00C80FD9">
          <w:pPr>
            <w:rPr>
              <w:rStyle w:val="IntenseReference"/>
              <w:rFonts w:ascii="Times New Roman" w:hAnsi="Times New Roman" w:cs="Times New Roman"/>
              <w:i w:val="0"/>
              <w:caps w:val="0"/>
              <w:spacing w:val="10"/>
              <w:kern w:val="28"/>
              <w:sz w:val="52"/>
              <w:szCs w:val="52"/>
            </w:rPr>
          </w:pPr>
        </w:p>
      </w:sdtContent>
    </w:sdt>
    <w:p w:rsidR="000E0B58" w:rsidRDefault="000E0B58">
      <w:pPr>
        <w:rPr>
          <w:b/>
          <w:bCs/>
          <w:caps/>
          <w:color w:val="FFFFFF" w:themeColor="background1"/>
          <w:spacing w:val="15"/>
          <w:sz w:val="32"/>
          <w:szCs w:val="32"/>
        </w:rPr>
      </w:pPr>
      <w:bookmarkStart w:id="1" w:name="_Toc384283936"/>
      <w:bookmarkStart w:id="2" w:name="_Toc384284047"/>
      <w:bookmarkStart w:id="3" w:name="_Toc384386241"/>
      <w:bookmarkStart w:id="4" w:name="_Toc384386453"/>
      <w:bookmarkStart w:id="5" w:name="_Toc384392319"/>
      <w:bookmarkStart w:id="6" w:name="_Toc385253750"/>
      <w:bookmarkStart w:id="7" w:name="_Toc385335122"/>
      <w:bookmarkStart w:id="8" w:name="_Toc389223868"/>
      <w:bookmarkStart w:id="9" w:name="_Toc389223930"/>
      <w:bookmarkStart w:id="10" w:name="_Toc391908861"/>
      <w:bookmarkStart w:id="11" w:name="_Toc391991795"/>
      <w:bookmarkStart w:id="12" w:name="_Toc397593015"/>
      <w:r>
        <w:rPr>
          <w:sz w:val="32"/>
          <w:szCs w:val="32"/>
        </w:rPr>
        <w:br w:type="page"/>
      </w:r>
    </w:p>
    <w:p w:rsidR="000977E1" w:rsidRPr="00617526" w:rsidRDefault="000977E1" w:rsidP="00617526">
      <w:pPr>
        <w:pStyle w:val="Heading1"/>
        <w:spacing w:line="276" w:lineRule="auto"/>
        <w:rPr>
          <w:b w:val="0"/>
          <w:sz w:val="32"/>
          <w:szCs w:val="32"/>
        </w:rPr>
      </w:pPr>
      <w:bookmarkStart w:id="13" w:name="_Toc398896311"/>
      <w:bookmarkStart w:id="14" w:name="_Toc400972823"/>
      <w:r w:rsidRPr="00617526">
        <w:rPr>
          <w:sz w:val="32"/>
          <w:szCs w:val="32"/>
        </w:rPr>
        <w:lastRenderedPageBreak/>
        <w:t>SISUKORD</w:t>
      </w:r>
      <w:bookmarkEnd w:id="1"/>
      <w:bookmarkEnd w:id="2"/>
      <w:bookmarkEnd w:id="3"/>
      <w:bookmarkEnd w:id="4"/>
      <w:bookmarkEnd w:id="5"/>
      <w:bookmarkEnd w:id="6"/>
      <w:bookmarkEnd w:id="7"/>
      <w:bookmarkEnd w:id="8"/>
      <w:bookmarkEnd w:id="9"/>
      <w:bookmarkEnd w:id="10"/>
      <w:bookmarkEnd w:id="11"/>
      <w:bookmarkEnd w:id="12"/>
      <w:bookmarkEnd w:id="13"/>
      <w:bookmarkEnd w:id="14"/>
    </w:p>
    <w:bookmarkStart w:id="15" w:name="_Toc389223869"/>
    <w:bookmarkStart w:id="16" w:name="_Toc364425063"/>
    <w:bookmarkStart w:id="17" w:name="_Toc369618500"/>
    <w:bookmarkStart w:id="18" w:name="_Toc369619389"/>
    <w:bookmarkStart w:id="19" w:name="_Toc369776424"/>
    <w:bookmarkStart w:id="20" w:name="_Toc369776633"/>
    <w:bookmarkStart w:id="21" w:name="_Toc371429800"/>
    <w:bookmarkStart w:id="22" w:name="_Toc371430303"/>
    <w:bookmarkStart w:id="23" w:name="_Toc371952744"/>
    <w:bookmarkStart w:id="24" w:name="_Toc372023087"/>
    <w:bookmarkStart w:id="25" w:name="_Toc372294681"/>
    <w:bookmarkStart w:id="26" w:name="_Toc374457354"/>
    <w:bookmarkStart w:id="27" w:name="_Toc378695176"/>
    <w:bookmarkStart w:id="28" w:name="_Toc378697805"/>
    <w:bookmarkStart w:id="29" w:name="_Toc378773252"/>
    <w:bookmarkStart w:id="30" w:name="_Toc379197433"/>
    <w:bookmarkStart w:id="31" w:name="_Toc379205471"/>
    <w:bookmarkStart w:id="32" w:name="_Toc379268167"/>
    <w:bookmarkStart w:id="33" w:name="_Toc379296742"/>
    <w:bookmarkStart w:id="34" w:name="_Toc379373451"/>
    <w:bookmarkStart w:id="35" w:name="_Toc379799835"/>
    <w:bookmarkStart w:id="36" w:name="_Toc381633577"/>
    <w:bookmarkStart w:id="37" w:name="_Toc381633722"/>
    <w:bookmarkStart w:id="38" w:name="_Toc384050890"/>
    <w:bookmarkStart w:id="39" w:name="_Toc384052594"/>
    <w:bookmarkStart w:id="40" w:name="_Toc384283937"/>
    <w:bookmarkStart w:id="41" w:name="_Toc384284048"/>
    <w:bookmarkStart w:id="42" w:name="_Toc384386242"/>
    <w:bookmarkStart w:id="43" w:name="_Toc384386454"/>
    <w:bookmarkStart w:id="44" w:name="_Toc384392320"/>
    <w:bookmarkStart w:id="45" w:name="_Toc385253751"/>
    <w:bookmarkStart w:id="46" w:name="_Toc385335123"/>
    <w:bookmarkStart w:id="47" w:name="_Toc389128788"/>
    <w:bookmarkStart w:id="48" w:name="_Toc389131335"/>
    <w:p w:rsidR="00A11558" w:rsidRPr="00A11558" w:rsidRDefault="00A11558">
      <w:pPr>
        <w:pStyle w:val="TOC1"/>
        <w:rPr>
          <w:b/>
          <w:noProof/>
          <w:sz w:val="22"/>
          <w:szCs w:val="22"/>
        </w:rPr>
      </w:pPr>
      <w:r>
        <w:rPr>
          <w:b/>
          <w:bCs/>
          <w:caps/>
        </w:rPr>
        <w:fldChar w:fldCharType="begin"/>
      </w:r>
      <w:r>
        <w:rPr>
          <w:b/>
          <w:bCs/>
          <w:caps/>
        </w:rPr>
        <w:instrText xml:space="preserve"> TOC \o "1-3" \h \z \u </w:instrText>
      </w:r>
      <w:r>
        <w:rPr>
          <w:b/>
          <w:bCs/>
          <w:caps/>
        </w:rPr>
        <w:fldChar w:fldCharType="separate"/>
      </w:r>
      <w:hyperlink w:anchor="_Toc400972823" w:history="1"/>
    </w:p>
    <w:p w:rsidR="00A11558" w:rsidRPr="00A11558" w:rsidRDefault="00C80FD9">
      <w:pPr>
        <w:pStyle w:val="TOC1"/>
        <w:rPr>
          <w:b/>
          <w:noProof/>
          <w:sz w:val="22"/>
          <w:szCs w:val="22"/>
        </w:rPr>
      </w:pPr>
      <w:hyperlink w:anchor="_Toc400972824" w:history="1">
        <w:r w:rsidR="00A11558" w:rsidRPr="00A11558">
          <w:rPr>
            <w:rStyle w:val="Hyperlink"/>
            <w:b/>
            <w:noProof/>
          </w:rPr>
          <w:t>Kasutatud lühendid</w:t>
        </w:r>
        <w:r w:rsidR="00A11558" w:rsidRPr="00A11558">
          <w:rPr>
            <w:b/>
            <w:noProof/>
            <w:webHidden/>
          </w:rPr>
          <w:tab/>
        </w:r>
        <w:r w:rsidR="00A11558" w:rsidRPr="00A11558">
          <w:rPr>
            <w:b/>
            <w:noProof/>
            <w:webHidden/>
          </w:rPr>
          <w:fldChar w:fldCharType="begin"/>
        </w:r>
        <w:r w:rsidR="00A11558" w:rsidRPr="00A11558">
          <w:rPr>
            <w:b/>
            <w:noProof/>
            <w:webHidden/>
          </w:rPr>
          <w:instrText xml:space="preserve"> PAGEREF _Toc400972824 \h </w:instrText>
        </w:r>
        <w:r w:rsidR="00A11558" w:rsidRPr="00A11558">
          <w:rPr>
            <w:b/>
            <w:noProof/>
            <w:webHidden/>
          </w:rPr>
        </w:r>
        <w:r w:rsidR="00A11558" w:rsidRPr="00A11558">
          <w:rPr>
            <w:b/>
            <w:noProof/>
            <w:webHidden/>
          </w:rPr>
          <w:fldChar w:fldCharType="separate"/>
        </w:r>
        <w:r w:rsidR="00586824">
          <w:rPr>
            <w:b/>
            <w:noProof/>
            <w:webHidden/>
          </w:rPr>
          <w:t>2</w:t>
        </w:r>
        <w:r w:rsidR="00A11558" w:rsidRPr="00A11558">
          <w:rPr>
            <w:b/>
            <w:noProof/>
            <w:webHidden/>
          </w:rPr>
          <w:fldChar w:fldCharType="end"/>
        </w:r>
      </w:hyperlink>
    </w:p>
    <w:p w:rsidR="00A11558" w:rsidRPr="00A11558" w:rsidRDefault="00C80FD9">
      <w:pPr>
        <w:pStyle w:val="TOC1"/>
        <w:rPr>
          <w:b/>
          <w:noProof/>
          <w:sz w:val="22"/>
          <w:szCs w:val="22"/>
        </w:rPr>
      </w:pPr>
      <w:hyperlink w:anchor="_Toc400972825" w:history="1">
        <w:r w:rsidR="00A11558" w:rsidRPr="00A11558">
          <w:rPr>
            <w:rStyle w:val="Hyperlink"/>
            <w:b/>
            <w:noProof/>
          </w:rPr>
          <w:t>Sissejuhatus</w:t>
        </w:r>
        <w:r w:rsidR="00A11558" w:rsidRPr="00A11558">
          <w:rPr>
            <w:b/>
            <w:noProof/>
            <w:webHidden/>
          </w:rPr>
          <w:tab/>
        </w:r>
        <w:r w:rsidR="00A11558" w:rsidRPr="00A11558">
          <w:rPr>
            <w:b/>
            <w:noProof/>
            <w:webHidden/>
          </w:rPr>
          <w:fldChar w:fldCharType="begin"/>
        </w:r>
        <w:r w:rsidR="00A11558" w:rsidRPr="00A11558">
          <w:rPr>
            <w:b/>
            <w:noProof/>
            <w:webHidden/>
          </w:rPr>
          <w:instrText xml:space="preserve"> PAGEREF _Toc400972825 \h </w:instrText>
        </w:r>
        <w:r w:rsidR="00A11558" w:rsidRPr="00A11558">
          <w:rPr>
            <w:b/>
            <w:noProof/>
            <w:webHidden/>
          </w:rPr>
        </w:r>
        <w:r w:rsidR="00A11558" w:rsidRPr="00A11558">
          <w:rPr>
            <w:b/>
            <w:noProof/>
            <w:webHidden/>
          </w:rPr>
          <w:fldChar w:fldCharType="separate"/>
        </w:r>
        <w:r w:rsidR="00586824">
          <w:rPr>
            <w:b/>
            <w:noProof/>
            <w:webHidden/>
          </w:rPr>
          <w:t>3</w:t>
        </w:r>
        <w:r w:rsidR="00A11558" w:rsidRPr="00A11558">
          <w:rPr>
            <w:b/>
            <w:noProof/>
            <w:webHidden/>
          </w:rPr>
          <w:fldChar w:fldCharType="end"/>
        </w:r>
      </w:hyperlink>
    </w:p>
    <w:p w:rsidR="00A11558" w:rsidRPr="00A11558" w:rsidRDefault="00C80FD9">
      <w:pPr>
        <w:pStyle w:val="TOC1"/>
        <w:tabs>
          <w:tab w:val="left" w:pos="709"/>
        </w:tabs>
        <w:rPr>
          <w:b/>
          <w:noProof/>
          <w:sz w:val="22"/>
          <w:szCs w:val="22"/>
        </w:rPr>
      </w:pPr>
      <w:hyperlink w:anchor="_Toc400972826" w:history="1">
        <w:r w:rsidR="00A11558" w:rsidRPr="00A11558">
          <w:rPr>
            <w:rStyle w:val="Hyperlink"/>
            <w:rFonts w:ascii="Times New Roman" w:hAnsi="Times New Roman" w:cs="Times New Roman"/>
            <w:b/>
            <w:noProof/>
          </w:rPr>
          <w:t>1.</w:t>
        </w:r>
        <w:r w:rsidR="00A11558" w:rsidRPr="00A11558">
          <w:rPr>
            <w:b/>
            <w:noProof/>
            <w:sz w:val="22"/>
            <w:szCs w:val="22"/>
          </w:rPr>
          <w:tab/>
        </w:r>
        <w:r w:rsidR="00A11558" w:rsidRPr="00A11558">
          <w:rPr>
            <w:rStyle w:val="Hyperlink"/>
            <w:rFonts w:ascii="Times New Roman" w:hAnsi="Times New Roman" w:cs="Times New Roman"/>
            <w:b/>
            <w:noProof/>
          </w:rPr>
          <w:t>Visioon</w:t>
        </w:r>
        <w:r w:rsidR="00A11558" w:rsidRPr="00A11558">
          <w:rPr>
            <w:b/>
            <w:noProof/>
            <w:webHidden/>
          </w:rPr>
          <w:tab/>
        </w:r>
        <w:r w:rsidR="00A11558" w:rsidRPr="00A11558">
          <w:rPr>
            <w:b/>
            <w:noProof/>
            <w:webHidden/>
          </w:rPr>
          <w:fldChar w:fldCharType="begin"/>
        </w:r>
        <w:r w:rsidR="00A11558" w:rsidRPr="00A11558">
          <w:rPr>
            <w:b/>
            <w:noProof/>
            <w:webHidden/>
          </w:rPr>
          <w:instrText xml:space="preserve"> PAGEREF _Toc400972826 \h </w:instrText>
        </w:r>
        <w:r w:rsidR="00A11558" w:rsidRPr="00A11558">
          <w:rPr>
            <w:b/>
            <w:noProof/>
            <w:webHidden/>
          </w:rPr>
        </w:r>
        <w:r w:rsidR="00A11558" w:rsidRPr="00A11558">
          <w:rPr>
            <w:b/>
            <w:noProof/>
            <w:webHidden/>
          </w:rPr>
          <w:fldChar w:fldCharType="separate"/>
        </w:r>
        <w:r w:rsidR="00586824">
          <w:rPr>
            <w:b/>
            <w:noProof/>
            <w:webHidden/>
          </w:rPr>
          <w:t>4</w:t>
        </w:r>
        <w:r w:rsidR="00A11558" w:rsidRPr="00A11558">
          <w:rPr>
            <w:b/>
            <w:noProof/>
            <w:webHidden/>
          </w:rPr>
          <w:fldChar w:fldCharType="end"/>
        </w:r>
      </w:hyperlink>
    </w:p>
    <w:p w:rsidR="00A11558" w:rsidRPr="00A11558" w:rsidRDefault="00C80FD9">
      <w:pPr>
        <w:pStyle w:val="TOC1"/>
        <w:tabs>
          <w:tab w:val="left" w:pos="709"/>
        </w:tabs>
        <w:rPr>
          <w:b/>
          <w:noProof/>
          <w:sz w:val="22"/>
          <w:szCs w:val="22"/>
        </w:rPr>
      </w:pPr>
      <w:hyperlink w:anchor="_Toc400972827" w:history="1">
        <w:r w:rsidR="00A11558" w:rsidRPr="00A11558">
          <w:rPr>
            <w:rStyle w:val="Hyperlink"/>
            <w:rFonts w:ascii="Times New Roman" w:hAnsi="Times New Roman"/>
            <w:b/>
            <w:noProof/>
          </w:rPr>
          <w:t>2.</w:t>
        </w:r>
        <w:r w:rsidR="00A11558" w:rsidRPr="00A11558">
          <w:rPr>
            <w:b/>
            <w:noProof/>
            <w:sz w:val="22"/>
            <w:szCs w:val="22"/>
          </w:rPr>
          <w:tab/>
        </w:r>
        <w:r w:rsidR="00A11558" w:rsidRPr="00A11558">
          <w:rPr>
            <w:rStyle w:val="Hyperlink"/>
            <w:rFonts w:ascii="Times New Roman" w:hAnsi="Times New Roman"/>
            <w:b/>
            <w:noProof/>
          </w:rPr>
          <w:t>Arengukava eesmärk</w:t>
        </w:r>
        <w:r w:rsidR="00A11558" w:rsidRPr="00A11558">
          <w:rPr>
            <w:b/>
            <w:noProof/>
            <w:webHidden/>
          </w:rPr>
          <w:tab/>
        </w:r>
        <w:r w:rsidR="00A11558" w:rsidRPr="00A11558">
          <w:rPr>
            <w:b/>
            <w:noProof/>
            <w:webHidden/>
          </w:rPr>
          <w:fldChar w:fldCharType="begin"/>
        </w:r>
        <w:r w:rsidR="00A11558" w:rsidRPr="00A11558">
          <w:rPr>
            <w:b/>
            <w:noProof/>
            <w:webHidden/>
          </w:rPr>
          <w:instrText xml:space="preserve"> PAGEREF _Toc400972827 \h </w:instrText>
        </w:r>
        <w:r w:rsidR="00A11558" w:rsidRPr="00A11558">
          <w:rPr>
            <w:b/>
            <w:noProof/>
            <w:webHidden/>
          </w:rPr>
        </w:r>
        <w:r w:rsidR="00A11558" w:rsidRPr="00A11558">
          <w:rPr>
            <w:b/>
            <w:noProof/>
            <w:webHidden/>
          </w:rPr>
          <w:fldChar w:fldCharType="separate"/>
        </w:r>
        <w:r w:rsidR="00586824">
          <w:rPr>
            <w:b/>
            <w:noProof/>
            <w:webHidden/>
          </w:rPr>
          <w:t>4</w:t>
        </w:r>
        <w:r w:rsidR="00A11558" w:rsidRPr="00A11558">
          <w:rPr>
            <w:b/>
            <w:noProof/>
            <w:webHidden/>
          </w:rPr>
          <w:fldChar w:fldCharType="end"/>
        </w:r>
      </w:hyperlink>
    </w:p>
    <w:p w:rsidR="00A11558" w:rsidRPr="00A11558" w:rsidRDefault="00C80FD9">
      <w:pPr>
        <w:pStyle w:val="TOC1"/>
        <w:tabs>
          <w:tab w:val="left" w:pos="709"/>
        </w:tabs>
        <w:rPr>
          <w:b/>
          <w:noProof/>
          <w:sz w:val="22"/>
          <w:szCs w:val="22"/>
        </w:rPr>
      </w:pPr>
      <w:hyperlink w:anchor="_Toc400972828" w:history="1">
        <w:r w:rsidR="00A11558" w:rsidRPr="00A11558">
          <w:rPr>
            <w:rStyle w:val="Hyperlink"/>
            <w:rFonts w:ascii="Times New Roman" w:hAnsi="Times New Roman" w:cs="Times New Roman"/>
            <w:b/>
            <w:noProof/>
          </w:rPr>
          <w:t>3.</w:t>
        </w:r>
        <w:r w:rsidR="00A11558" w:rsidRPr="00A11558">
          <w:rPr>
            <w:b/>
            <w:noProof/>
            <w:sz w:val="22"/>
            <w:szCs w:val="22"/>
          </w:rPr>
          <w:tab/>
        </w:r>
        <w:r w:rsidR="00A11558" w:rsidRPr="00A11558">
          <w:rPr>
            <w:rStyle w:val="Hyperlink"/>
            <w:rFonts w:ascii="Times New Roman" w:hAnsi="Times New Roman" w:cs="Times New Roman"/>
            <w:b/>
            <w:noProof/>
          </w:rPr>
          <w:t>Sektori tugevuste, nõrkuste, ohtude ja võimaluste analüüs (SWOT)</w:t>
        </w:r>
        <w:r w:rsidR="00A11558" w:rsidRPr="00A11558">
          <w:rPr>
            <w:b/>
            <w:noProof/>
            <w:webHidden/>
          </w:rPr>
          <w:tab/>
        </w:r>
        <w:r w:rsidR="00A11558" w:rsidRPr="00A11558">
          <w:rPr>
            <w:b/>
            <w:noProof/>
            <w:webHidden/>
          </w:rPr>
          <w:fldChar w:fldCharType="begin"/>
        </w:r>
        <w:r w:rsidR="00A11558" w:rsidRPr="00A11558">
          <w:rPr>
            <w:b/>
            <w:noProof/>
            <w:webHidden/>
          </w:rPr>
          <w:instrText xml:space="preserve"> PAGEREF _Toc400972828 \h </w:instrText>
        </w:r>
        <w:r w:rsidR="00A11558" w:rsidRPr="00A11558">
          <w:rPr>
            <w:b/>
            <w:noProof/>
            <w:webHidden/>
          </w:rPr>
        </w:r>
        <w:r w:rsidR="00A11558" w:rsidRPr="00A11558">
          <w:rPr>
            <w:b/>
            <w:noProof/>
            <w:webHidden/>
          </w:rPr>
          <w:fldChar w:fldCharType="separate"/>
        </w:r>
        <w:r w:rsidR="00586824">
          <w:rPr>
            <w:b/>
            <w:noProof/>
            <w:webHidden/>
          </w:rPr>
          <w:t>6</w:t>
        </w:r>
        <w:r w:rsidR="00A11558" w:rsidRPr="00A11558">
          <w:rPr>
            <w:b/>
            <w:noProof/>
            <w:webHidden/>
          </w:rPr>
          <w:fldChar w:fldCharType="end"/>
        </w:r>
      </w:hyperlink>
    </w:p>
    <w:p w:rsidR="00A11558" w:rsidRPr="00A11558" w:rsidRDefault="00C80FD9">
      <w:pPr>
        <w:pStyle w:val="TOC1"/>
        <w:tabs>
          <w:tab w:val="left" w:pos="709"/>
        </w:tabs>
        <w:rPr>
          <w:b/>
          <w:noProof/>
          <w:sz w:val="22"/>
          <w:szCs w:val="22"/>
        </w:rPr>
      </w:pPr>
      <w:hyperlink w:anchor="_Toc400972829" w:history="1">
        <w:r w:rsidR="00A11558" w:rsidRPr="00A11558">
          <w:rPr>
            <w:rStyle w:val="Hyperlink"/>
            <w:rFonts w:ascii="Times New Roman" w:hAnsi="Times New Roman" w:cs="Times New Roman"/>
            <w:b/>
            <w:noProof/>
          </w:rPr>
          <w:t>4.</w:t>
        </w:r>
        <w:r w:rsidR="00A11558" w:rsidRPr="00A11558">
          <w:rPr>
            <w:b/>
            <w:noProof/>
            <w:sz w:val="22"/>
            <w:szCs w:val="22"/>
          </w:rPr>
          <w:tab/>
        </w:r>
        <w:r w:rsidR="00A11558" w:rsidRPr="00A11558">
          <w:rPr>
            <w:rStyle w:val="Hyperlink"/>
            <w:rFonts w:ascii="Times New Roman" w:hAnsi="Times New Roman" w:cs="Times New Roman"/>
            <w:b/>
            <w:noProof/>
          </w:rPr>
          <w:t>Meetmed ja tegevused strateegiliste eesmärkide täitmiseks</w:t>
        </w:r>
        <w:r w:rsidR="00A11558" w:rsidRPr="00A11558">
          <w:rPr>
            <w:b/>
            <w:noProof/>
            <w:webHidden/>
          </w:rPr>
          <w:tab/>
        </w:r>
        <w:r w:rsidR="00A11558" w:rsidRPr="00A11558">
          <w:rPr>
            <w:b/>
            <w:noProof/>
            <w:webHidden/>
          </w:rPr>
          <w:fldChar w:fldCharType="begin"/>
        </w:r>
        <w:r w:rsidR="00A11558" w:rsidRPr="00A11558">
          <w:rPr>
            <w:b/>
            <w:noProof/>
            <w:webHidden/>
          </w:rPr>
          <w:instrText xml:space="preserve"> PAGEREF _Toc400972829 \h </w:instrText>
        </w:r>
        <w:r w:rsidR="00A11558" w:rsidRPr="00A11558">
          <w:rPr>
            <w:b/>
            <w:noProof/>
            <w:webHidden/>
          </w:rPr>
        </w:r>
        <w:r w:rsidR="00A11558" w:rsidRPr="00A11558">
          <w:rPr>
            <w:b/>
            <w:noProof/>
            <w:webHidden/>
          </w:rPr>
          <w:fldChar w:fldCharType="separate"/>
        </w:r>
        <w:r w:rsidR="00586824">
          <w:rPr>
            <w:b/>
            <w:noProof/>
            <w:webHidden/>
          </w:rPr>
          <w:t>7</w:t>
        </w:r>
        <w:r w:rsidR="00A11558" w:rsidRPr="00A11558">
          <w:rPr>
            <w:b/>
            <w:noProof/>
            <w:webHidden/>
          </w:rPr>
          <w:fldChar w:fldCharType="end"/>
        </w:r>
      </w:hyperlink>
    </w:p>
    <w:p w:rsidR="00A11558" w:rsidRPr="00A11558" w:rsidRDefault="00C80FD9">
      <w:pPr>
        <w:pStyle w:val="TOC1"/>
        <w:tabs>
          <w:tab w:val="left" w:pos="709"/>
        </w:tabs>
        <w:rPr>
          <w:b/>
          <w:noProof/>
          <w:sz w:val="22"/>
          <w:szCs w:val="22"/>
        </w:rPr>
      </w:pPr>
      <w:hyperlink w:anchor="_Toc400972830" w:history="1">
        <w:r w:rsidR="00A11558" w:rsidRPr="00A11558">
          <w:rPr>
            <w:rStyle w:val="Hyperlink"/>
            <w:rFonts w:ascii="Times New Roman" w:hAnsi="Times New Roman" w:cs="Times New Roman"/>
            <w:b/>
            <w:noProof/>
          </w:rPr>
          <w:t>5.</w:t>
        </w:r>
        <w:r w:rsidR="00A11558" w:rsidRPr="00A11558">
          <w:rPr>
            <w:b/>
            <w:noProof/>
            <w:sz w:val="22"/>
            <w:szCs w:val="22"/>
          </w:rPr>
          <w:tab/>
        </w:r>
        <w:r w:rsidR="00A11558" w:rsidRPr="00A11558">
          <w:rPr>
            <w:rStyle w:val="Hyperlink"/>
            <w:rFonts w:ascii="Times New Roman" w:hAnsi="Times New Roman" w:cs="Times New Roman"/>
            <w:b/>
            <w:noProof/>
          </w:rPr>
          <w:t>Seosed teiste arengudokumentidega</w:t>
        </w:r>
        <w:r w:rsidR="00A11558" w:rsidRPr="00A11558">
          <w:rPr>
            <w:b/>
            <w:noProof/>
            <w:webHidden/>
          </w:rPr>
          <w:tab/>
        </w:r>
        <w:r w:rsidR="00A11558" w:rsidRPr="00A11558">
          <w:rPr>
            <w:b/>
            <w:noProof/>
            <w:webHidden/>
          </w:rPr>
          <w:fldChar w:fldCharType="begin"/>
        </w:r>
        <w:r w:rsidR="00A11558" w:rsidRPr="00A11558">
          <w:rPr>
            <w:b/>
            <w:noProof/>
            <w:webHidden/>
          </w:rPr>
          <w:instrText xml:space="preserve"> PAGEREF _Toc400972830 \h </w:instrText>
        </w:r>
        <w:r w:rsidR="00A11558" w:rsidRPr="00A11558">
          <w:rPr>
            <w:b/>
            <w:noProof/>
            <w:webHidden/>
          </w:rPr>
        </w:r>
        <w:r w:rsidR="00A11558" w:rsidRPr="00A11558">
          <w:rPr>
            <w:b/>
            <w:noProof/>
            <w:webHidden/>
          </w:rPr>
          <w:fldChar w:fldCharType="separate"/>
        </w:r>
        <w:r w:rsidR="00586824">
          <w:rPr>
            <w:b/>
            <w:noProof/>
            <w:webHidden/>
          </w:rPr>
          <w:t>10</w:t>
        </w:r>
        <w:r w:rsidR="00A11558" w:rsidRPr="00A11558">
          <w:rPr>
            <w:b/>
            <w:noProof/>
            <w:webHidden/>
          </w:rPr>
          <w:fldChar w:fldCharType="end"/>
        </w:r>
      </w:hyperlink>
    </w:p>
    <w:p w:rsidR="00A11558" w:rsidRPr="00A11558" w:rsidRDefault="00C80FD9">
      <w:pPr>
        <w:pStyle w:val="TOC1"/>
        <w:tabs>
          <w:tab w:val="left" w:pos="709"/>
        </w:tabs>
        <w:rPr>
          <w:b/>
          <w:noProof/>
          <w:sz w:val="22"/>
          <w:szCs w:val="22"/>
        </w:rPr>
      </w:pPr>
      <w:hyperlink w:anchor="_Toc400972831" w:history="1">
        <w:r w:rsidR="00A11558" w:rsidRPr="00A11558">
          <w:rPr>
            <w:rStyle w:val="Hyperlink"/>
            <w:rFonts w:ascii="Times New Roman" w:hAnsi="Times New Roman"/>
            <w:b/>
            <w:noProof/>
          </w:rPr>
          <w:t>6.</w:t>
        </w:r>
        <w:r w:rsidR="00A11558" w:rsidRPr="00A11558">
          <w:rPr>
            <w:b/>
            <w:noProof/>
            <w:sz w:val="22"/>
            <w:szCs w:val="22"/>
          </w:rPr>
          <w:tab/>
        </w:r>
        <w:r w:rsidR="00A11558" w:rsidRPr="00A11558">
          <w:rPr>
            <w:rStyle w:val="Hyperlink"/>
            <w:rFonts w:ascii="Times New Roman" w:hAnsi="Times New Roman"/>
            <w:b/>
            <w:noProof/>
          </w:rPr>
          <w:t>Rahastamine ja elluviimine</w:t>
        </w:r>
        <w:r w:rsidR="00A11558" w:rsidRPr="00A11558">
          <w:rPr>
            <w:b/>
            <w:noProof/>
            <w:webHidden/>
          </w:rPr>
          <w:tab/>
        </w:r>
        <w:r w:rsidR="00A11558" w:rsidRPr="00A11558">
          <w:rPr>
            <w:b/>
            <w:noProof/>
            <w:webHidden/>
          </w:rPr>
          <w:fldChar w:fldCharType="begin"/>
        </w:r>
        <w:r w:rsidR="00A11558" w:rsidRPr="00A11558">
          <w:rPr>
            <w:b/>
            <w:noProof/>
            <w:webHidden/>
          </w:rPr>
          <w:instrText xml:space="preserve"> PAGEREF _Toc400972831 \h </w:instrText>
        </w:r>
        <w:r w:rsidR="00A11558" w:rsidRPr="00A11558">
          <w:rPr>
            <w:b/>
            <w:noProof/>
            <w:webHidden/>
          </w:rPr>
        </w:r>
        <w:r w:rsidR="00A11558" w:rsidRPr="00A11558">
          <w:rPr>
            <w:b/>
            <w:noProof/>
            <w:webHidden/>
          </w:rPr>
          <w:fldChar w:fldCharType="separate"/>
        </w:r>
        <w:r w:rsidR="00586824">
          <w:rPr>
            <w:b/>
            <w:noProof/>
            <w:webHidden/>
          </w:rPr>
          <w:t>11</w:t>
        </w:r>
        <w:r w:rsidR="00A11558" w:rsidRPr="00A11558">
          <w:rPr>
            <w:b/>
            <w:noProof/>
            <w:webHidden/>
          </w:rPr>
          <w:fldChar w:fldCharType="end"/>
        </w:r>
      </w:hyperlink>
    </w:p>
    <w:p w:rsidR="00A11558" w:rsidRPr="00A11558" w:rsidRDefault="00C80FD9">
      <w:pPr>
        <w:pStyle w:val="TOC1"/>
        <w:tabs>
          <w:tab w:val="left" w:pos="709"/>
        </w:tabs>
        <w:rPr>
          <w:b/>
          <w:noProof/>
          <w:sz w:val="22"/>
          <w:szCs w:val="22"/>
        </w:rPr>
      </w:pPr>
      <w:hyperlink w:anchor="_Toc400972832" w:history="1">
        <w:r w:rsidR="00A11558" w:rsidRPr="00A11558">
          <w:rPr>
            <w:rStyle w:val="Hyperlink"/>
            <w:rFonts w:ascii="Times New Roman" w:hAnsi="Times New Roman" w:cs="Times New Roman"/>
            <w:b/>
            <w:noProof/>
          </w:rPr>
          <w:t>7.</w:t>
        </w:r>
        <w:r w:rsidR="00A11558" w:rsidRPr="00A11558">
          <w:rPr>
            <w:b/>
            <w:noProof/>
            <w:sz w:val="22"/>
            <w:szCs w:val="22"/>
          </w:rPr>
          <w:tab/>
        </w:r>
        <w:r w:rsidR="00A11558" w:rsidRPr="00A11558">
          <w:rPr>
            <w:rStyle w:val="Hyperlink"/>
            <w:rFonts w:ascii="Times New Roman" w:hAnsi="Times New Roman" w:cs="Times New Roman"/>
            <w:b/>
            <w:noProof/>
          </w:rPr>
          <w:t>Teraviljasektori olukorra kirjeldus ja analüüs</w:t>
        </w:r>
        <w:r w:rsidR="00A11558" w:rsidRPr="00A11558">
          <w:rPr>
            <w:b/>
            <w:noProof/>
            <w:webHidden/>
          </w:rPr>
          <w:tab/>
        </w:r>
        <w:r w:rsidR="00A11558" w:rsidRPr="00A11558">
          <w:rPr>
            <w:b/>
            <w:noProof/>
            <w:webHidden/>
          </w:rPr>
          <w:fldChar w:fldCharType="begin"/>
        </w:r>
        <w:r w:rsidR="00A11558" w:rsidRPr="00A11558">
          <w:rPr>
            <w:b/>
            <w:noProof/>
            <w:webHidden/>
          </w:rPr>
          <w:instrText xml:space="preserve"> PAGEREF _Toc400972832 \h </w:instrText>
        </w:r>
        <w:r w:rsidR="00A11558" w:rsidRPr="00A11558">
          <w:rPr>
            <w:b/>
            <w:noProof/>
            <w:webHidden/>
          </w:rPr>
        </w:r>
        <w:r w:rsidR="00A11558" w:rsidRPr="00A11558">
          <w:rPr>
            <w:b/>
            <w:noProof/>
            <w:webHidden/>
          </w:rPr>
          <w:fldChar w:fldCharType="separate"/>
        </w:r>
        <w:r w:rsidR="00586824">
          <w:rPr>
            <w:b/>
            <w:noProof/>
            <w:webHidden/>
          </w:rPr>
          <w:t>13</w:t>
        </w:r>
        <w:r w:rsidR="00A11558" w:rsidRPr="00A11558">
          <w:rPr>
            <w:b/>
            <w:noProof/>
            <w:webHidden/>
          </w:rPr>
          <w:fldChar w:fldCharType="end"/>
        </w:r>
      </w:hyperlink>
    </w:p>
    <w:p w:rsidR="00A11558" w:rsidRDefault="00C80FD9">
      <w:pPr>
        <w:pStyle w:val="TOC2"/>
        <w:rPr>
          <w:rFonts w:asciiTheme="minorHAnsi" w:hAnsiTheme="minorHAnsi" w:cstheme="minorBidi"/>
          <w:b w:val="0"/>
          <w:sz w:val="22"/>
          <w:szCs w:val="22"/>
        </w:rPr>
      </w:pPr>
      <w:hyperlink w:anchor="_Toc400972833" w:history="1">
        <w:r w:rsidR="00A11558" w:rsidRPr="00EE4609">
          <w:rPr>
            <w:rStyle w:val="Hyperlink"/>
          </w:rPr>
          <w:t>7.1. Teravilja tootmine</w:t>
        </w:r>
        <w:r w:rsidR="00A11558">
          <w:rPr>
            <w:webHidden/>
          </w:rPr>
          <w:tab/>
        </w:r>
        <w:r w:rsidR="00A11558">
          <w:rPr>
            <w:webHidden/>
          </w:rPr>
          <w:fldChar w:fldCharType="begin"/>
        </w:r>
        <w:r w:rsidR="00A11558">
          <w:rPr>
            <w:webHidden/>
          </w:rPr>
          <w:instrText xml:space="preserve"> PAGEREF _Toc400972833 \h </w:instrText>
        </w:r>
        <w:r w:rsidR="00A11558">
          <w:rPr>
            <w:webHidden/>
          </w:rPr>
        </w:r>
        <w:r w:rsidR="00A11558">
          <w:rPr>
            <w:webHidden/>
          </w:rPr>
          <w:fldChar w:fldCharType="separate"/>
        </w:r>
        <w:r w:rsidR="00586824">
          <w:rPr>
            <w:webHidden/>
          </w:rPr>
          <w:t>13</w:t>
        </w:r>
        <w:r w:rsidR="00A11558">
          <w:rPr>
            <w:webHidden/>
          </w:rPr>
          <w:fldChar w:fldCharType="end"/>
        </w:r>
      </w:hyperlink>
    </w:p>
    <w:p w:rsidR="00A11558" w:rsidRDefault="00C80FD9">
      <w:pPr>
        <w:pStyle w:val="TOC3"/>
        <w:rPr>
          <w:noProof/>
          <w:sz w:val="22"/>
          <w:szCs w:val="22"/>
        </w:rPr>
      </w:pPr>
      <w:hyperlink w:anchor="_Toc400972834" w:history="1">
        <w:r w:rsidR="00A11558" w:rsidRPr="00EE4609">
          <w:rPr>
            <w:rStyle w:val="Hyperlink"/>
            <w:rFonts w:ascii="Times New Roman" w:hAnsi="Times New Roman" w:cs="Times New Roman"/>
            <w:noProof/>
          </w:rPr>
          <w:t>Nisu</w:t>
        </w:r>
        <w:r w:rsidR="00A11558">
          <w:rPr>
            <w:noProof/>
            <w:webHidden/>
          </w:rPr>
          <w:tab/>
        </w:r>
        <w:r w:rsidR="00A11558">
          <w:rPr>
            <w:noProof/>
            <w:webHidden/>
          </w:rPr>
          <w:fldChar w:fldCharType="begin"/>
        </w:r>
        <w:r w:rsidR="00A11558">
          <w:rPr>
            <w:noProof/>
            <w:webHidden/>
          </w:rPr>
          <w:instrText xml:space="preserve"> PAGEREF _Toc400972834 \h </w:instrText>
        </w:r>
        <w:r w:rsidR="00A11558">
          <w:rPr>
            <w:noProof/>
            <w:webHidden/>
          </w:rPr>
        </w:r>
        <w:r w:rsidR="00A11558">
          <w:rPr>
            <w:noProof/>
            <w:webHidden/>
          </w:rPr>
          <w:fldChar w:fldCharType="separate"/>
        </w:r>
        <w:r w:rsidR="00586824">
          <w:rPr>
            <w:noProof/>
            <w:webHidden/>
          </w:rPr>
          <w:t>18</w:t>
        </w:r>
        <w:r w:rsidR="00A11558">
          <w:rPr>
            <w:noProof/>
            <w:webHidden/>
          </w:rPr>
          <w:fldChar w:fldCharType="end"/>
        </w:r>
      </w:hyperlink>
    </w:p>
    <w:p w:rsidR="00A11558" w:rsidRDefault="00C80FD9">
      <w:pPr>
        <w:pStyle w:val="TOC3"/>
        <w:rPr>
          <w:noProof/>
          <w:sz w:val="22"/>
          <w:szCs w:val="22"/>
        </w:rPr>
      </w:pPr>
      <w:hyperlink w:anchor="_Toc400972835" w:history="1">
        <w:r w:rsidR="00A11558" w:rsidRPr="00EE4609">
          <w:rPr>
            <w:rStyle w:val="Hyperlink"/>
            <w:rFonts w:ascii="Times New Roman" w:hAnsi="Times New Roman" w:cs="Times New Roman"/>
            <w:noProof/>
          </w:rPr>
          <w:t>Oder</w:t>
        </w:r>
        <w:r w:rsidR="00A11558">
          <w:rPr>
            <w:noProof/>
            <w:webHidden/>
          </w:rPr>
          <w:tab/>
        </w:r>
        <w:r w:rsidR="00A11558">
          <w:rPr>
            <w:noProof/>
            <w:webHidden/>
          </w:rPr>
          <w:fldChar w:fldCharType="begin"/>
        </w:r>
        <w:r w:rsidR="00A11558">
          <w:rPr>
            <w:noProof/>
            <w:webHidden/>
          </w:rPr>
          <w:instrText xml:space="preserve"> PAGEREF _Toc400972835 \h </w:instrText>
        </w:r>
        <w:r w:rsidR="00A11558">
          <w:rPr>
            <w:noProof/>
            <w:webHidden/>
          </w:rPr>
        </w:r>
        <w:r w:rsidR="00A11558">
          <w:rPr>
            <w:noProof/>
            <w:webHidden/>
          </w:rPr>
          <w:fldChar w:fldCharType="separate"/>
        </w:r>
        <w:r w:rsidR="00586824">
          <w:rPr>
            <w:noProof/>
            <w:webHidden/>
          </w:rPr>
          <w:t>19</w:t>
        </w:r>
        <w:r w:rsidR="00A11558">
          <w:rPr>
            <w:noProof/>
            <w:webHidden/>
          </w:rPr>
          <w:fldChar w:fldCharType="end"/>
        </w:r>
      </w:hyperlink>
    </w:p>
    <w:p w:rsidR="00A11558" w:rsidRDefault="00C80FD9">
      <w:pPr>
        <w:pStyle w:val="TOC3"/>
        <w:rPr>
          <w:noProof/>
          <w:sz w:val="22"/>
          <w:szCs w:val="22"/>
        </w:rPr>
      </w:pPr>
      <w:hyperlink w:anchor="_Toc400972836" w:history="1">
        <w:r w:rsidR="00A11558" w:rsidRPr="00EE4609">
          <w:rPr>
            <w:rStyle w:val="Hyperlink"/>
            <w:rFonts w:ascii="Times New Roman" w:hAnsi="Times New Roman" w:cs="Times New Roman"/>
            <w:noProof/>
          </w:rPr>
          <w:t>Rukis</w:t>
        </w:r>
        <w:r w:rsidR="00A11558">
          <w:rPr>
            <w:noProof/>
            <w:webHidden/>
          </w:rPr>
          <w:tab/>
        </w:r>
        <w:r w:rsidR="00A11558">
          <w:rPr>
            <w:noProof/>
            <w:webHidden/>
          </w:rPr>
          <w:fldChar w:fldCharType="begin"/>
        </w:r>
        <w:r w:rsidR="00A11558">
          <w:rPr>
            <w:noProof/>
            <w:webHidden/>
          </w:rPr>
          <w:instrText xml:space="preserve"> PAGEREF _Toc400972836 \h </w:instrText>
        </w:r>
        <w:r w:rsidR="00A11558">
          <w:rPr>
            <w:noProof/>
            <w:webHidden/>
          </w:rPr>
        </w:r>
        <w:r w:rsidR="00A11558">
          <w:rPr>
            <w:noProof/>
            <w:webHidden/>
          </w:rPr>
          <w:fldChar w:fldCharType="separate"/>
        </w:r>
        <w:r w:rsidR="00586824">
          <w:rPr>
            <w:noProof/>
            <w:webHidden/>
          </w:rPr>
          <w:t>20</w:t>
        </w:r>
        <w:r w:rsidR="00A11558">
          <w:rPr>
            <w:noProof/>
            <w:webHidden/>
          </w:rPr>
          <w:fldChar w:fldCharType="end"/>
        </w:r>
      </w:hyperlink>
    </w:p>
    <w:p w:rsidR="00A11558" w:rsidRDefault="00C80FD9">
      <w:pPr>
        <w:pStyle w:val="TOC3"/>
        <w:rPr>
          <w:noProof/>
          <w:sz w:val="22"/>
          <w:szCs w:val="22"/>
        </w:rPr>
      </w:pPr>
      <w:hyperlink w:anchor="_Toc400972837" w:history="1">
        <w:r w:rsidR="00A11558" w:rsidRPr="00EE4609">
          <w:rPr>
            <w:rStyle w:val="Hyperlink"/>
            <w:rFonts w:ascii="Times New Roman" w:hAnsi="Times New Roman" w:cs="Times New Roman"/>
            <w:noProof/>
          </w:rPr>
          <w:t>Kaer</w:t>
        </w:r>
        <w:r w:rsidR="00A11558">
          <w:rPr>
            <w:noProof/>
            <w:webHidden/>
          </w:rPr>
          <w:tab/>
        </w:r>
        <w:r w:rsidR="00A11558">
          <w:rPr>
            <w:noProof/>
            <w:webHidden/>
          </w:rPr>
          <w:fldChar w:fldCharType="begin"/>
        </w:r>
        <w:r w:rsidR="00A11558">
          <w:rPr>
            <w:noProof/>
            <w:webHidden/>
          </w:rPr>
          <w:instrText xml:space="preserve"> PAGEREF _Toc400972837 \h </w:instrText>
        </w:r>
        <w:r w:rsidR="00A11558">
          <w:rPr>
            <w:noProof/>
            <w:webHidden/>
          </w:rPr>
        </w:r>
        <w:r w:rsidR="00A11558">
          <w:rPr>
            <w:noProof/>
            <w:webHidden/>
          </w:rPr>
          <w:fldChar w:fldCharType="separate"/>
        </w:r>
        <w:r w:rsidR="00586824">
          <w:rPr>
            <w:noProof/>
            <w:webHidden/>
          </w:rPr>
          <w:t>21</w:t>
        </w:r>
        <w:r w:rsidR="00A11558">
          <w:rPr>
            <w:noProof/>
            <w:webHidden/>
          </w:rPr>
          <w:fldChar w:fldCharType="end"/>
        </w:r>
      </w:hyperlink>
    </w:p>
    <w:p w:rsidR="00A11558" w:rsidRDefault="00C80FD9">
      <w:pPr>
        <w:pStyle w:val="TOC3"/>
        <w:rPr>
          <w:noProof/>
          <w:sz w:val="22"/>
          <w:szCs w:val="22"/>
        </w:rPr>
      </w:pPr>
      <w:hyperlink w:anchor="_Toc400972838" w:history="1">
        <w:r w:rsidR="00A11558" w:rsidRPr="00EE4609">
          <w:rPr>
            <w:rStyle w:val="Hyperlink"/>
            <w:rFonts w:ascii="Times New Roman" w:hAnsi="Times New Roman" w:cs="Times New Roman"/>
            <w:noProof/>
          </w:rPr>
          <w:t>Raps</w:t>
        </w:r>
        <w:r w:rsidR="00A11558">
          <w:rPr>
            <w:noProof/>
            <w:webHidden/>
          </w:rPr>
          <w:tab/>
        </w:r>
        <w:r w:rsidR="00A11558">
          <w:rPr>
            <w:noProof/>
            <w:webHidden/>
          </w:rPr>
          <w:fldChar w:fldCharType="begin"/>
        </w:r>
        <w:r w:rsidR="00A11558">
          <w:rPr>
            <w:noProof/>
            <w:webHidden/>
          </w:rPr>
          <w:instrText xml:space="preserve"> PAGEREF _Toc400972838 \h </w:instrText>
        </w:r>
        <w:r w:rsidR="00A11558">
          <w:rPr>
            <w:noProof/>
            <w:webHidden/>
          </w:rPr>
        </w:r>
        <w:r w:rsidR="00A11558">
          <w:rPr>
            <w:noProof/>
            <w:webHidden/>
          </w:rPr>
          <w:fldChar w:fldCharType="separate"/>
        </w:r>
        <w:r w:rsidR="00586824">
          <w:rPr>
            <w:noProof/>
            <w:webHidden/>
          </w:rPr>
          <w:t>22</w:t>
        </w:r>
        <w:r w:rsidR="00A11558">
          <w:rPr>
            <w:noProof/>
            <w:webHidden/>
          </w:rPr>
          <w:fldChar w:fldCharType="end"/>
        </w:r>
      </w:hyperlink>
    </w:p>
    <w:p w:rsidR="00A11558" w:rsidRDefault="00C80FD9">
      <w:pPr>
        <w:pStyle w:val="TOC3"/>
        <w:rPr>
          <w:noProof/>
          <w:sz w:val="22"/>
          <w:szCs w:val="22"/>
        </w:rPr>
      </w:pPr>
      <w:hyperlink w:anchor="_Toc400972839" w:history="1">
        <w:r w:rsidR="00A11558" w:rsidRPr="00EE4609">
          <w:rPr>
            <w:rStyle w:val="Hyperlink"/>
            <w:rFonts w:ascii="Times New Roman" w:hAnsi="Times New Roman" w:cs="Times New Roman"/>
            <w:noProof/>
          </w:rPr>
          <w:t>Kaunviljad</w:t>
        </w:r>
        <w:r w:rsidR="00A11558">
          <w:rPr>
            <w:noProof/>
            <w:webHidden/>
          </w:rPr>
          <w:tab/>
        </w:r>
        <w:r w:rsidR="00A11558">
          <w:rPr>
            <w:noProof/>
            <w:webHidden/>
          </w:rPr>
          <w:fldChar w:fldCharType="begin"/>
        </w:r>
        <w:r w:rsidR="00A11558">
          <w:rPr>
            <w:noProof/>
            <w:webHidden/>
          </w:rPr>
          <w:instrText xml:space="preserve"> PAGEREF _Toc400972839 \h </w:instrText>
        </w:r>
        <w:r w:rsidR="00A11558">
          <w:rPr>
            <w:noProof/>
            <w:webHidden/>
          </w:rPr>
        </w:r>
        <w:r w:rsidR="00A11558">
          <w:rPr>
            <w:noProof/>
            <w:webHidden/>
          </w:rPr>
          <w:fldChar w:fldCharType="separate"/>
        </w:r>
        <w:r w:rsidR="00586824">
          <w:rPr>
            <w:noProof/>
            <w:webHidden/>
          </w:rPr>
          <w:t>23</w:t>
        </w:r>
        <w:r w:rsidR="00A11558">
          <w:rPr>
            <w:noProof/>
            <w:webHidden/>
          </w:rPr>
          <w:fldChar w:fldCharType="end"/>
        </w:r>
      </w:hyperlink>
    </w:p>
    <w:p w:rsidR="00A11558" w:rsidRDefault="00C80FD9">
      <w:pPr>
        <w:pStyle w:val="TOC3"/>
        <w:rPr>
          <w:noProof/>
          <w:sz w:val="22"/>
          <w:szCs w:val="22"/>
        </w:rPr>
      </w:pPr>
      <w:hyperlink w:anchor="_Toc400972840" w:history="1">
        <w:r w:rsidR="00A11558" w:rsidRPr="00EE4609">
          <w:rPr>
            <w:rStyle w:val="Hyperlink"/>
            <w:rFonts w:ascii="Times New Roman" w:hAnsi="Times New Roman" w:cs="Times New Roman"/>
            <w:noProof/>
          </w:rPr>
          <w:t>Mahetootmine</w:t>
        </w:r>
        <w:r w:rsidR="00A11558">
          <w:rPr>
            <w:noProof/>
            <w:webHidden/>
          </w:rPr>
          <w:tab/>
        </w:r>
        <w:r w:rsidR="00A11558">
          <w:rPr>
            <w:noProof/>
            <w:webHidden/>
          </w:rPr>
          <w:fldChar w:fldCharType="begin"/>
        </w:r>
        <w:r w:rsidR="00A11558">
          <w:rPr>
            <w:noProof/>
            <w:webHidden/>
          </w:rPr>
          <w:instrText xml:space="preserve"> PAGEREF _Toc400972840 \h </w:instrText>
        </w:r>
        <w:r w:rsidR="00A11558">
          <w:rPr>
            <w:noProof/>
            <w:webHidden/>
          </w:rPr>
        </w:r>
        <w:r w:rsidR="00A11558">
          <w:rPr>
            <w:noProof/>
            <w:webHidden/>
          </w:rPr>
          <w:fldChar w:fldCharType="separate"/>
        </w:r>
        <w:r w:rsidR="00586824">
          <w:rPr>
            <w:noProof/>
            <w:webHidden/>
          </w:rPr>
          <w:t>24</w:t>
        </w:r>
        <w:r w:rsidR="00A11558">
          <w:rPr>
            <w:noProof/>
            <w:webHidden/>
          </w:rPr>
          <w:fldChar w:fldCharType="end"/>
        </w:r>
      </w:hyperlink>
    </w:p>
    <w:p w:rsidR="00A11558" w:rsidRDefault="00C80FD9">
      <w:pPr>
        <w:pStyle w:val="TOC2"/>
        <w:rPr>
          <w:rFonts w:asciiTheme="minorHAnsi" w:hAnsiTheme="minorHAnsi" w:cstheme="minorBidi"/>
          <w:b w:val="0"/>
          <w:sz w:val="22"/>
          <w:szCs w:val="22"/>
        </w:rPr>
      </w:pPr>
      <w:hyperlink w:anchor="_Toc400972841" w:history="1">
        <w:r w:rsidR="00A11558" w:rsidRPr="00EE4609">
          <w:rPr>
            <w:rStyle w:val="Hyperlink"/>
          </w:rPr>
          <w:t>7.2. Teravilja kvaliteet</w:t>
        </w:r>
        <w:r w:rsidR="00A11558">
          <w:rPr>
            <w:webHidden/>
          </w:rPr>
          <w:tab/>
        </w:r>
        <w:r w:rsidR="00A11558">
          <w:rPr>
            <w:webHidden/>
          </w:rPr>
          <w:fldChar w:fldCharType="begin"/>
        </w:r>
        <w:r w:rsidR="00A11558">
          <w:rPr>
            <w:webHidden/>
          </w:rPr>
          <w:instrText xml:space="preserve"> PAGEREF _Toc400972841 \h </w:instrText>
        </w:r>
        <w:r w:rsidR="00A11558">
          <w:rPr>
            <w:webHidden/>
          </w:rPr>
        </w:r>
        <w:r w:rsidR="00A11558">
          <w:rPr>
            <w:webHidden/>
          </w:rPr>
          <w:fldChar w:fldCharType="separate"/>
        </w:r>
        <w:r w:rsidR="00586824">
          <w:rPr>
            <w:webHidden/>
          </w:rPr>
          <w:t>27</w:t>
        </w:r>
        <w:r w:rsidR="00A11558">
          <w:rPr>
            <w:webHidden/>
          </w:rPr>
          <w:fldChar w:fldCharType="end"/>
        </w:r>
      </w:hyperlink>
    </w:p>
    <w:p w:rsidR="00A11558" w:rsidRDefault="00C80FD9">
      <w:pPr>
        <w:pStyle w:val="TOC3"/>
        <w:rPr>
          <w:noProof/>
          <w:sz w:val="22"/>
          <w:szCs w:val="22"/>
        </w:rPr>
      </w:pPr>
      <w:hyperlink w:anchor="_Toc400972842" w:history="1">
        <w:r w:rsidR="00A11558" w:rsidRPr="00EE4609">
          <w:rPr>
            <w:rStyle w:val="Hyperlink"/>
            <w:rFonts w:ascii="Times New Roman" w:eastAsiaTheme="minorHAnsi" w:hAnsi="Times New Roman" w:cs="Times New Roman"/>
            <w:noProof/>
          </w:rPr>
          <w:t>Sertifitseeritud seemne kasutamine</w:t>
        </w:r>
        <w:r w:rsidR="00A11558">
          <w:rPr>
            <w:noProof/>
            <w:webHidden/>
          </w:rPr>
          <w:tab/>
        </w:r>
        <w:r w:rsidR="00A11558">
          <w:rPr>
            <w:noProof/>
            <w:webHidden/>
          </w:rPr>
          <w:fldChar w:fldCharType="begin"/>
        </w:r>
        <w:r w:rsidR="00A11558">
          <w:rPr>
            <w:noProof/>
            <w:webHidden/>
          </w:rPr>
          <w:instrText xml:space="preserve"> PAGEREF _Toc400972842 \h </w:instrText>
        </w:r>
        <w:r w:rsidR="00A11558">
          <w:rPr>
            <w:noProof/>
            <w:webHidden/>
          </w:rPr>
        </w:r>
        <w:r w:rsidR="00A11558">
          <w:rPr>
            <w:noProof/>
            <w:webHidden/>
          </w:rPr>
          <w:fldChar w:fldCharType="separate"/>
        </w:r>
        <w:r w:rsidR="00586824">
          <w:rPr>
            <w:noProof/>
            <w:webHidden/>
          </w:rPr>
          <w:t>28</w:t>
        </w:r>
        <w:r w:rsidR="00A11558">
          <w:rPr>
            <w:noProof/>
            <w:webHidden/>
          </w:rPr>
          <w:fldChar w:fldCharType="end"/>
        </w:r>
      </w:hyperlink>
    </w:p>
    <w:p w:rsidR="00A11558" w:rsidRDefault="00C80FD9">
      <w:pPr>
        <w:pStyle w:val="TOC2"/>
        <w:rPr>
          <w:rFonts w:asciiTheme="minorHAnsi" w:hAnsiTheme="minorHAnsi" w:cstheme="minorBidi"/>
          <w:b w:val="0"/>
          <w:sz w:val="22"/>
          <w:szCs w:val="22"/>
        </w:rPr>
      </w:pPr>
      <w:hyperlink w:anchor="_Toc400972843" w:history="1">
        <w:r w:rsidR="00A11558" w:rsidRPr="00EE4609">
          <w:rPr>
            <w:rStyle w:val="Hyperlink"/>
          </w:rPr>
          <w:t>7.3. Teravilja töötlemine ja tarbimine</w:t>
        </w:r>
        <w:r w:rsidR="00A11558">
          <w:rPr>
            <w:webHidden/>
          </w:rPr>
          <w:tab/>
        </w:r>
        <w:r w:rsidR="00A11558">
          <w:rPr>
            <w:webHidden/>
          </w:rPr>
          <w:fldChar w:fldCharType="begin"/>
        </w:r>
        <w:r w:rsidR="00A11558">
          <w:rPr>
            <w:webHidden/>
          </w:rPr>
          <w:instrText xml:space="preserve"> PAGEREF _Toc400972843 \h </w:instrText>
        </w:r>
        <w:r w:rsidR="00A11558">
          <w:rPr>
            <w:webHidden/>
          </w:rPr>
        </w:r>
        <w:r w:rsidR="00A11558">
          <w:rPr>
            <w:webHidden/>
          </w:rPr>
          <w:fldChar w:fldCharType="separate"/>
        </w:r>
        <w:r w:rsidR="00586824">
          <w:rPr>
            <w:webHidden/>
          </w:rPr>
          <w:t>32</w:t>
        </w:r>
        <w:r w:rsidR="00A11558">
          <w:rPr>
            <w:webHidden/>
          </w:rPr>
          <w:fldChar w:fldCharType="end"/>
        </w:r>
      </w:hyperlink>
    </w:p>
    <w:p w:rsidR="00A11558" w:rsidRDefault="00C80FD9">
      <w:pPr>
        <w:pStyle w:val="TOC3"/>
        <w:rPr>
          <w:noProof/>
          <w:sz w:val="22"/>
          <w:szCs w:val="22"/>
        </w:rPr>
      </w:pPr>
      <w:hyperlink w:anchor="_Toc400972844" w:history="1">
        <w:r w:rsidR="00A11558" w:rsidRPr="00EE4609">
          <w:rPr>
            <w:rStyle w:val="Hyperlink"/>
            <w:rFonts w:ascii="Times New Roman" w:hAnsi="Times New Roman" w:cs="Times New Roman"/>
            <w:noProof/>
          </w:rPr>
          <w:t>Töötlemine</w:t>
        </w:r>
        <w:r w:rsidR="00A11558">
          <w:rPr>
            <w:noProof/>
            <w:webHidden/>
          </w:rPr>
          <w:tab/>
        </w:r>
        <w:r w:rsidR="00A11558">
          <w:rPr>
            <w:noProof/>
            <w:webHidden/>
          </w:rPr>
          <w:fldChar w:fldCharType="begin"/>
        </w:r>
        <w:r w:rsidR="00A11558">
          <w:rPr>
            <w:noProof/>
            <w:webHidden/>
          </w:rPr>
          <w:instrText xml:space="preserve"> PAGEREF _Toc400972844 \h </w:instrText>
        </w:r>
        <w:r w:rsidR="00A11558">
          <w:rPr>
            <w:noProof/>
            <w:webHidden/>
          </w:rPr>
        </w:r>
        <w:r w:rsidR="00A11558">
          <w:rPr>
            <w:noProof/>
            <w:webHidden/>
          </w:rPr>
          <w:fldChar w:fldCharType="separate"/>
        </w:r>
        <w:r w:rsidR="00586824">
          <w:rPr>
            <w:noProof/>
            <w:webHidden/>
          </w:rPr>
          <w:t>33</w:t>
        </w:r>
        <w:r w:rsidR="00A11558">
          <w:rPr>
            <w:noProof/>
            <w:webHidden/>
          </w:rPr>
          <w:fldChar w:fldCharType="end"/>
        </w:r>
      </w:hyperlink>
    </w:p>
    <w:p w:rsidR="00A11558" w:rsidRDefault="00C80FD9">
      <w:pPr>
        <w:pStyle w:val="TOC3"/>
        <w:rPr>
          <w:noProof/>
          <w:sz w:val="22"/>
          <w:szCs w:val="22"/>
        </w:rPr>
      </w:pPr>
      <w:hyperlink w:anchor="_Toc400972845" w:history="1">
        <w:r w:rsidR="00A11558" w:rsidRPr="00EE4609">
          <w:rPr>
            <w:rStyle w:val="Hyperlink"/>
            <w:rFonts w:ascii="Times New Roman" w:hAnsi="Times New Roman" w:cs="Times New Roman"/>
            <w:noProof/>
          </w:rPr>
          <w:t>Tarbimine</w:t>
        </w:r>
        <w:r w:rsidR="00A11558">
          <w:rPr>
            <w:noProof/>
            <w:webHidden/>
          </w:rPr>
          <w:tab/>
        </w:r>
        <w:r w:rsidR="00A11558">
          <w:rPr>
            <w:noProof/>
            <w:webHidden/>
          </w:rPr>
          <w:fldChar w:fldCharType="begin"/>
        </w:r>
        <w:r w:rsidR="00A11558">
          <w:rPr>
            <w:noProof/>
            <w:webHidden/>
          </w:rPr>
          <w:instrText xml:space="preserve"> PAGEREF _Toc400972845 \h </w:instrText>
        </w:r>
        <w:r w:rsidR="00A11558">
          <w:rPr>
            <w:noProof/>
            <w:webHidden/>
          </w:rPr>
        </w:r>
        <w:r w:rsidR="00A11558">
          <w:rPr>
            <w:noProof/>
            <w:webHidden/>
          </w:rPr>
          <w:fldChar w:fldCharType="separate"/>
        </w:r>
        <w:r w:rsidR="00586824">
          <w:rPr>
            <w:noProof/>
            <w:webHidden/>
          </w:rPr>
          <w:t>34</w:t>
        </w:r>
        <w:r w:rsidR="00A11558">
          <w:rPr>
            <w:noProof/>
            <w:webHidden/>
          </w:rPr>
          <w:fldChar w:fldCharType="end"/>
        </w:r>
      </w:hyperlink>
    </w:p>
    <w:p w:rsidR="00A11558" w:rsidRDefault="00C80FD9">
      <w:pPr>
        <w:pStyle w:val="TOC3"/>
        <w:rPr>
          <w:noProof/>
          <w:sz w:val="22"/>
          <w:szCs w:val="22"/>
        </w:rPr>
      </w:pPr>
      <w:hyperlink w:anchor="_Toc400972846" w:history="1">
        <w:r w:rsidR="00A11558" w:rsidRPr="00EE4609">
          <w:rPr>
            <w:rStyle w:val="Hyperlink"/>
            <w:rFonts w:ascii="Times New Roman" w:hAnsi="Times New Roman" w:cs="Times New Roman"/>
            <w:noProof/>
          </w:rPr>
          <w:t>Teravilja kasutamine bioenergia saamiseks</w:t>
        </w:r>
        <w:r w:rsidR="00A11558">
          <w:rPr>
            <w:noProof/>
            <w:webHidden/>
          </w:rPr>
          <w:tab/>
        </w:r>
        <w:r w:rsidR="00A11558">
          <w:rPr>
            <w:noProof/>
            <w:webHidden/>
          </w:rPr>
          <w:fldChar w:fldCharType="begin"/>
        </w:r>
        <w:r w:rsidR="00A11558">
          <w:rPr>
            <w:noProof/>
            <w:webHidden/>
          </w:rPr>
          <w:instrText xml:space="preserve"> PAGEREF _Toc400972846 \h </w:instrText>
        </w:r>
        <w:r w:rsidR="00A11558">
          <w:rPr>
            <w:noProof/>
            <w:webHidden/>
          </w:rPr>
        </w:r>
        <w:r w:rsidR="00A11558">
          <w:rPr>
            <w:noProof/>
            <w:webHidden/>
          </w:rPr>
          <w:fldChar w:fldCharType="separate"/>
        </w:r>
        <w:r w:rsidR="00586824">
          <w:rPr>
            <w:noProof/>
            <w:webHidden/>
          </w:rPr>
          <w:t>37</w:t>
        </w:r>
        <w:r w:rsidR="00A11558">
          <w:rPr>
            <w:noProof/>
            <w:webHidden/>
          </w:rPr>
          <w:fldChar w:fldCharType="end"/>
        </w:r>
      </w:hyperlink>
    </w:p>
    <w:p w:rsidR="00A11558" w:rsidRDefault="00C80FD9">
      <w:pPr>
        <w:pStyle w:val="TOC2"/>
        <w:rPr>
          <w:rFonts w:asciiTheme="minorHAnsi" w:hAnsiTheme="minorHAnsi" w:cstheme="minorBidi"/>
          <w:b w:val="0"/>
          <w:sz w:val="22"/>
          <w:szCs w:val="22"/>
        </w:rPr>
      </w:pPr>
      <w:hyperlink w:anchor="_Toc400972847" w:history="1">
        <w:r w:rsidR="00A11558" w:rsidRPr="00EE4609">
          <w:rPr>
            <w:rStyle w:val="Hyperlink"/>
          </w:rPr>
          <w:t>7.4. Turg ja kaubandus</w:t>
        </w:r>
        <w:r w:rsidR="00A11558">
          <w:rPr>
            <w:webHidden/>
          </w:rPr>
          <w:tab/>
        </w:r>
        <w:r w:rsidR="00A11558">
          <w:rPr>
            <w:webHidden/>
          </w:rPr>
          <w:fldChar w:fldCharType="begin"/>
        </w:r>
        <w:r w:rsidR="00A11558">
          <w:rPr>
            <w:webHidden/>
          </w:rPr>
          <w:instrText xml:space="preserve"> PAGEREF _Toc400972847 \h </w:instrText>
        </w:r>
        <w:r w:rsidR="00A11558">
          <w:rPr>
            <w:webHidden/>
          </w:rPr>
        </w:r>
        <w:r w:rsidR="00A11558">
          <w:rPr>
            <w:webHidden/>
          </w:rPr>
          <w:fldChar w:fldCharType="separate"/>
        </w:r>
        <w:r w:rsidR="00586824">
          <w:rPr>
            <w:webHidden/>
          </w:rPr>
          <w:t>38</w:t>
        </w:r>
        <w:r w:rsidR="00A11558">
          <w:rPr>
            <w:webHidden/>
          </w:rPr>
          <w:fldChar w:fldCharType="end"/>
        </w:r>
      </w:hyperlink>
    </w:p>
    <w:p w:rsidR="00A11558" w:rsidRDefault="00C80FD9">
      <w:pPr>
        <w:pStyle w:val="TOC2"/>
        <w:rPr>
          <w:rFonts w:asciiTheme="minorHAnsi" w:hAnsiTheme="minorHAnsi" w:cstheme="minorBidi"/>
          <w:b w:val="0"/>
          <w:sz w:val="22"/>
          <w:szCs w:val="22"/>
        </w:rPr>
      </w:pPr>
      <w:hyperlink w:anchor="_Toc400972848" w:history="1">
        <w:r w:rsidR="00A11558" w:rsidRPr="00EE4609">
          <w:rPr>
            <w:rStyle w:val="Hyperlink"/>
          </w:rPr>
          <w:t>7.5. Ühistegevus</w:t>
        </w:r>
        <w:r w:rsidR="00A11558">
          <w:rPr>
            <w:webHidden/>
          </w:rPr>
          <w:tab/>
        </w:r>
        <w:r w:rsidR="00A11558">
          <w:rPr>
            <w:webHidden/>
          </w:rPr>
          <w:fldChar w:fldCharType="begin"/>
        </w:r>
        <w:r w:rsidR="00A11558">
          <w:rPr>
            <w:webHidden/>
          </w:rPr>
          <w:instrText xml:space="preserve"> PAGEREF _Toc400972848 \h </w:instrText>
        </w:r>
        <w:r w:rsidR="00A11558">
          <w:rPr>
            <w:webHidden/>
          </w:rPr>
        </w:r>
        <w:r w:rsidR="00A11558">
          <w:rPr>
            <w:webHidden/>
          </w:rPr>
          <w:fldChar w:fldCharType="separate"/>
        </w:r>
        <w:r w:rsidR="00586824">
          <w:rPr>
            <w:webHidden/>
          </w:rPr>
          <w:t>40</w:t>
        </w:r>
        <w:r w:rsidR="00A11558">
          <w:rPr>
            <w:webHidden/>
          </w:rPr>
          <w:fldChar w:fldCharType="end"/>
        </w:r>
      </w:hyperlink>
    </w:p>
    <w:p w:rsidR="00A11558" w:rsidRDefault="00C80FD9">
      <w:pPr>
        <w:pStyle w:val="TOC2"/>
        <w:rPr>
          <w:rFonts w:asciiTheme="minorHAnsi" w:hAnsiTheme="minorHAnsi" w:cstheme="minorBidi"/>
          <w:b w:val="0"/>
          <w:sz w:val="22"/>
          <w:szCs w:val="22"/>
        </w:rPr>
      </w:pPr>
      <w:hyperlink w:anchor="_Toc400972849" w:history="1">
        <w:r w:rsidR="00A11558" w:rsidRPr="00EE4609">
          <w:rPr>
            <w:rStyle w:val="Hyperlink"/>
          </w:rPr>
          <w:t>7.6. Haridus, teadus ja nõuandetegevus</w:t>
        </w:r>
        <w:r w:rsidR="00A11558">
          <w:rPr>
            <w:webHidden/>
          </w:rPr>
          <w:tab/>
        </w:r>
        <w:r w:rsidR="00A11558">
          <w:rPr>
            <w:webHidden/>
          </w:rPr>
          <w:fldChar w:fldCharType="begin"/>
        </w:r>
        <w:r w:rsidR="00A11558">
          <w:rPr>
            <w:webHidden/>
          </w:rPr>
          <w:instrText xml:space="preserve"> PAGEREF _Toc400972849 \h </w:instrText>
        </w:r>
        <w:r w:rsidR="00A11558">
          <w:rPr>
            <w:webHidden/>
          </w:rPr>
        </w:r>
        <w:r w:rsidR="00A11558">
          <w:rPr>
            <w:webHidden/>
          </w:rPr>
          <w:fldChar w:fldCharType="separate"/>
        </w:r>
        <w:r w:rsidR="00586824">
          <w:rPr>
            <w:webHidden/>
          </w:rPr>
          <w:t>41</w:t>
        </w:r>
        <w:r w:rsidR="00A11558">
          <w:rPr>
            <w:webHidden/>
          </w:rPr>
          <w:fldChar w:fldCharType="end"/>
        </w:r>
      </w:hyperlink>
    </w:p>
    <w:p w:rsidR="00A11558" w:rsidRDefault="00C80FD9">
      <w:pPr>
        <w:pStyle w:val="TOC3"/>
        <w:rPr>
          <w:noProof/>
          <w:sz w:val="22"/>
          <w:szCs w:val="22"/>
        </w:rPr>
      </w:pPr>
      <w:hyperlink w:anchor="_Toc400972850" w:history="1">
        <w:r w:rsidR="00A11558" w:rsidRPr="00EE4609">
          <w:rPr>
            <w:rStyle w:val="Hyperlink"/>
            <w:rFonts w:ascii="Times New Roman" w:hAnsi="Times New Roman" w:cs="Times New Roman"/>
            <w:noProof/>
          </w:rPr>
          <w:t>Haridus</w:t>
        </w:r>
        <w:r w:rsidR="00A11558">
          <w:rPr>
            <w:noProof/>
            <w:webHidden/>
          </w:rPr>
          <w:tab/>
        </w:r>
        <w:r w:rsidR="00A11558">
          <w:rPr>
            <w:noProof/>
            <w:webHidden/>
          </w:rPr>
          <w:fldChar w:fldCharType="begin"/>
        </w:r>
        <w:r w:rsidR="00A11558">
          <w:rPr>
            <w:noProof/>
            <w:webHidden/>
          </w:rPr>
          <w:instrText xml:space="preserve"> PAGEREF _Toc400972850 \h </w:instrText>
        </w:r>
        <w:r w:rsidR="00A11558">
          <w:rPr>
            <w:noProof/>
            <w:webHidden/>
          </w:rPr>
        </w:r>
        <w:r w:rsidR="00A11558">
          <w:rPr>
            <w:noProof/>
            <w:webHidden/>
          </w:rPr>
          <w:fldChar w:fldCharType="separate"/>
        </w:r>
        <w:r w:rsidR="00586824">
          <w:rPr>
            <w:noProof/>
            <w:webHidden/>
          </w:rPr>
          <w:t>41</w:t>
        </w:r>
        <w:r w:rsidR="00A11558">
          <w:rPr>
            <w:noProof/>
            <w:webHidden/>
          </w:rPr>
          <w:fldChar w:fldCharType="end"/>
        </w:r>
      </w:hyperlink>
    </w:p>
    <w:p w:rsidR="00A11558" w:rsidRDefault="00C80FD9">
      <w:pPr>
        <w:pStyle w:val="TOC3"/>
        <w:rPr>
          <w:noProof/>
          <w:sz w:val="22"/>
          <w:szCs w:val="22"/>
        </w:rPr>
      </w:pPr>
      <w:hyperlink w:anchor="_Toc400972851" w:history="1">
        <w:r w:rsidR="00A11558" w:rsidRPr="00EE4609">
          <w:rPr>
            <w:rStyle w:val="Hyperlink"/>
            <w:rFonts w:ascii="Times New Roman" w:hAnsi="Times New Roman" w:cs="Times New Roman"/>
            <w:noProof/>
          </w:rPr>
          <w:t>Teadus</w:t>
        </w:r>
        <w:r w:rsidR="00A11558">
          <w:rPr>
            <w:noProof/>
            <w:webHidden/>
          </w:rPr>
          <w:tab/>
        </w:r>
        <w:r w:rsidR="00A11558">
          <w:rPr>
            <w:noProof/>
            <w:webHidden/>
          </w:rPr>
          <w:fldChar w:fldCharType="begin"/>
        </w:r>
        <w:r w:rsidR="00A11558">
          <w:rPr>
            <w:noProof/>
            <w:webHidden/>
          </w:rPr>
          <w:instrText xml:space="preserve"> PAGEREF _Toc400972851 \h </w:instrText>
        </w:r>
        <w:r w:rsidR="00A11558">
          <w:rPr>
            <w:noProof/>
            <w:webHidden/>
          </w:rPr>
        </w:r>
        <w:r w:rsidR="00A11558">
          <w:rPr>
            <w:noProof/>
            <w:webHidden/>
          </w:rPr>
          <w:fldChar w:fldCharType="separate"/>
        </w:r>
        <w:r w:rsidR="00586824">
          <w:rPr>
            <w:noProof/>
            <w:webHidden/>
          </w:rPr>
          <w:t>42</w:t>
        </w:r>
        <w:r w:rsidR="00A11558">
          <w:rPr>
            <w:noProof/>
            <w:webHidden/>
          </w:rPr>
          <w:fldChar w:fldCharType="end"/>
        </w:r>
      </w:hyperlink>
    </w:p>
    <w:p w:rsidR="00A11558" w:rsidRDefault="00C80FD9">
      <w:pPr>
        <w:pStyle w:val="TOC3"/>
        <w:rPr>
          <w:noProof/>
          <w:sz w:val="22"/>
          <w:szCs w:val="22"/>
        </w:rPr>
      </w:pPr>
      <w:hyperlink w:anchor="_Toc400972852" w:history="1">
        <w:r w:rsidR="00A11558" w:rsidRPr="00EE4609">
          <w:rPr>
            <w:rStyle w:val="Hyperlink"/>
            <w:rFonts w:ascii="Times New Roman" w:hAnsi="Times New Roman" w:cs="Times New Roman"/>
            <w:noProof/>
          </w:rPr>
          <w:t>Nõuandetegevus</w:t>
        </w:r>
        <w:r w:rsidR="00A11558">
          <w:rPr>
            <w:noProof/>
            <w:webHidden/>
          </w:rPr>
          <w:tab/>
        </w:r>
        <w:r w:rsidR="00A11558">
          <w:rPr>
            <w:noProof/>
            <w:webHidden/>
          </w:rPr>
          <w:fldChar w:fldCharType="begin"/>
        </w:r>
        <w:r w:rsidR="00A11558">
          <w:rPr>
            <w:noProof/>
            <w:webHidden/>
          </w:rPr>
          <w:instrText xml:space="preserve"> PAGEREF _Toc400972852 \h </w:instrText>
        </w:r>
        <w:r w:rsidR="00A11558">
          <w:rPr>
            <w:noProof/>
            <w:webHidden/>
          </w:rPr>
        </w:r>
        <w:r w:rsidR="00A11558">
          <w:rPr>
            <w:noProof/>
            <w:webHidden/>
          </w:rPr>
          <w:fldChar w:fldCharType="separate"/>
        </w:r>
        <w:r w:rsidR="00586824">
          <w:rPr>
            <w:noProof/>
            <w:webHidden/>
          </w:rPr>
          <w:t>45</w:t>
        </w:r>
        <w:r w:rsidR="00A11558">
          <w:rPr>
            <w:noProof/>
            <w:webHidden/>
          </w:rPr>
          <w:fldChar w:fldCharType="end"/>
        </w:r>
      </w:hyperlink>
    </w:p>
    <w:p w:rsidR="00A11558" w:rsidRDefault="00C80FD9">
      <w:pPr>
        <w:pStyle w:val="TOC2"/>
        <w:rPr>
          <w:rFonts w:asciiTheme="minorHAnsi" w:hAnsiTheme="minorHAnsi" w:cstheme="minorBidi"/>
          <w:b w:val="0"/>
          <w:sz w:val="22"/>
          <w:szCs w:val="22"/>
        </w:rPr>
      </w:pPr>
      <w:hyperlink w:anchor="_Toc400972853" w:history="1">
        <w:r w:rsidR="00A11558" w:rsidRPr="00EE4609">
          <w:rPr>
            <w:rStyle w:val="Hyperlink"/>
          </w:rPr>
          <w:t>7.7. Poliitiline raamistik</w:t>
        </w:r>
        <w:r w:rsidR="00A11558">
          <w:rPr>
            <w:webHidden/>
          </w:rPr>
          <w:tab/>
        </w:r>
        <w:r w:rsidR="00A11558">
          <w:rPr>
            <w:webHidden/>
          </w:rPr>
          <w:fldChar w:fldCharType="begin"/>
        </w:r>
        <w:r w:rsidR="00A11558">
          <w:rPr>
            <w:webHidden/>
          </w:rPr>
          <w:instrText xml:space="preserve"> PAGEREF _Toc400972853 \h </w:instrText>
        </w:r>
        <w:r w:rsidR="00A11558">
          <w:rPr>
            <w:webHidden/>
          </w:rPr>
        </w:r>
        <w:r w:rsidR="00A11558">
          <w:rPr>
            <w:webHidden/>
          </w:rPr>
          <w:fldChar w:fldCharType="separate"/>
        </w:r>
        <w:r w:rsidR="00586824">
          <w:rPr>
            <w:webHidden/>
          </w:rPr>
          <w:t>45</w:t>
        </w:r>
        <w:r w:rsidR="00A11558">
          <w:rPr>
            <w:webHidden/>
          </w:rPr>
          <w:fldChar w:fldCharType="end"/>
        </w:r>
      </w:hyperlink>
    </w:p>
    <w:p w:rsidR="00A11558" w:rsidRDefault="00C80FD9">
      <w:pPr>
        <w:pStyle w:val="TOC2"/>
        <w:rPr>
          <w:rFonts w:asciiTheme="minorHAnsi" w:hAnsiTheme="minorHAnsi" w:cstheme="minorBidi"/>
          <w:b w:val="0"/>
          <w:sz w:val="22"/>
          <w:szCs w:val="22"/>
        </w:rPr>
      </w:pPr>
      <w:hyperlink w:anchor="_Toc400972854" w:history="1">
        <w:r w:rsidR="00A11558" w:rsidRPr="00EE4609">
          <w:rPr>
            <w:rStyle w:val="Hyperlink"/>
          </w:rPr>
          <w:t>7.8. Majandusnäitajate analüüs</w:t>
        </w:r>
        <w:r w:rsidR="00A11558">
          <w:rPr>
            <w:webHidden/>
          </w:rPr>
          <w:tab/>
        </w:r>
        <w:r w:rsidR="00A11558">
          <w:rPr>
            <w:webHidden/>
          </w:rPr>
          <w:fldChar w:fldCharType="begin"/>
        </w:r>
        <w:r w:rsidR="00A11558">
          <w:rPr>
            <w:webHidden/>
          </w:rPr>
          <w:instrText xml:space="preserve"> PAGEREF _Toc400972854 \h </w:instrText>
        </w:r>
        <w:r w:rsidR="00A11558">
          <w:rPr>
            <w:webHidden/>
          </w:rPr>
        </w:r>
        <w:r w:rsidR="00A11558">
          <w:rPr>
            <w:webHidden/>
          </w:rPr>
          <w:fldChar w:fldCharType="separate"/>
        </w:r>
        <w:r w:rsidR="00586824">
          <w:rPr>
            <w:webHidden/>
          </w:rPr>
          <w:t>47</w:t>
        </w:r>
        <w:r w:rsidR="00A11558">
          <w:rPr>
            <w:webHidden/>
          </w:rPr>
          <w:fldChar w:fldCharType="end"/>
        </w:r>
      </w:hyperlink>
    </w:p>
    <w:p w:rsidR="00A11558" w:rsidRDefault="00C80FD9">
      <w:pPr>
        <w:pStyle w:val="TOC3"/>
        <w:rPr>
          <w:noProof/>
          <w:sz w:val="22"/>
          <w:szCs w:val="22"/>
        </w:rPr>
      </w:pPr>
      <w:hyperlink w:anchor="_Toc400972855" w:history="1">
        <w:r w:rsidR="00A11558" w:rsidRPr="00EE4609">
          <w:rPr>
            <w:rStyle w:val="Hyperlink"/>
            <w:rFonts w:ascii="Times New Roman" w:hAnsi="Times New Roman" w:cs="Times New Roman"/>
            <w:noProof/>
          </w:rPr>
          <w:t>Teravilja tootmise majanduslik ülevaade</w:t>
        </w:r>
        <w:r w:rsidR="00A11558">
          <w:rPr>
            <w:noProof/>
            <w:webHidden/>
          </w:rPr>
          <w:tab/>
        </w:r>
        <w:r w:rsidR="00A11558">
          <w:rPr>
            <w:noProof/>
            <w:webHidden/>
          </w:rPr>
          <w:fldChar w:fldCharType="begin"/>
        </w:r>
        <w:r w:rsidR="00A11558">
          <w:rPr>
            <w:noProof/>
            <w:webHidden/>
          </w:rPr>
          <w:instrText xml:space="preserve"> PAGEREF _Toc400972855 \h </w:instrText>
        </w:r>
        <w:r w:rsidR="00A11558">
          <w:rPr>
            <w:noProof/>
            <w:webHidden/>
          </w:rPr>
        </w:r>
        <w:r w:rsidR="00A11558">
          <w:rPr>
            <w:noProof/>
            <w:webHidden/>
          </w:rPr>
          <w:fldChar w:fldCharType="separate"/>
        </w:r>
        <w:r w:rsidR="00586824">
          <w:rPr>
            <w:noProof/>
            <w:webHidden/>
          </w:rPr>
          <w:t>47</w:t>
        </w:r>
        <w:r w:rsidR="00A11558">
          <w:rPr>
            <w:noProof/>
            <w:webHidden/>
          </w:rPr>
          <w:fldChar w:fldCharType="end"/>
        </w:r>
      </w:hyperlink>
    </w:p>
    <w:p w:rsidR="00A11558" w:rsidRDefault="00C80FD9">
      <w:pPr>
        <w:pStyle w:val="TOC3"/>
        <w:rPr>
          <w:noProof/>
          <w:sz w:val="22"/>
          <w:szCs w:val="22"/>
        </w:rPr>
      </w:pPr>
      <w:hyperlink w:anchor="_Toc400972856" w:history="1">
        <w:r w:rsidR="00A11558" w:rsidRPr="00EE4609">
          <w:rPr>
            <w:rStyle w:val="Hyperlink"/>
            <w:rFonts w:ascii="Times New Roman" w:hAnsi="Times New Roman" w:cs="Times New Roman"/>
            <w:noProof/>
          </w:rPr>
          <w:t>Teravilja (sEALhULGAS õli) töötlemise majanduslik ülevaade</w:t>
        </w:r>
        <w:r w:rsidR="00A11558">
          <w:rPr>
            <w:noProof/>
            <w:webHidden/>
          </w:rPr>
          <w:tab/>
        </w:r>
        <w:r w:rsidR="00A11558">
          <w:rPr>
            <w:noProof/>
            <w:webHidden/>
          </w:rPr>
          <w:fldChar w:fldCharType="begin"/>
        </w:r>
        <w:r w:rsidR="00A11558">
          <w:rPr>
            <w:noProof/>
            <w:webHidden/>
          </w:rPr>
          <w:instrText xml:space="preserve"> PAGEREF _Toc400972856 \h </w:instrText>
        </w:r>
        <w:r w:rsidR="00A11558">
          <w:rPr>
            <w:noProof/>
            <w:webHidden/>
          </w:rPr>
        </w:r>
        <w:r w:rsidR="00A11558">
          <w:rPr>
            <w:noProof/>
            <w:webHidden/>
          </w:rPr>
          <w:fldChar w:fldCharType="separate"/>
        </w:r>
        <w:r w:rsidR="00586824">
          <w:rPr>
            <w:noProof/>
            <w:webHidden/>
          </w:rPr>
          <w:t>54</w:t>
        </w:r>
        <w:r w:rsidR="00A11558">
          <w:rPr>
            <w:noProof/>
            <w:webHidden/>
          </w:rPr>
          <w:fldChar w:fldCharType="end"/>
        </w:r>
      </w:hyperlink>
    </w:p>
    <w:p w:rsidR="00A11558" w:rsidRPr="00A11558" w:rsidRDefault="00C80FD9">
      <w:pPr>
        <w:pStyle w:val="TOC1"/>
        <w:rPr>
          <w:b/>
          <w:noProof/>
          <w:sz w:val="22"/>
          <w:szCs w:val="22"/>
        </w:rPr>
      </w:pPr>
      <w:hyperlink w:anchor="_Toc400972857" w:history="1">
        <w:r w:rsidR="00A11558" w:rsidRPr="00A11558">
          <w:rPr>
            <w:rStyle w:val="Hyperlink"/>
            <w:rFonts w:ascii="Times New Roman" w:hAnsi="Times New Roman" w:cs="Times New Roman"/>
            <w:b/>
            <w:noProof/>
          </w:rPr>
          <w:t>Lisa 1. Riikliku programmi „Põllumajanduslikud rakendusuuringud ja arendustegevus aastatel 2009–2014” raames teostatud teraviljakasvatusega seotud projektid</w:t>
        </w:r>
        <w:r w:rsidR="00A11558" w:rsidRPr="00A11558">
          <w:rPr>
            <w:b/>
            <w:noProof/>
            <w:webHidden/>
          </w:rPr>
          <w:tab/>
        </w:r>
        <w:r w:rsidR="00A11558" w:rsidRPr="00A11558">
          <w:rPr>
            <w:b/>
            <w:noProof/>
            <w:webHidden/>
          </w:rPr>
          <w:fldChar w:fldCharType="begin"/>
        </w:r>
        <w:r w:rsidR="00A11558" w:rsidRPr="00A11558">
          <w:rPr>
            <w:b/>
            <w:noProof/>
            <w:webHidden/>
          </w:rPr>
          <w:instrText xml:space="preserve"> PAGEREF _Toc400972857 \h </w:instrText>
        </w:r>
        <w:r w:rsidR="00A11558" w:rsidRPr="00A11558">
          <w:rPr>
            <w:b/>
            <w:noProof/>
            <w:webHidden/>
          </w:rPr>
        </w:r>
        <w:r w:rsidR="00A11558" w:rsidRPr="00A11558">
          <w:rPr>
            <w:b/>
            <w:noProof/>
            <w:webHidden/>
          </w:rPr>
          <w:fldChar w:fldCharType="separate"/>
        </w:r>
        <w:r w:rsidR="00586824">
          <w:rPr>
            <w:b/>
            <w:noProof/>
            <w:webHidden/>
          </w:rPr>
          <w:t>56</w:t>
        </w:r>
        <w:r w:rsidR="00A11558" w:rsidRPr="00A11558">
          <w:rPr>
            <w:b/>
            <w:noProof/>
            <w:webHidden/>
          </w:rPr>
          <w:fldChar w:fldCharType="end"/>
        </w:r>
      </w:hyperlink>
    </w:p>
    <w:p w:rsidR="00A11558" w:rsidRPr="00A11558" w:rsidRDefault="00C80FD9">
      <w:pPr>
        <w:pStyle w:val="TOC1"/>
        <w:rPr>
          <w:b/>
          <w:noProof/>
          <w:sz w:val="22"/>
          <w:szCs w:val="22"/>
        </w:rPr>
      </w:pPr>
      <w:hyperlink w:anchor="_Toc400972858" w:history="1">
        <w:r w:rsidR="00A11558" w:rsidRPr="00A11558">
          <w:rPr>
            <w:rStyle w:val="Hyperlink"/>
            <w:rFonts w:ascii="Times New Roman" w:hAnsi="Times New Roman" w:cs="Times New Roman"/>
            <w:b/>
            <w:noProof/>
          </w:rPr>
          <w:t>Lisa 2. Kavandatavad taimekasvatuse valdkonna uuringud, SEALHULGAS teadus- ja rakendusuuringud aastatel 2014–2020</w:t>
        </w:r>
        <w:r w:rsidR="00A11558" w:rsidRPr="00A11558">
          <w:rPr>
            <w:b/>
            <w:noProof/>
            <w:webHidden/>
          </w:rPr>
          <w:tab/>
        </w:r>
        <w:r w:rsidR="00A11558" w:rsidRPr="00A11558">
          <w:rPr>
            <w:b/>
            <w:noProof/>
            <w:webHidden/>
          </w:rPr>
          <w:fldChar w:fldCharType="begin"/>
        </w:r>
        <w:r w:rsidR="00A11558" w:rsidRPr="00A11558">
          <w:rPr>
            <w:b/>
            <w:noProof/>
            <w:webHidden/>
          </w:rPr>
          <w:instrText xml:space="preserve"> PAGEREF _Toc400972858 \h </w:instrText>
        </w:r>
        <w:r w:rsidR="00A11558" w:rsidRPr="00A11558">
          <w:rPr>
            <w:b/>
            <w:noProof/>
            <w:webHidden/>
          </w:rPr>
        </w:r>
        <w:r w:rsidR="00A11558" w:rsidRPr="00A11558">
          <w:rPr>
            <w:b/>
            <w:noProof/>
            <w:webHidden/>
          </w:rPr>
          <w:fldChar w:fldCharType="separate"/>
        </w:r>
        <w:r w:rsidR="00586824">
          <w:rPr>
            <w:b/>
            <w:noProof/>
            <w:webHidden/>
          </w:rPr>
          <w:t>58</w:t>
        </w:r>
        <w:r w:rsidR="00A11558" w:rsidRPr="00A11558">
          <w:rPr>
            <w:b/>
            <w:noProof/>
            <w:webHidden/>
          </w:rPr>
          <w:fldChar w:fldCharType="end"/>
        </w:r>
      </w:hyperlink>
    </w:p>
    <w:p w:rsidR="00A11558" w:rsidRPr="00A11558" w:rsidRDefault="00C80FD9">
      <w:pPr>
        <w:pStyle w:val="TOC1"/>
        <w:rPr>
          <w:b/>
          <w:noProof/>
          <w:sz w:val="22"/>
          <w:szCs w:val="22"/>
        </w:rPr>
      </w:pPr>
      <w:hyperlink w:anchor="_Toc400972859" w:history="1">
        <w:r w:rsidR="00A11558" w:rsidRPr="00A11558">
          <w:rPr>
            <w:rStyle w:val="Hyperlink"/>
            <w:rFonts w:ascii="Times New Roman" w:hAnsi="Times New Roman" w:cs="Times New Roman"/>
            <w:b/>
            <w:noProof/>
          </w:rPr>
          <w:t>Lisa 3. Kavandatavate taimekasvatusalaste väljaannete nimekiri aastatel 2014–2020</w:t>
        </w:r>
        <w:r w:rsidR="00A11558" w:rsidRPr="00A11558">
          <w:rPr>
            <w:b/>
            <w:noProof/>
            <w:webHidden/>
          </w:rPr>
          <w:tab/>
        </w:r>
        <w:r w:rsidR="00A11558" w:rsidRPr="00A11558">
          <w:rPr>
            <w:b/>
            <w:noProof/>
            <w:webHidden/>
          </w:rPr>
          <w:fldChar w:fldCharType="begin"/>
        </w:r>
        <w:r w:rsidR="00A11558" w:rsidRPr="00A11558">
          <w:rPr>
            <w:b/>
            <w:noProof/>
            <w:webHidden/>
          </w:rPr>
          <w:instrText xml:space="preserve"> PAGEREF _Toc400972859 \h </w:instrText>
        </w:r>
        <w:r w:rsidR="00A11558" w:rsidRPr="00A11558">
          <w:rPr>
            <w:b/>
            <w:noProof/>
            <w:webHidden/>
          </w:rPr>
        </w:r>
        <w:r w:rsidR="00A11558" w:rsidRPr="00A11558">
          <w:rPr>
            <w:b/>
            <w:noProof/>
            <w:webHidden/>
          </w:rPr>
          <w:fldChar w:fldCharType="separate"/>
        </w:r>
        <w:r w:rsidR="00586824">
          <w:rPr>
            <w:b/>
            <w:noProof/>
            <w:webHidden/>
          </w:rPr>
          <w:t>59</w:t>
        </w:r>
        <w:r w:rsidR="00A11558" w:rsidRPr="00A11558">
          <w:rPr>
            <w:b/>
            <w:noProof/>
            <w:webHidden/>
          </w:rPr>
          <w:fldChar w:fldCharType="end"/>
        </w:r>
      </w:hyperlink>
    </w:p>
    <w:p w:rsidR="00A11558" w:rsidRPr="00A11558" w:rsidRDefault="00C80FD9">
      <w:pPr>
        <w:pStyle w:val="TOC1"/>
        <w:rPr>
          <w:b/>
          <w:noProof/>
          <w:sz w:val="22"/>
          <w:szCs w:val="22"/>
        </w:rPr>
      </w:pPr>
      <w:hyperlink w:anchor="_Toc400972860" w:history="1">
        <w:r w:rsidR="00A11558" w:rsidRPr="00A11558">
          <w:rPr>
            <w:rStyle w:val="Hyperlink"/>
            <w:rFonts w:ascii="Times New Roman" w:hAnsi="Times New Roman" w:cs="Times New Roman"/>
            <w:b/>
            <w:noProof/>
          </w:rPr>
          <w:t>Lisa 4. Kavandatavad taimekasvatusalased koolitused, infopäevad ja teavitusüritused aastatel 2014–2020</w:t>
        </w:r>
        <w:r w:rsidR="00A11558" w:rsidRPr="00A11558">
          <w:rPr>
            <w:b/>
            <w:noProof/>
            <w:webHidden/>
          </w:rPr>
          <w:tab/>
        </w:r>
        <w:r w:rsidR="00A11558" w:rsidRPr="00A11558">
          <w:rPr>
            <w:b/>
            <w:noProof/>
            <w:webHidden/>
          </w:rPr>
          <w:fldChar w:fldCharType="begin"/>
        </w:r>
        <w:r w:rsidR="00A11558" w:rsidRPr="00A11558">
          <w:rPr>
            <w:b/>
            <w:noProof/>
            <w:webHidden/>
          </w:rPr>
          <w:instrText xml:space="preserve"> PAGEREF _Toc400972860 \h </w:instrText>
        </w:r>
        <w:r w:rsidR="00A11558" w:rsidRPr="00A11558">
          <w:rPr>
            <w:b/>
            <w:noProof/>
            <w:webHidden/>
          </w:rPr>
        </w:r>
        <w:r w:rsidR="00A11558" w:rsidRPr="00A11558">
          <w:rPr>
            <w:b/>
            <w:noProof/>
            <w:webHidden/>
          </w:rPr>
          <w:fldChar w:fldCharType="separate"/>
        </w:r>
        <w:r w:rsidR="00586824">
          <w:rPr>
            <w:b/>
            <w:noProof/>
            <w:webHidden/>
          </w:rPr>
          <w:t>60</w:t>
        </w:r>
        <w:r w:rsidR="00A11558" w:rsidRPr="00A11558">
          <w:rPr>
            <w:b/>
            <w:noProof/>
            <w:webHidden/>
          </w:rPr>
          <w:fldChar w:fldCharType="end"/>
        </w:r>
      </w:hyperlink>
    </w:p>
    <w:p w:rsidR="005B0E30" w:rsidRDefault="00A11558">
      <w:pPr>
        <w:pStyle w:val="TOC1"/>
        <w:rPr>
          <w:b/>
          <w:bCs/>
          <w:caps/>
        </w:rPr>
      </w:pPr>
      <w:r>
        <w:rPr>
          <w:b/>
          <w:bCs/>
          <w:caps/>
        </w:rPr>
        <w:fldChar w:fldCharType="end"/>
      </w:r>
    </w:p>
    <w:p w:rsidR="00883D8F" w:rsidRPr="00EF67B7" w:rsidRDefault="00883D8F" w:rsidP="00933209">
      <w:pPr>
        <w:pStyle w:val="Heading1"/>
        <w:rPr>
          <w:sz w:val="32"/>
          <w:szCs w:val="32"/>
        </w:rPr>
      </w:pPr>
      <w:bookmarkStart w:id="49" w:name="_Toc389223931"/>
      <w:bookmarkStart w:id="50" w:name="_Toc391908862"/>
      <w:bookmarkStart w:id="51" w:name="_Toc391991796"/>
      <w:bookmarkStart w:id="52" w:name="_Toc397593016"/>
      <w:bookmarkStart w:id="53" w:name="_Toc398896312"/>
      <w:bookmarkStart w:id="54" w:name="_Toc398896452"/>
      <w:bookmarkStart w:id="55" w:name="_Toc400972824"/>
      <w:r w:rsidRPr="00EF67B7">
        <w:rPr>
          <w:sz w:val="32"/>
          <w:szCs w:val="32"/>
        </w:rPr>
        <w:lastRenderedPageBreak/>
        <w:t>Kasutatud lühendid</w:t>
      </w:r>
      <w:bookmarkEnd w:id="15"/>
      <w:bookmarkEnd w:id="49"/>
      <w:bookmarkEnd w:id="50"/>
      <w:bookmarkEnd w:id="51"/>
      <w:bookmarkEnd w:id="52"/>
      <w:bookmarkEnd w:id="53"/>
      <w:bookmarkEnd w:id="54"/>
      <w:bookmarkEnd w:id="55"/>
    </w:p>
    <w:p w:rsidR="00883D8F" w:rsidRPr="001C6904" w:rsidRDefault="00883D8F" w:rsidP="00883D8F">
      <w:pPr>
        <w:spacing w:line="276" w:lineRule="auto"/>
        <w:rPr>
          <w:sz w:val="24"/>
          <w:szCs w:val="24"/>
        </w:rPr>
      </w:pPr>
    </w:p>
    <w:p w:rsidR="00883D8F" w:rsidRPr="001C6904" w:rsidRDefault="00883D8F" w:rsidP="00883D8F">
      <w:pPr>
        <w:spacing w:line="276" w:lineRule="auto"/>
        <w:rPr>
          <w:sz w:val="24"/>
          <w:szCs w:val="24"/>
        </w:rPr>
      </w:pPr>
      <w:r w:rsidRPr="001C6904">
        <w:rPr>
          <w:sz w:val="24"/>
          <w:szCs w:val="24"/>
        </w:rPr>
        <w:t xml:space="preserve">EAFRD – Maaelu Arengu Euroopa Põllumajandusfond </w:t>
      </w:r>
    </w:p>
    <w:p w:rsidR="00883D8F" w:rsidRPr="001C6904" w:rsidRDefault="00883D8F" w:rsidP="00883D8F">
      <w:pPr>
        <w:spacing w:line="276" w:lineRule="auto"/>
        <w:rPr>
          <w:sz w:val="24"/>
          <w:szCs w:val="24"/>
        </w:rPr>
      </w:pPr>
      <w:r w:rsidRPr="001C6904">
        <w:rPr>
          <w:sz w:val="24"/>
          <w:szCs w:val="24"/>
        </w:rPr>
        <w:t>EAGF – Euroopa Põllumajanduse Tagatisfond</w:t>
      </w:r>
    </w:p>
    <w:p w:rsidR="00883D8F" w:rsidRPr="001C6904" w:rsidRDefault="00883D8F" w:rsidP="00883D8F">
      <w:pPr>
        <w:spacing w:line="276" w:lineRule="auto"/>
        <w:rPr>
          <w:sz w:val="24"/>
          <w:szCs w:val="24"/>
        </w:rPr>
      </w:pPr>
      <w:r w:rsidRPr="001C6904">
        <w:rPr>
          <w:sz w:val="24"/>
          <w:szCs w:val="24"/>
        </w:rPr>
        <w:t xml:space="preserve">EAGIS – Estonian </w:t>
      </w:r>
      <w:proofErr w:type="spellStart"/>
      <w:r w:rsidRPr="001C6904">
        <w:rPr>
          <w:sz w:val="24"/>
          <w:szCs w:val="24"/>
        </w:rPr>
        <w:t>Agricultural</w:t>
      </w:r>
      <w:proofErr w:type="spellEnd"/>
      <w:r w:rsidRPr="001C6904">
        <w:rPr>
          <w:sz w:val="24"/>
          <w:szCs w:val="24"/>
        </w:rPr>
        <w:t xml:space="preserve"> </w:t>
      </w:r>
      <w:proofErr w:type="spellStart"/>
      <w:r w:rsidRPr="001C6904">
        <w:rPr>
          <w:sz w:val="24"/>
          <w:szCs w:val="24"/>
        </w:rPr>
        <w:t>Geographical</w:t>
      </w:r>
      <w:proofErr w:type="spellEnd"/>
      <w:r w:rsidRPr="001C6904">
        <w:rPr>
          <w:sz w:val="24"/>
          <w:szCs w:val="24"/>
        </w:rPr>
        <w:t xml:space="preserve"> </w:t>
      </w:r>
      <w:proofErr w:type="spellStart"/>
      <w:r w:rsidRPr="001C6904">
        <w:rPr>
          <w:sz w:val="24"/>
          <w:szCs w:val="24"/>
        </w:rPr>
        <w:t>Information</w:t>
      </w:r>
      <w:proofErr w:type="spellEnd"/>
      <w:r w:rsidRPr="001C6904">
        <w:rPr>
          <w:sz w:val="24"/>
          <w:szCs w:val="24"/>
        </w:rPr>
        <w:t xml:space="preserve"> System</w:t>
      </w:r>
    </w:p>
    <w:p w:rsidR="00883D8F" w:rsidRPr="001C6904" w:rsidRDefault="00883D8F" w:rsidP="00883D8F">
      <w:pPr>
        <w:spacing w:line="276" w:lineRule="auto"/>
        <w:rPr>
          <w:sz w:val="24"/>
          <w:szCs w:val="24"/>
        </w:rPr>
      </w:pPr>
      <w:r w:rsidRPr="001C6904">
        <w:rPr>
          <w:sz w:val="24"/>
          <w:szCs w:val="24"/>
        </w:rPr>
        <w:t xml:space="preserve">ECPGR – </w:t>
      </w:r>
      <w:proofErr w:type="spellStart"/>
      <w:r w:rsidRPr="001C6904">
        <w:rPr>
          <w:sz w:val="24"/>
          <w:szCs w:val="24"/>
        </w:rPr>
        <w:t>European</w:t>
      </w:r>
      <w:proofErr w:type="spellEnd"/>
      <w:r w:rsidRPr="001C6904">
        <w:rPr>
          <w:sz w:val="24"/>
          <w:szCs w:val="24"/>
        </w:rPr>
        <w:t xml:space="preserve"> </w:t>
      </w:r>
      <w:proofErr w:type="spellStart"/>
      <w:r w:rsidRPr="001C6904">
        <w:rPr>
          <w:sz w:val="24"/>
          <w:szCs w:val="24"/>
        </w:rPr>
        <w:t>Cooperative</w:t>
      </w:r>
      <w:proofErr w:type="spellEnd"/>
      <w:r w:rsidRPr="001C6904">
        <w:rPr>
          <w:sz w:val="24"/>
          <w:szCs w:val="24"/>
        </w:rPr>
        <w:t xml:space="preserve"> Programme </w:t>
      </w:r>
      <w:proofErr w:type="spellStart"/>
      <w:r w:rsidRPr="001C6904">
        <w:rPr>
          <w:sz w:val="24"/>
          <w:szCs w:val="24"/>
        </w:rPr>
        <w:t>for</w:t>
      </w:r>
      <w:proofErr w:type="spellEnd"/>
      <w:r w:rsidRPr="001C6904">
        <w:rPr>
          <w:sz w:val="24"/>
          <w:szCs w:val="24"/>
        </w:rPr>
        <w:t xml:space="preserve"> </w:t>
      </w:r>
      <w:proofErr w:type="spellStart"/>
      <w:r w:rsidRPr="001C6904">
        <w:rPr>
          <w:sz w:val="24"/>
          <w:szCs w:val="24"/>
        </w:rPr>
        <w:t>Plant</w:t>
      </w:r>
      <w:proofErr w:type="spellEnd"/>
      <w:r w:rsidRPr="001C6904">
        <w:rPr>
          <w:sz w:val="24"/>
          <w:szCs w:val="24"/>
        </w:rPr>
        <w:t xml:space="preserve"> </w:t>
      </w:r>
      <w:proofErr w:type="spellStart"/>
      <w:r w:rsidRPr="001C6904">
        <w:rPr>
          <w:sz w:val="24"/>
          <w:szCs w:val="24"/>
        </w:rPr>
        <w:t>Genetic</w:t>
      </w:r>
      <w:proofErr w:type="spellEnd"/>
      <w:r w:rsidRPr="001C6904">
        <w:rPr>
          <w:sz w:val="24"/>
          <w:szCs w:val="24"/>
        </w:rPr>
        <w:t xml:space="preserve"> </w:t>
      </w:r>
      <w:proofErr w:type="spellStart"/>
      <w:r w:rsidRPr="001C6904">
        <w:rPr>
          <w:sz w:val="24"/>
          <w:szCs w:val="24"/>
        </w:rPr>
        <w:t>Resources</w:t>
      </w:r>
      <w:proofErr w:type="spellEnd"/>
    </w:p>
    <w:p w:rsidR="00883D8F" w:rsidRPr="001C6904" w:rsidRDefault="00883D8F" w:rsidP="00883D8F">
      <w:pPr>
        <w:spacing w:line="276" w:lineRule="auto"/>
        <w:rPr>
          <w:sz w:val="24"/>
          <w:szCs w:val="24"/>
        </w:rPr>
      </w:pPr>
      <w:r w:rsidRPr="001C6904">
        <w:rPr>
          <w:sz w:val="24"/>
          <w:szCs w:val="24"/>
        </w:rPr>
        <w:t>EIP – Euroopa I</w:t>
      </w:r>
      <w:r w:rsidR="00FD4B22">
        <w:rPr>
          <w:sz w:val="24"/>
          <w:szCs w:val="24"/>
        </w:rPr>
        <w:t>nnovatsioonipartnerlus</w:t>
      </w:r>
    </w:p>
    <w:p w:rsidR="00883D8F" w:rsidRPr="001C6904" w:rsidRDefault="00883D8F" w:rsidP="00883D8F">
      <w:pPr>
        <w:spacing w:line="276" w:lineRule="auto"/>
        <w:rPr>
          <w:sz w:val="24"/>
          <w:szCs w:val="24"/>
        </w:rPr>
      </w:pPr>
      <w:r w:rsidRPr="001C6904">
        <w:rPr>
          <w:sz w:val="24"/>
          <w:szCs w:val="24"/>
        </w:rPr>
        <w:t>EL – Euroopa Liit</w:t>
      </w:r>
    </w:p>
    <w:p w:rsidR="00883D8F" w:rsidRPr="001C6904" w:rsidRDefault="00883D8F" w:rsidP="00883D8F">
      <w:pPr>
        <w:spacing w:line="276" w:lineRule="auto"/>
        <w:rPr>
          <w:sz w:val="24"/>
          <w:szCs w:val="24"/>
        </w:rPr>
      </w:pPr>
      <w:r w:rsidRPr="001C6904">
        <w:rPr>
          <w:sz w:val="24"/>
          <w:szCs w:val="24"/>
        </w:rPr>
        <w:t>EMHI – Eesti Meteoroloogia- ja Hüdroloogia Instituut</w:t>
      </w:r>
    </w:p>
    <w:p w:rsidR="00883D8F" w:rsidRPr="001C6904" w:rsidRDefault="00883D8F" w:rsidP="00883D8F">
      <w:pPr>
        <w:spacing w:line="276" w:lineRule="auto"/>
        <w:rPr>
          <w:sz w:val="24"/>
          <w:szCs w:val="24"/>
        </w:rPr>
      </w:pPr>
      <w:r w:rsidRPr="001C6904">
        <w:rPr>
          <w:sz w:val="24"/>
          <w:szCs w:val="24"/>
        </w:rPr>
        <w:t xml:space="preserve">EMÜ – Eesti Maaülikool </w:t>
      </w:r>
    </w:p>
    <w:p w:rsidR="00883D8F" w:rsidRPr="001C6904" w:rsidRDefault="00883D8F" w:rsidP="00883D8F">
      <w:pPr>
        <w:spacing w:line="276" w:lineRule="auto"/>
        <w:rPr>
          <w:sz w:val="24"/>
          <w:szCs w:val="24"/>
        </w:rPr>
      </w:pPr>
      <w:r w:rsidRPr="001C6904">
        <w:rPr>
          <w:sz w:val="24"/>
          <w:szCs w:val="24"/>
        </w:rPr>
        <w:t xml:space="preserve">EPTK – Eesti Põllumeeste Keskliit </w:t>
      </w:r>
    </w:p>
    <w:p w:rsidR="00883D8F" w:rsidRPr="001C6904" w:rsidRDefault="00883D8F" w:rsidP="00883D8F">
      <w:pPr>
        <w:spacing w:line="276" w:lineRule="auto"/>
        <w:rPr>
          <w:sz w:val="24"/>
          <w:szCs w:val="24"/>
        </w:rPr>
      </w:pPr>
      <w:r w:rsidRPr="001C6904">
        <w:rPr>
          <w:sz w:val="24"/>
          <w:szCs w:val="24"/>
        </w:rPr>
        <w:t xml:space="preserve">ETKI – Eesti Taimekasvatuse Instituut </w:t>
      </w:r>
    </w:p>
    <w:p w:rsidR="00883D8F" w:rsidRPr="001C6904" w:rsidRDefault="00883D8F" w:rsidP="00883D8F">
      <w:pPr>
        <w:spacing w:line="276" w:lineRule="auto"/>
        <w:rPr>
          <w:sz w:val="24"/>
          <w:szCs w:val="24"/>
        </w:rPr>
      </w:pPr>
      <w:r w:rsidRPr="001C6904">
        <w:rPr>
          <w:sz w:val="24"/>
          <w:szCs w:val="24"/>
        </w:rPr>
        <w:t>FADN – Põllumajandusliku raamatupidamise andmebaas</w:t>
      </w:r>
    </w:p>
    <w:p w:rsidR="00883D8F" w:rsidRPr="001C6904" w:rsidRDefault="00883D8F" w:rsidP="00883D8F">
      <w:pPr>
        <w:spacing w:line="276" w:lineRule="auto"/>
        <w:rPr>
          <w:sz w:val="24"/>
          <w:szCs w:val="24"/>
        </w:rPr>
      </w:pPr>
      <w:r w:rsidRPr="001C6904">
        <w:rPr>
          <w:sz w:val="24"/>
          <w:szCs w:val="24"/>
        </w:rPr>
        <w:t>FAO – ÜRO Toidu- ja Põllumajandusorganisatsioon</w:t>
      </w:r>
    </w:p>
    <w:p w:rsidR="00883D8F" w:rsidRPr="001C6904" w:rsidRDefault="00883D8F" w:rsidP="00883D8F">
      <w:pPr>
        <w:spacing w:line="276" w:lineRule="auto"/>
        <w:rPr>
          <w:sz w:val="24"/>
          <w:szCs w:val="24"/>
        </w:rPr>
      </w:pPr>
      <w:r w:rsidRPr="001C6904">
        <w:rPr>
          <w:sz w:val="24"/>
          <w:szCs w:val="24"/>
        </w:rPr>
        <w:t>Horisont 2020 – Euroopa Liidu teadusuuringute ja i</w:t>
      </w:r>
      <w:r w:rsidR="00D277F4">
        <w:rPr>
          <w:sz w:val="24"/>
          <w:szCs w:val="24"/>
        </w:rPr>
        <w:t>nnovatsiooni rahastamisprogramm</w:t>
      </w:r>
    </w:p>
    <w:p w:rsidR="00883D8F" w:rsidRPr="001C6904" w:rsidRDefault="00883D8F" w:rsidP="00883D8F">
      <w:pPr>
        <w:spacing w:line="276" w:lineRule="auto"/>
        <w:rPr>
          <w:sz w:val="24"/>
          <w:szCs w:val="24"/>
        </w:rPr>
      </w:pPr>
      <w:r w:rsidRPr="001C6904">
        <w:rPr>
          <w:sz w:val="24"/>
          <w:szCs w:val="24"/>
        </w:rPr>
        <w:t xml:space="preserve">HTM – Haridus- ja Teadusministeerium </w:t>
      </w:r>
    </w:p>
    <w:p w:rsidR="00883D8F" w:rsidRPr="001C6904" w:rsidRDefault="00883D8F" w:rsidP="00883D8F">
      <w:pPr>
        <w:spacing w:line="276" w:lineRule="auto"/>
        <w:rPr>
          <w:sz w:val="24"/>
          <w:szCs w:val="24"/>
        </w:rPr>
      </w:pPr>
      <w:r w:rsidRPr="001C6904">
        <w:rPr>
          <w:sz w:val="24"/>
          <w:szCs w:val="24"/>
        </w:rPr>
        <w:t>ISTA – Rahvusvaheline Seemnekontrolli Assotsiatsioon</w:t>
      </w:r>
    </w:p>
    <w:p w:rsidR="00883D8F" w:rsidRPr="001C6904" w:rsidRDefault="00883D8F" w:rsidP="00883D8F">
      <w:pPr>
        <w:spacing w:line="276" w:lineRule="auto"/>
        <w:rPr>
          <w:sz w:val="24"/>
          <w:szCs w:val="24"/>
        </w:rPr>
      </w:pPr>
      <w:r w:rsidRPr="001C6904">
        <w:rPr>
          <w:sz w:val="24"/>
          <w:szCs w:val="24"/>
        </w:rPr>
        <w:t xml:space="preserve">KKM – Keskkonnaministeerium </w:t>
      </w:r>
    </w:p>
    <w:p w:rsidR="00883D8F" w:rsidRPr="001C6904" w:rsidRDefault="00883D8F" w:rsidP="00883D8F">
      <w:pPr>
        <w:spacing w:line="276" w:lineRule="auto"/>
        <w:rPr>
          <w:sz w:val="24"/>
          <w:szCs w:val="24"/>
        </w:rPr>
      </w:pPr>
      <w:r w:rsidRPr="001C6904">
        <w:rPr>
          <w:sz w:val="24"/>
          <w:szCs w:val="24"/>
        </w:rPr>
        <w:t>KSM – Keskkonnasõbraliku majandamise toetus</w:t>
      </w:r>
    </w:p>
    <w:p w:rsidR="00883D8F" w:rsidRPr="001C6904" w:rsidRDefault="00883D8F" w:rsidP="00883D8F">
      <w:pPr>
        <w:spacing w:line="276" w:lineRule="auto"/>
        <w:rPr>
          <w:sz w:val="24"/>
          <w:szCs w:val="24"/>
        </w:rPr>
      </w:pPr>
      <w:r w:rsidRPr="001C6904">
        <w:rPr>
          <w:sz w:val="24"/>
          <w:szCs w:val="24"/>
        </w:rPr>
        <w:t xml:space="preserve">MAK – Eesti maaelu arengukava 2014–2020 </w:t>
      </w:r>
    </w:p>
    <w:p w:rsidR="00883D8F" w:rsidRPr="001C6904" w:rsidRDefault="00883D8F" w:rsidP="00883D8F">
      <w:pPr>
        <w:spacing w:line="276" w:lineRule="auto"/>
        <w:rPr>
          <w:sz w:val="24"/>
          <w:szCs w:val="24"/>
        </w:rPr>
      </w:pPr>
      <w:r w:rsidRPr="001C6904">
        <w:rPr>
          <w:sz w:val="24"/>
          <w:szCs w:val="24"/>
        </w:rPr>
        <w:t xml:space="preserve">MES – Maaelu Edendamise Sihtasutus </w:t>
      </w:r>
    </w:p>
    <w:p w:rsidR="00883D8F" w:rsidRPr="001C6904" w:rsidRDefault="00883D8F" w:rsidP="00883D8F">
      <w:pPr>
        <w:spacing w:line="276" w:lineRule="auto"/>
        <w:rPr>
          <w:sz w:val="24"/>
          <w:szCs w:val="24"/>
        </w:rPr>
      </w:pPr>
      <w:r w:rsidRPr="001C6904">
        <w:rPr>
          <w:sz w:val="24"/>
          <w:szCs w:val="24"/>
        </w:rPr>
        <w:t>NLV – Netolisandväärtus</w:t>
      </w:r>
    </w:p>
    <w:p w:rsidR="00883D8F" w:rsidRPr="001C6904" w:rsidRDefault="00883D8F" w:rsidP="00883D8F">
      <w:pPr>
        <w:spacing w:line="276" w:lineRule="auto"/>
        <w:rPr>
          <w:sz w:val="24"/>
          <w:szCs w:val="24"/>
        </w:rPr>
      </w:pPr>
      <w:r w:rsidRPr="001C6904">
        <w:rPr>
          <w:sz w:val="24"/>
          <w:szCs w:val="24"/>
        </w:rPr>
        <w:t xml:space="preserve">OECD – Majanduskoostöö ja Arengu Organisatsioon </w:t>
      </w:r>
    </w:p>
    <w:p w:rsidR="00883D8F" w:rsidRPr="001C6904" w:rsidRDefault="00883D8F" w:rsidP="00883D8F">
      <w:pPr>
        <w:spacing w:line="276" w:lineRule="auto"/>
        <w:rPr>
          <w:sz w:val="24"/>
          <w:szCs w:val="24"/>
        </w:rPr>
      </w:pPr>
      <w:r w:rsidRPr="001C6904">
        <w:rPr>
          <w:sz w:val="24"/>
          <w:szCs w:val="24"/>
        </w:rPr>
        <w:t>PM – Põllumajandusministeerium</w:t>
      </w:r>
    </w:p>
    <w:p w:rsidR="00883D8F" w:rsidRPr="001C6904" w:rsidRDefault="00883D8F" w:rsidP="00883D8F">
      <w:pPr>
        <w:spacing w:line="276" w:lineRule="auto"/>
        <w:rPr>
          <w:sz w:val="24"/>
          <w:szCs w:val="24"/>
        </w:rPr>
      </w:pPr>
      <w:r w:rsidRPr="001C6904">
        <w:rPr>
          <w:sz w:val="24"/>
          <w:szCs w:val="24"/>
        </w:rPr>
        <w:t xml:space="preserve">PMA – Põllumajandusamet </w:t>
      </w:r>
    </w:p>
    <w:p w:rsidR="00883D8F" w:rsidRPr="001C6904" w:rsidRDefault="00883D8F" w:rsidP="00883D8F">
      <w:pPr>
        <w:spacing w:line="276" w:lineRule="auto"/>
        <w:rPr>
          <w:sz w:val="24"/>
          <w:szCs w:val="24"/>
        </w:rPr>
      </w:pPr>
      <w:r w:rsidRPr="001C6904">
        <w:rPr>
          <w:sz w:val="24"/>
          <w:szCs w:val="24"/>
        </w:rPr>
        <w:t>PMK – Põllumajandusuuringute Keskus</w:t>
      </w:r>
    </w:p>
    <w:p w:rsidR="00883D8F" w:rsidRPr="001C6904" w:rsidRDefault="00883D8F" w:rsidP="00883D8F">
      <w:pPr>
        <w:spacing w:line="276" w:lineRule="auto"/>
        <w:rPr>
          <w:sz w:val="24"/>
          <w:szCs w:val="24"/>
        </w:rPr>
      </w:pPr>
      <w:r w:rsidRPr="001C6904">
        <w:rPr>
          <w:sz w:val="24"/>
          <w:szCs w:val="24"/>
        </w:rPr>
        <w:t xml:space="preserve">PRIA – Põllumajanduse Registrite ja Informatsiooni Amet </w:t>
      </w:r>
    </w:p>
    <w:p w:rsidR="00883D8F" w:rsidRPr="001C6904" w:rsidRDefault="00485197" w:rsidP="00883D8F">
      <w:pPr>
        <w:spacing w:line="276" w:lineRule="auto"/>
        <w:rPr>
          <w:sz w:val="24"/>
          <w:szCs w:val="24"/>
        </w:rPr>
      </w:pPr>
      <w:r>
        <w:rPr>
          <w:sz w:val="24"/>
          <w:szCs w:val="24"/>
        </w:rPr>
        <w:t>TAP – T</w:t>
      </w:r>
      <w:r w:rsidR="00883D8F" w:rsidRPr="001C6904">
        <w:rPr>
          <w:sz w:val="24"/>
          <w:szCs w:val="24"/>
        </w:rPr>
        <w:t xml:space="preserve">eadus- ja arendusprojektid põllumajandus-, toidu- ning metsandussektoris </w:t>
      </w:r>
    </w:p>
    <w:p w:rsidR="00883D8F" w:rsidRPr="001C6904" w:rsidRDefault="00883D8F" w:rsidP="00883D8F">
      <w:pPr>
        <w:spacing w:line="276" w:lineRule="auto"/>
        <w:rPr>
          <w:sz w:val="24"/>
          <w:szCs w:val="24"/>
        </w:rPr>
      </w:pPr>
      <w:r w:rsidRPr="001C6904">
        <w:rPr>
          <w:sz w:val="24"/>
          <w:szCs w:val="24"/>
        </w:rPr>
        <w:t>VTA – Veterinaar ja Toiduamet</w:t>
      </w:r>
    </w:p>
    <w:p w:rsidR="00883D8F" w:rsidRPr="001C6904" w:rsidRDefault="00883D8F" w:rsidP="00883D8F">
      <w:pPr>
        <w:spacing w:line="276" w:lineRule="auto"/>
        <w:rPr>
          <w:sz w:val="24"/>
          <w:szCs w:val="24"/>
        </w:rPr>
      </w:pPr>
      <w:r w:rsidRPr="001C6904">
        <w:rPr>
          <w:sz w:val="24"/>
          <w:szCs w:val="24"/>
        </w:rPr>
        <w:t xml:space="preserve">WTO – Maailma Kaubandusorganisatsioon </w:t>
      </w:r>
    </w:p>
    <w:p w:rsidR="00883D8F" w:rsidRPr="001C6904" w:rsidRDefault="00883D8F" w:rsidP="00883D8F">
      <w:pPr>
        <w:spacing w:line="276" w:lineRule="auto"/>
        <w:rPr>
          <w:sz w:val="24"/>
          <w:szCs w:val="24"/>
        </w:rPr>
      </w:pPr>
      <w:proofErr w:type="spellStart"/>
      <w:r w:rsidRPr="001C6904">
        <w:rPr>
          <w:sz w:val="24"/>
          <w:szCs w:val="24"/>
        </w:rPr>
        <w:t>ü.a.t</w:t>
      </w:r>
      <w:proofErr w:type="spellEnd"/>
      <w:r w:rsidRPr="001C6904">
        <w:rPr>
          <w:sz w:val="24"/>
          <w:szCs w:val="24"/>
        </w:rPr>
        <w:t>. – Teraviljast toodetud  tooted on tagasi arvutat</w:t>
      </w:r>
      <w:r w:rsidR="004E1A3D">
        <w:rPr>
          <w:sz w:val="24"/>
          <w:szCs w:val="24"/>
        </w:rPr>
        <w:t xml:space="preserve">ud teravilja ekvivalendiks ehk </w:t>
      </w:r>
      <w:r w:rsidRPr="001C6904">
        <w:rPr>
          <w:sz w:val="24"/>
          <w:szCs w:val="24"/>
        </w:rPr>
        <w:t>ümber arvutatud teraks</w:t>
      </w:r>
    </w:p>
    <w:p w:rsidR="00883D8F" w:rsidRPr="001C6904" w:rsidRDefault="00883D8F" w:rsidP="00883D8F">
      <w:pPr>
        <w:spacing w:line="276" w:lineRule="auto"/>
        <w:rPr>
          <w:sz w:val="24"/>
          <w:szCs w:val="24"/>
        </w:rPr>
      </w:pPr>
      <w:r w:rsidRPr="001C6904">
        <w:rPr>
          <w:sz w:val="24"/>
          <w:szCs w:val="24"/>
        </w:rPr>
        <w:t xml:space="preserve">ÜPP – Ühine </w:t>
      </w:r>
      <w:r w:rsidR="00060C3A">
        <w:rPr>
          <w:sz w:val="24"/>
          <w:szCs w:val="24"/>
        </w:rPr>
        <w:t>p</w:t>
      </w:r>
      <w:r w:rsidRPr="001C6904">
        <w:rPr>
          <w:sz w:val="24"/>
          <w:szCs w:val="24"/>
        </w:rPr>
        <w:t xml:space="preserve">õllumajanduspoliitika  </w:t>
      </w:r>
    </w:p>
    <w:p w:rsidR="00883D8F" w:rsidRPr="001C6904" w:rsidRDefault="00883D8F" w:rsidP="00883D8F">
      <w:pPr>
        <w:spacing w:line="276" w:lineRule="auto"/>
        <w:rPr>
          <w:sz w:val="24"/>
          <w:szCs w:val="24"/>
        </w:rPr>
      </w:pPr>
      <w:r w:rsidRPr="001C6904">
        <w:rPr>
          <w:sz w:val="24"/>
          <w:szCs w:val="24"/>
        </w:rPr>
        <w:t>ÜTK – Ühine turukorraldus</w:t>
      </w:r>
    </w:p>
    <w:p w:rsidR="00883D8F" w:rsidRDefault="00883D8F">
      <w:pPr>
        <w:rPr>
          <w:b/>
          <w:bCs/>
          <w:caps/>
          <w:color w:val="FFFFFF" w:themeColor="background1"/>
          <w:spacing w:val="15"/>
          <w:sz w:val="22"/>
          <w:szCs w:val="22"/>
        </w:rPr>
      </w:pPr>
      <w:r>
        <w:br w:type="page"/>
      </w:r>
    </w:p>
    <w:p w:rsidR="00054530" w:rsidRPr="00F9215A" w:rsidRDefault="00054530" w:rsidP="00F9215A">
      <w:pPr>
        <w:pStyle w:val="Heading1"/>
        <w:rPr>
          <w:sz w:val="32"/>
          <w:szCs w:val="32"/>
        </w:rPr>
      </w:pPr>
      <w:bookmarkStart w:id="56" w:name="_Toc389223870"/>
      <w:bookmarkStart w:id="57" w:name="_Toc389223932"/>
      <w:bookmarkStart w:id="58" w:name="_Toc391908863"/>
      <w:bookmarkStart w:id="59" w:name="_Toc391991797"/>
      <w:bookmarkStart w:id="60" w:name="_Toc397593017"/>
      <w:bookmarkStart w:id="61" w:name="_Toc398896313"/>
      <w:bookmarkStart w:id="62" w:name="_Toc398896453"/>
      <w:bookmarkStart w:id="63" w:name="_Toc400972825"/>
      <w:r w:rsidRPr="00F9215A">
        <w:rPr>
          <w:sz w:val="32"/>
          <w:szCs w:val="32"/>
        </w:rPr>
        <w:lastRenderedPageBreak/>
        <w:t>Sissejuhatus</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56"/>
      <w:bookmarkEnd w:id="57"/>
      <w:bookmarkEnd w:id="58"/>
      <w:bookmarkEnd w:id="59"/>
      <w:bookmarkEnd w:id="60"/>
      <w:bookmarkEnd w:id="61"/>
      <w:bookmarkEnd w:id="62"/>
      <w:bookmarkEnd w:id="63"/>
    </w:p>
    <w:p w:rsidR="00054530" w:rsidRPr="0024503A" w:rsidRDefault="00054530" w:rsidP="00BC7A5C">
      <w:pPr>
        <w:spacing w:line="276" w:lineRule="auto"/>
        <w:rPr>
          <w:rFonts w:ascii="Times New Roman" w:hAnsi="Times New Roman" w:cs="Times New Roman"/>
          <w:sz w:val="24"/>
          <w:szCs w:val="24"/>
        </w:rPr>
      </w:pPr>
    </w:p>
    <w:p w:rsidR="00E52450" w:rsidRPr="00BC7A5C" w:rsidRDefault="00E52450" w:rsidP="00BC7A5C">
      <w:pPr>
        <w:pStyle w:val="CommentText"/>
        <w:spacing w:line="276" w:lineRule="auto"/>
        <w:jc w:val="both"/>
        <w:rPr>
          <w:rFonts w:ascii="Times New Roman" w:hAnsi="Times New Roman" w:cs="Times New Roman"/>
          <w:sz w:val="24"/>
          <w:szCs w:val="24"/>
        </w:rPr>
      </w:pPr>
      <w:bookmarkStart w:id="64" w:name="_Toc364425065"/>
      <w:bookmarkStart w:id="65" w:name="_Toc369618502"/>
      <w:bookmarkStart w:id="66" w:name="_Toc369619390"/>
      <w:bookmarkStart w:id="67" w:name="_Toc369776425"/>
      <w:bookmarkStart w:id="68" w:name="_Toc369776634"/>
      <w:bookmarkStart w:id="69" w:name="_Toc371429801"/>
      <w:bookmarkStart w:id="70" w:name="_Toc371430304"/>
      <w:bookmarkStart w:id="71" w:name="_Toc371952745"/>
      <w:bookmarkStart w:id="72" w:name="_Toc372023088"/>
      <w:bookmarkStart w:id="73" w:name="_Toc364425067"/>
      <w:bookmarkStart w:id="74" w:name="_Toc369618503"/>
      <w:bookmarkStart w:id="75" w:name="_Toc369619391"/>
      <w:bookmarkStart w:id="76" w:name="_Toc369776426"/>
      <w:bookmarkStart w:id="77" w:name="_Toc369776635"/>
      <w:r w:rsidRPr="00BC7A5C">
        <w:rPr>
          <w:rFonts w:ascii="Times New Roman" w:hAnsi="Times New Roman" w:cs="Times New Roman"/>
          <w:sz w:val="24"/>
          <w:szCs w:val="24"/>
        </w:rPr>
        <w:t>Teraviljakasvatus on E</w:t>
      </w:r>
      <w:r w:rsidR="00C41852" w:rsidRPr="00BC7A5C">
        <w:rPr>
          <w:rFonts w:ascii="Times New Roman" w:hAnsi="Times New Roman" w:cs="Times New Roman"/>
          <w:sz w:val="24"/>
          <w:szCs w:val="24"/>
        </w:rPr>
        <w:t>esti</w:t>
      </w:r>
      <w:r w:rsidRPr="00BC7A5C">
        <w:rPr>
          <w:rFonts w:ascii="Times New Roman" w:hAnsi="Times New Roman" w:cs="Times New Roman"/>
          <w:sz w:val="24"/>
          <w:szCs w:val="24"/>
        </w:rPr>
        <w:t xml:space="preserve"> elanikke</w:t>
      </w:r>
      <w:r w:rsidR="00DA0155">
        <w:rPr>
          <w:rFonts w:ascii="Times New Roman" w:hAnsi="Times New Roman" w:cs="Times New Roman"/>
          <w:sz w:val="24"/>
          <w:szCs w:val="24"/>
        </w:rPr>
        <w:t xml:space="preserve"> toiduga ja loomi söödaga</w:t>
      </w:r>
      <w:r w:rsidRPr="00BC7A5C">
        <w:rPr>
          <w:rFonts w:ascii="Times New Roman" w:hAnsi="Times New Roman" w:cs="Times New Roman"/>
          <w:sz w:val="24"/>
          <w:szCs w:val="24"/>
        </w:rPr>
        <w:t xml:space="preserve"> varustanud juba aastatuhandeid. Esimesed sellekohased andmed pärinevad Eesti Entsüklopeedia</w:t>
      </w:r>
      <w:r w:rsidR="00395BD8" w:rsidRPr="00BC7A5C">
        <w:rPr>
          <w:rFonts w:ascii="Times New Roman" w:hAnsi="Times New Roman" w:cs="Times New Roman"/>
          <w:sz w:val="24"/>
          <w:szCs w:val="24"/>
        </w:rPr>
        <w:t xml:space="preserve"> </w:t>
      </w:r>
      <w:r w:rsidRPr="00BC7A5C">
        <w:rPr>
          <w:rFonts w:ascii="Times New Roman" w:hAnsi="Times New Roman" w:cs="Times New Roman"/>
          <w:sz w:val="24"/>
          <w:szCs w:val="24"/>
        </w:rPr>
        <w:t xml:space="preserve">andmetel soo- ja järvesetetest leitud kultuurkõrreliste õietolmu põhjal ajavahemikust 4300–4500 aastat eKr. </w:t>
      </w:r>
      <w:r w:rsidR="003907C0" w:rsidRPr="00BC7A5C">
        <w:rPr>
          <w:rFonts w:ascii="Times New Roman" w:hAnsi="Times New Roman" w:cs="Times New Roman"/>
          <w:sz w:val="24"/>
          <w:szCs w:val="24"/>
        </w:rPr>
        <w:t>Senise ajaloo olulisimaks teraviljakasva</w:t>
      </w:r>
      <w:r w:rsidR="008E4EF5" w:rsidRPr="00BC7A5C">
        <w:rPr>
          <w:rFonts w:ascii="Times New Roman" w:hAnsi="Times New Roman" w:cs="Times New Roman"/>
          <w:sz w:val="24"/>
          <w:szCs w:val="24"/>
        </w:rPr>
        <w:t>tuse perioodiks võib lugeda 30</w:t>
      </w:r>
      <w:r w:rsidR="003907C0" w:rsidRPr="00BC7A5C">
        <w:rPr>
          <w:rFonts w:ascii="Times New Roman" w:hAnsi="Times New Roman" w:cs="Times New Roman"/>
          <w:sz w:val="24"/>
          <w:szCs w:val="24"/>
        </w:rPr>
        <w:t xml:space="preserve">ndate aastate lõppu, kui teraviljakasvatuse kogupindala oli </w:t>
      </w:r>
      <w:r w:rsidR="00E863D0">
        <w:rPr>
          <w:rFonts w:ascii="Times New Roman" w:hAnsi="Times New Roman" w:cs="Times New Roman"/>
          <w:sz w:val="24"/>
          <w:szCs w:val="24"/>
        </w:rPr>
        <w:t>kaks</w:t>
      </w:r>
      <w:r w:rsidR="003907C0" w:rsidRPr="00BC7A5C">
        <w:rPr>
          <w:rFonts w:ascii="Times New Roman" w:hAnsi="Times New Roman" w:cs="Times New Roman"/>
          <w:sz w:val="24"/>
          <w:szCs w:val="24"/>
        </w:rPr>
        <w:t xml:space="preserve"> korda enam tänasest, ulatudes 590 tuhande hektarini.</w:t>
      </w:r>
    </w:p>
    <w:p w:rsidR="00E52450" w:rsidRPr="00BC7A5C" w:rsidRDefault="00E52450" w:rsidP="00BC7A5C">
      <w:pPr>
        <w:adjustRightInd w:val="0"/>
        <w:spacing w:line="276" w:lineRule="auto"/>
        <w:jc w:val="both"/>
        <w:rPr>
          <w:rFonts w:ascii="Times New Roman" w:hAnsi="Times New Roman" w:cs="Times New Roman"/>
          <w:sz w:val="24"/>
          <w:szCs w:val="24"/>
        </w:rPr>
      </w:pPr>
    </w:p>
    <w:p w:rsidR="00E52450" w:rsidRPr="00BC7A5C" w:rsidRDefault="008E6A1A" w:rsidP="00BC7A5C">
      <w:pPr>
        <w:adjustRightInd w:val="0"/>
        <w:spacing w:line="276" w:lineRule="auto"/>
        <w:jc w:val="both"/>
        <w:rPr>
          <w:rFonts w:ascii="Times New Roman" w:hAnsi="Times New Roman" w:cs="Times New Roman"/>
          <w:sz w:val="24"/>
          <w:szCs w:val="24"/>
        </w:rPr>
      </w:pPr>
      <w:r w:rsidRPr="00BC7A5C">
        <w:rPr>
          <w:rFonts w:ascii="Times New Roman" w:hAnsi="Times New Roman" w:cs="Times New Roman"/>
          <w:sz w:val="24"/>
          <w:szCs w:val="24"/>
        </w:rPr>
        <w:t>Nii nagu kõik on ajas muutuv, ei ole ka</w:t>
      </w:r>
      <w:r w:rsidR="00E52450" w:rsidRPr="00BC7A5C">
        <w:rPr>
          <w:rFonts w:ascii="Times New Roman" w:hAnsi="Times New Roman" w:cs="Times New Roman"/>
          <w:sz w:val="24"/>
          <w:szCs w:val="24"/>
        </w:rPr>
        <w:t xml:space="preserve"> selleaegne teraviljakasvatus enam võrreldav tänapäeva</w:t>
      </w:r>
      <w:r w:rsidRPr="00BC7A5C">
        <w:rPr>
          <w:rFonts w:ascii="Times New Roman" w:hAnsi="Times New Roman" w:cs="Times New Roman"/>
          <w:sz w:val="24"/>
          <w:szCs w:val="24"/>
        </w:rPr>
        <w:t>sega</w:t>
      </w:r>
      <w:r w:rsidR="00E52450" w:rsidRPr="00BC7A5C">
        <w:rPr>
          <w:rFonts w:ascii="Times New Roman" w:hAnsi="Times New Roman" w:cs="Times New Roman"/>
          <w:sz w:val="24"/>
          <w:szCs w:val="24"/>
        </w:rPr>
        <w:t>. Alates Eesti taasiseseisvumisest on teraviljakasvatus läbinud mitmeid olulisi muudatusi, millest viimane leidis aset Euroopa Liiduga liitumisel 2004. aastal</w:t>
      </w:r>
      <w:r w:rsidRPr="00BC7A5C">
        <w:rPr>
          <w:rFonts w:ascii="Times New Roman" w:hAnsi="Times New Roman" w:cs="Times New Roman"/>
          <w:sz w:val="24"/>
          <w:szCs w:val="24"/>
        </w:rPr>
        <w:t>,</w:t>
      </w:r>
      <w:r w:rsidR="00E52450" w:rsidRPr="00BC7A5C">
        <w:rPr>
          <w:rFonts w:ascii="Times New Roman" w:hAnsi="Times New Roman" w:cs="Times New Roman"/>
          <w:sz w:val="24"/>
          <w:szCs w:val="24"/>
        </w:rPr>
        <w:t xml:space="preserve"> kui Eesti teraviljakasvatajast sai mitte ainult Eesti rahva toiduga varustaja, vaid ka </w:t>
      </w:r>
      <w:r w:rsidR="00C4037B" w:rsidRPr="00BC7A5C">
        <w:rPr>
          <w:rFonts w:ascii="Times New Roman" w:hAnsi="Times New Roman" w:cs="Times New Roman"/>
          <w:sz w:val="24"/>
          <w:szCs w:val="24"/>
        </w:rPr>
        <w:t xml:space="preserve">osaline </w:t>
      </w:r>
      <w:r w:rsidR="00E52450" w:rsidRPr="00BC7A5C">
        <w:rPr>
          <w:rFonts w:ascii="Times New Roman" w:hAnsi="Times New Roman" w:cs="Times New Roman"/>
          <w:sz w:val="24"/>
          <w:szCs w:val="24"/>
        </w:rPr>
        <w:t>maailma</w:t>
      </w:r>
      <w:r w:rsidR="00C4037B" w:rsidRPr="00BC7A5C">
        <w:rPr>
          <w:rFonts w:ascii="Times New Roman" w:hAnsi="Times New Roman" w:cs="Times New Roman"/>
          <w:sz w:val="24"/>
          <w:szCs w:val="24"/>
        </w:rPr>
        <w:t>turul</w:t>
      </w:r>
      <w:r w:rsidR="00E52450" w:rsidRPr="00BC7A5C">
        <w:rPr>
          <w:rFonts w:ascii="Times New Roman" w:hAnsi="Times New Roman" w:cs="Times New Roman"/>
          <w:sz w:val="24"/>
          <w:szCs w:val="24"/>
        </w:rPr>
        <w:t>. Euroopa Liidu liikme</w:t>
      </w:r>
      <w:r w:rsidRPr="00BC7A5C">
        <w:rPr>
          <w:rFonts w:ascii="Times New Roman" w:hAnsi="Times New Roman" w:cs="Times New Roman"/>
          <w:sz w:val="24"/>
          <w:szCs w:val="24"/>
        </w:rPr>
        <w:t>ks saamisega</w:t>
      </w:r>
      <w:r w:rsidR="00E52450" w:rsidRPr="00BC7A5C">
        <w:rPr>
          <w:rFonts w:ascii="Times New Roman" w:hAnsi="Times New Roman" w:cs="Times New Roman"/>
          <w:sz w:val="24"/>
          <w:szCs w:val="24"/>
        </w:rPr>
        <w:t xml:space="preserve"> on toimunud märgata</w:t>
      </w:r>
      <w:r w:rsidR="00676670" w:rsidRPr="00BC7A5C">
        <w:rPr>
          <w:rFonts w:ascii="Times New Roman" w:hAnsi="Times New Roman" w:cs="Times New Roman"/>
          <w:sz w:val="24"/>
          <w:szCs w:val="24"/>
        </w:rPr>
        <w:t xml:space="preserve">v </w:t>
      </w:r>
      <w:r w:rsidR="00805A6D">
        <w:rPr>
          <w:rFonts w:ascii="Times New Roman" w:hAnsi="Times New Roman" w:cs="Times New Roman"/>
          <w:sz w:val="24"/>
          <w:szCs w:val="24"/>
        </w:rPr>
        <w:t>arengu</w:t>
      </w:r>
      <w:r w:rsidR="00676670" w:rsidRPr="00BC7A5C">
        <w:rPr>
          <w:rFonts w:ascii="Times New Roman" w:hAnsi="Times New Roman" w:cs="Times New Roman"/>
          <w:sz w:val="24"/>
          <w:szCs w:val="24"/>
        </w:rPr>
        <w:t>hüpe teravilja</w:t>
      </w:r>
      <w:r w:rsidR="00870BFF" w:rsidRPr="00BC7A5C">
        <w:rPr>
          <w:rFonts w:ascii="Times New Roman" w:hAnsi="Times New Roman" w:cs="Times New Roman"/>
          <w:sz w:val="24"/>
          <w:szCs w:val="24"/>
        </w:rPr>
        <w:t>kasvatuse</w:t>
      </w:r>
      <w:r w:rsidR="00805A6D">
        <w:rPr>
          <w:rFonts w:ascii="Times New Roman" w:hAnsi="Times New Roman" w:cs="Times New Roman"/>
          <w:sz w:val="24"/>
          <w:szCs w:val="24"/>
        </w:rPr>
        <w:t>s, mille</w:t>
      </w:r>
      <w:r w:rsidR="003907C0" w:rsidRPr="00BC7A5C">
        <w:rPr>
          <w:rFonts w:ascii="Times New Roman" w:hAnsi="Times New Roman" w:cs="Times New Roman"/>
          <w:sz w:val="24"/>
          <w:szCs w:val="24"/>
        </w:rPr>
        <w:t xml:space="preserve"> edukus</w:t>
      </w:r>
      <w:r w:rsidR="00805A6D">
        <w:rPr>
          <w:rFonts w:ascii="Times New Roman" w:hAnsi="Times New Roman" w:cs="Times New Roman"/>
          <w:sz w:val="24"/>
          <w:szCs w:val="24"/>
        </w:rPr>
        <w:t xml:space="preserve"> ei sõltu</w:t>
      </w:r>
      <w:r w:rsidR="003907C0" w:rsidRPr="00BC7A5C">
        <w:rPr>
          <w:rFonts w:ascii="Times New Roman" w:hAnsi="Times New Roman" w:cs="Times New Roman"/>
          <w:sz w:val="24"/>
          <w:szCs w:val="24"/>
        </w:rPr>
        <w:t xml:space="preserve"> ainult ettevõtte</w:t>
      </w:r>
      <w:r w:rsidR="00E52450" w:rsidRPr="00BC7A5C">
        <w:rPr>
          <w:rFonts w:ascii="Times New Roman" w:hAnsi="Times New Roman" w:cs="Times New Roman"/>
          <w:sz w:val="24"/>
          <w:szCs w:val="24"/>
        </w:rPr>
        <w:t xml:space="preserve"> </w:t>
      </w:r>
      <w:r w:rsidR="003907C0" w:rsidRPr="00BC7A5C">
        <w:rPr>
          <w:rFonts w:ascii="Times New Roman" w:hAnsi="Times New Roman" w:cs="Times New Roman"/>
          <w:sz w:val="24"/>
          <w:szCs w:val="24"/>
        </w:rPr>
        <w:t>investeeringutest tehnikasse</w:t>
      </w:r>
      <w:r w:rsidR="00E52450" w:rsidRPr="00BC7A5C">
        <w:rPr>
          <w:rFonts w:ascii="Times New Roman" w:hAnsi="Times New Roman" w:cs="Times New Roman"/>
          <w:sz w:val="24"/>
          <w:szCs w:val="24"/>
        </w:rPr>
        <w:t>, kasutatavatest väetistest ja taimekaitsevahenditest.</w:t>
      </w:r>
      <w:r w:rsidR="006A7F59" w:rsidRPr="00BC7A5C">
        <w:rPr>
          <w:rFonts w:ascii="Times New Roman" w:hAnsi="Times New Roman" w:cs="Times New Roman"/>
          <w:sz w:val="24"/>
          <w:szCs w:val="24"/>
        </w:rPr>
        <w:t xml:space="preserve"> Esmatähtis on</w:t>
      </w:r>
      <w:r w:rsidR="001F0F87" w:rsidRPr="00BC7A5C">
        <w:rPr>
          <w:rFonts w:ascii="Times New Roman" w:hAnsi="Times New Roman" w:cs="Times New Roman"/>
          <w:sz w:val="24"/>
          <w:szCs w:val="24"/>
        </w:rPr>
        <w:t xml:space="preserve"> arvestada </w:t>
      </w:r>
      <w:r w:rsidR="004107C2" w:rsidRPr="00BC7A5C">
        <w:rPr>
          <w:rFonts w:ascii="Times New Roman" w:hAnsi="Times New Roman" w:cs="Times New Roman"/>
          <w:sz w:val="24"/>
          <w:szCs w:val="24"/>
        </w:rPr>
        <w:t xml:space="preserve">ka </w:t>
      </w:r>
      <w:r w:rsidR="001F0F87" w:rsidRPr="00BC7A5C">
        <w:rPr>
          <w:rFonts w:ascii="Times New Roman" w:hAnsi="Times New Roman" w:cs="Times New Roman"/>
          <w:sz w:val="24"/>
          <w:szCs w:val="24"/>
        </w:rPr>
        <w:t>põllu</w:t>
      </w:r>
      <w:r w:rsidR="00B7743E">
        <w:rPr>
          <w:rFonts w:ascii="Times New Roman" w:hAnsi="Times New Roman" w:cs="Times New Roman"/>
          <w:sz w:val="24"/>
          <w:szCs w:val="24"/>
        </w:rPr>
        <w:t>maa</w:t>
      </w:r>
      <w:r w:rsidR="001F0F87" w:rsidRPr="00BC7A5C">
        <w:rPr>
          <w:rFonts w:ascii="Times New Roman" w:hAnsi="Times New Roman" w:cs="Times New Roman"/>
          <w:sz w:val="24"/>
          <w:szCs w:val="24"/>
        </w:rPr>
        <w:t xml:space="preserve"> </w:t>
      </w:r>
      <w:r w:rsidR="00F420AB" w:rsidRPr="00BC7A5C">
        <w:rPr>
          <w:rFonts w:ascii="Times New Roman" w:hAnsi="Times New Roman" w:cs="Times New Roman"/>
          <w:sz w:val="24"/>
          <w:szCs w:val="24"/>
        </w:rPr>
        <w:t>eripäraga</w:t>
      </w:r>
      <w:r w:rsidR="004107C2" w:rsidRPr="00BC7A5C">
        <w:rPr>
          <w:rFonts w:ascii="Times New Roman" w:hAnsi="Times New Roman" w:cs="Times New Roman"/>
          <w:sz w:val="24"/>
          <w:szCs w:val="24"/>
        </w:rPr>
        <w:t xml:space="preserve">, </w:t>
      </w:r>
      <w:r w:rsidR="001F0F87" w:rsidRPr="00BC7A5C">
        <w:rPr>
          <w:rFonts w:ascii="Times New Roman" w:hAnsi="Times New Roman" w:cs="Times New Roman"/>
          <w:sz w:val="24"/>
          <w:szCs w:val="24"/>
        </w:rPr>
        <w:t>ilmastik</w:t>
      </w:r>
      <w:r w:rsidR="00F420AB" w:rsidRPr="00BC7A5C">
        <w:rPr>
          <w:rFonts w:ascii="Times New Roman" w:hAnsi="Times New Roman" w:cs="Times New Roman"/>
          <w:sz w:val="24"/>
          <w:szCs w:val="24"/>
        </w:rPr>
        <w:t>u</w:t>
      </w:r>
      <w:r w:rsidR="00DF5C75" w:rsidRPr="00BC7A5C">
        <w:rPr>
          <w:rFonts w:ascii="Times New Roman" w:hAnsi="Times New Roman" w:cs="Times New Roman"/>
          <w:sz w:val="24"/>
          <w:szCs w:val="24"/>
        </w:rPr>
        <w:t>olude</w:t>
      </w:r>
      <w:r w:rsidR="00F420AB" w:rsidRPr="00BC7A5C">
        <w:rPr>
          <w:rFonts w:ascii="Times New Roman" w:hAnsi="Times New Roman" w:cs="Times New Roman"/>
          <w:sz w:val="24"/>
          <w:szCs w:val="24"/>
        </w:rPr>
        <w:t>ga</w:t>
      </w:r>
      <w:r w:rsidR="001F0F87" w:rsidRPr="00BC7A5C">
        <w:rPr>
          <w:rFonts w:ascii="Times New Roman" w:hAnsi="Times New Roman" w:cs="Times New Roman"/>
          <w:sz w:val="24"/>
          <w:szCs w:val="24"/>
        </w:rPr>
        <w:t xml:space="preserve">, mis </w:t>
      </w:r>
      <w:r w:rsidR="00A853CF" w:rsidRPr="00BC7A5C">
        <w:rPr>
          <w:rFonts w:ascii="Times New Roman" w:hAnsi="Times New Roman" w:cs="Times New Roman"/>
          <w:sz w:val="24"/>
          <w:szCs w:val="24"/>
        </w:rPr>
        <w:t>mõjuta</w:t>
      </w:r>
      <w:r w:rsidR="00AA688B">
        <w:rPr>
          <w:rFonts w:ascii="Times New Roman" w:hAnsi="Times New Roman" w:cs="Times New Roman"/>
          <w:sz w:val="24"/>
          <w:szCs w:val="24"/>
        </w:rPr>
        <w:t>vad</w:t>
      </w:r>
      <w:r w:rsidR="00A853CF" w:rsidRPr="00BC7A5C">
        <w:rPr>
          <w:rFonts w:ascii="Times New Roman" w:hAnsi="Times New Roman" w:cs="Times New Roman"/>
          <w:sz w:val="24"/>
          <w:szCs w:val="24"/>
        </w:rPr>
        <w:t xml:space="preserve"> </w:t>
      </w:r>
      <w:r w:rsidR="001F0F87" w:rsidRPr="00BC7A5C">
        <w:rPr>
          <w:rFonts w:ascii="Times New Roman" w:hAnsi="Times New Roman" w:cs="Times New Roman"/>
          <w:sz w:val="24"/>
          <w:szCs w:val="24"/>
        </w:rPr>
        <w:t>saaki</w:t>
      </w:r>
      <w:r w:rsidR="00DF5C75" w:rsidRPr="00BC7A5C">
        <w:rPr>
          <w:rFonts w:ascii="Times New Roman" w:hAnsi="Times New Roman" w:cs="Times New Roman"/>
          <w:sz w:val="24"/>
          <w:szCs w:val="24"/>
        </w:rPr>
        <w:t xml:space="preserve"> ja</w:t>
      </w:r>
      <w:r w:rsidR="00B7743E">
        <w:rPr>
          <w:rFonts w:ascii="Times New Roman" w:hAnsi="Times New Roman" w:cs="Times New Roman"/>
          <w:sz w:val="24"/>
          <w:szCs w:val="24"/>
        </w:rPr>
        <w:t xml:space="preserve"> selle</w:t>
      </w:r>
      <w:r w:rsidR="00DF5C75" w:rsidRPr="00BC7A5C">
        <w:rPr>
          <w:rFonts w:ascii="Times New Roman" w:hAnsi="Times New Roman" w:cs="Times New Roman"/>
          <w:sz w:val="24"/>
          <w:szCs w:val="24"/>
        </w:rPr>
        <w:t xml:space="preserve"> kvaliteeti</w:t>
      </w:r>
      <w:r w:rsidR="001F0F87" w:rsidRPr="00BC7A5C">
        <w:rPr>
          <w:rFonts w:ascii="Times New Roman" w:hAnsi="Times New Roman" w:cs="Times New Roman"/>
          <w:sz w:val="24"/>
          <w:szCs w:val="24"/>
        </w:rPr>
        <w:t xml:space="preserve"> </w:t>
      </w:r>
      <w:r w:rsidR="00080E1F" w:rsidRPr="00BC7A5C">
        <w:rPr>
          <w:rFonts w:ascii="Times New Roman" w:hAnsi="Times New Roman" w:cs="Times New Roman"/>
          <w:sz w:val="24"/>
          <w:szCs w:val="24"/>
        </w:rPr>
        <w:t>ning</w:t>
      </w:r>
      <w:r w:rsidR="00DF5C75" w:rsidRPr="00BC7A5C">
        <w:rPr>
          <w:rFonts w:ascii="Times New Roman" w:hAnsi="Times New Roman" w:cs="Times New Roman"/>
          <w:sz w:val="24"/>
          <w:szCs w:val="24"/>
        </w:rPr>
        <w:t xml:space="preserve"> seejuures </w:t>
      </w:r>
      <w:r w:rsidR="006A7F59" w:rsidRPr="00BC7A5C">
        <w:rPr>
          <w:rFonts w:ascii="Times New Roman" w:hAnsi="Times New Roman" w:cs="Times New Roman"/>
          <w:sz w:val="24"/>
          <w:szCs w:val="24"/>
        </w:rPr>
        <w:t>a</w:t>
      </w:r>
      <w:r w:rsidR="00080E1F" w:rsidRPr="00BC7A5C">
        <w:rPr>
          <w:rFonts w:ascii="Times New Roman" w:hAnsi="Times New Roman" w:cs="Times New Roman"/>
          <w:sz w:val="24"/>
          <w:szCs w:val="24"/>
        </w:rPr>
        <w:t>rvestada</w:t>
      </w:r>
      <w:r w:rsidR="00A853CF" w:rsidRPr="00BC7A5C">
        <w:rPr>
          <w:rFonts w:ascii="Times New Roman" w:hAnsi="Times New Roman" w:cs="Times New Roman"/>
          <w:sz w:val="24"/>
          <w:szCs w:val="24"/>
        </w:rPr>
        <w:t xml:space="preserve"> ka</w:t>
      </w:r>
      <w:r w:rsidR="00DF5C75" w:rsidRPr="00BC7A5C">
        <w:rPr>
          <w:rFonts w:ascii="Times New Roman" w:hAnsi="Times New Roman" w:cs="Times New Roman"/>
          <w:sz w:val="24"/>
          <w:szCs w:val="24"/>
        </w:rPr>
        <w:t xml:space="preserve"> konkreetse </w:t>
      </w:r>
      <w:r w:rsidR="00AA688B">
        <w:rPr>
          <w:rFonts w:ascii="Times New Roman" w:hAnsi="Times New Roman" w:cs="Times New Roman"/>
          <w:sz w:val="24"/>
          <w:szCs w:val="24"/>
        </w:rPr>
        <w:t>põllu</w:t>
      </w:r>
      <w:r w:rsidR="00DF5C75" w:rsidRPr="00BC7A5C">
        <w:rPr>
          <w:rFonts w:ascii="Times New Roman" w:hAnsi="Times New Roman" w:cs="Times New Roman"/>
          <w:sz w:val="24"/>
          <w:szCs w:val="24"/>
        </w:rPr>
        <w:t>kultuuri ja sordi vajadus</w:t>
      </w:r>
      <w:r w:rsidR="006A7F59" w:rsidRPr="00BC7A5C">
        <w:rPr>
          <w:rFonts w:ascii="Times New Roman" w:hAnsi="Times New Roman" w:cs="Times New Roman"/>
          <w:sz w:val="24"/>
          <w:szCs w:val="24"/>
        </w:rPr>
        <w:t>tega</w:t>
      </w:r>
      <w:r w:rsidR="00DF5C75" w:rsidRPr="00BC7A5C">
        <w:rPr>
          <w:rFonts w:ascii="Times New Roman" w:hAnsi="Times New Roman" w:cs="Times New Roman"/>
          <w:sz w:val="24"/>
          <w:szCs w:val="24"/>
        </w:rPr>
        <w:t>.</w:t>
      </w:r>
      <w:r w:rsidR="00E52450" w:rsidRPr="00BC7A5C">
        <w:rPr>
          <w:rFonts w:ascii="Times New Roman" w:hAnsi="Times New Roman" w:cs="Times New Roman"/>
          <w:sz w:val="24"/>
          <w:szCs w:val="24"/>
        </w:rPr>
        <w:t xml:space="preserve"> See on eelduseks asjatundlikule sordivalikule, </w:t>
      </w:r>
      <w:r w:rsidR="00241543" w:rsidRPr="00BC7A5C">
        <w:rPr>
          <w:rFonts w:ascii="Times New Roman" w:hAnsi="Times New Roman" w:cs="Times New Roman"/>
          <w:sz w:val="24"/>
          <w:szCs w:val="24"/>
        </w:rPr>
        <w:t>sobivate tehnoloogiate valikule ja nende õigeaegsele rakendamisele</w:t>
      </w:r>
      <w:r w:rsidR="00E52450" w:rsidRPr="00BC7A5C">
        <w:rPr>
          <w:rFonts w:ascii="Times New Roman" w:hAnsi="Times New Roman" w:cs="Times New Roman"/>
          <w:sz w:val="24"/>
          <w:szCs w:val="24"/>
        </w:rPr>
        <w:t>, mis omakorda loob võimaluse olla oma tegevuses edukas.</w:t>
      </w:r>
    </w:p>
    <w:p w:rsidR="00E52450" w:rsidRPr="00BC7A5C" w:rsidRDefault="00E52450" w:rsidP="00BC7A5C">
      <w:pPr>
        <w:adjustRightInd w:val="0"/>
        <w:spacing w:line="276" w:lineRule="auto"/>
        <w:rPr>
          <w:rFonts w:ascii="Times New Roman" w:hAnsi="Times New Roman" w:cs="Times New Roman"/>
          <w:sz w:val="24"/>
          <w:szCs w:val="24"/>
        </w:rPr>
      </w:pPr>
    </w:p>
    <w:p w:rsidR="001E5203" w:rsidRPr="00BC7A5C" w:rsidRDefault="001E5203" w:rsidP="00BC7A5C">
      <w:pPr>
        <w:adjustRightInd w:val="0"/>
        <w:spacing w:line="276" w:lineRule="auto"/>
        <w:jc w:val="both"/>
        <w:rPr>
          <w:rFonts w:ascii="Times New Roman" w:hAnsi="Times New Roman" w:cs="Times New Roman"/>
          <w:sz w:val="24"/>
          <w:szCs w:val="24"/>
        </w:rPr>
      </w:pPr>
      <w:r w:rsidRPr="00BC7A5C">
        <w:rPr>
          <w:rFonts w:ascii="Times New Roman" w:hAnsi="Times New Roman" w:cs="Times New Roman"/>
          <w:sz w:val="24"/>
          <w:szCs w:val="24"/>
        </w:rPr>
        <w:t xml:space="preserve">Selleks, et tagada teraviljasektori </w:t>
      </w:r>
      <w:r w:rsidR="003907C0" w:rsidRPr="00BC7A5C">
        <w:rPr>
          <w:rFonts w:ascii="Times New Roman" w:hAnsi="Times New Roman" w:cs="Times New Roman"/>
          <w:sz w:val="24"/>
          <w:szCs w:val="24"/>
        </w:rPr>
        <w:t xml:space="preserve">majanduslik </w:t>
      </w:r>
      <w:r w:rsidRPr="00BC7A5C">
        <w:rPr>
          <w:rFonts w:ascii="Times New Roman" w:hAnsi="Times New Roman" w:cs="Times New Roman"/>
          <w:sz w:val="24"/>
          <w:szCs w:val="24"/>
        </w:rPr>
        <w:t xml:space="preserve">edukus, </w:t>
      </w:r>
      <w:r w:rsidR="00CC4ABA" w:rsidRPr="00BC7A5C">
        <w:rPr>
          <w:rFonts w:ascii="Times New Roman" w:hAnsi="Times New Roman" w:cs="Times New Roman"/>
          <w:sz w:val="24"/>
          <w:szCs w:val="24"/>
        </w:rPr>
        <w:t>toimetulek</w:t>
      </w:r>
      <w:r w:rsidRPr="00BC7A5C">
        <w:rPr>
          <w:rFonts w:ascii="Times New Roman" w:hAnsi="Times New Roman" w:cs="Times New Roman"/>
          <w:sz w:val="24"/>
          <w:szCs w:val="24"/>
        </w:rPr>
        <w:t xml:space="preserve"> eelseisvate väljakutsetega (toiduga varustatus, maapiirkondade majanduse elavdamine, maa kui taastumatu ressurssi väärtuse säilitamine jne), on vaja analüüsida Eesti teraviljasektori hetkeseisu ning selle alusel paika panna sektori edasiseks arenguks vajalikud </w:t>
      </w:r>
      <w:r w:rsidR="001E1133">
        <w:rPr>
          <w:rFonts w:ascii="Times New Roman" w:hAnsi="Times New Roman" w:cs="Times New Roman"/>
          <w:sz w:val="24"/>
          <w:szCs w:val="24"/>
        </w:rPr>
        <w:t>meetmed</w:t>
      </w:r>
      <w:r w:rsidRPr="00BC7A5C">
        <w:rPr>
          <w:rFonts w:ascii="Times New Roman" w:hAnsi="Times New Roman" w:cs="Times New Roman"/>
          <w:sz w:val="24"/>
          <w:szCs w:val="24"/>
        </w:rPr>
        <w:t xml:space="preserve"> ja tegevused püstitatud eesmärkide täitmiseks.</w:t>
      </w:r>
    </w:p>
    <w:p w:rsidR="001E5203" w:rsidRPr="00BC7A5C" w:rsidRDefault="001E5203" w:rsidP="00BC7A5C">
      <w:pPr>
        <w:adjustRightInd w:val="0"/>
        <w:spacing w:line="276" w:lineRule="auto"/>
        <w:jc w:val="both"/>
        <w:rPr>
          <w:rFonts w:ascii="Times New Roman" w:hAnsi="Times New Roman" w:cs="Times New Roman"/>
          <w:sz w:val="24"/>
          <w:szCs w:val="24"/>
        </w:rPr>
      </w:pPr>
    </w:p>
    <w:p w:rsidR="000143AB" w:rsidRDefault="00870BFF" w:rsidP="00AF28AB">
      <w:pPr>
        <w:adjustRightInd w:val="0"/>
        <w:spacing w:line="276" w:lineRule="auto"/>
        <w:jc w:val="both"/>
        <w:rPr>
          <w:rFonts w:ascii="Times New Roman" w:hAnsi="Times New Roman" w:cs="Times New Roman"/>
          <w:sz w:val="24"/>
          <w:szCs w:val="24"/>
        </w:rPr>
      </w:pPr>
      <w:r w:rsidRPr="00BC7A5C">
        <w:rPr>
          <w:rFonts w:ascii="Times New Roman" w:hAnsi="Times New Roman" w:cs="Times New Roman"/>
          <w:sz w:val="24"/>
          <w:szCs w:val="24"/>
        </w:rPr>
        <w:t>Teraviljakasvatusest tuleb oluline tooraine Eesti teraviljatööstusele (j</w:t>
      </w:r>
      <w:r w:rsidR="006613D8" w:rsidRPr="00BC7A5C">
        <w:rPr>
          <w:rFonts w:ascii="Times New Roman" w:hAnsi="Times New Roman" w:cs="Times New Roman"/>
          <w:sz w:val="24"/>
          <w:szCs w:val="24"/>
        </w:rPr>
        <w:t>ahu-, pagari-, õli- ning</w:t>
      </w:r>
      <w:r w:rsidRPr="00BC7A5C">
        <w:rPr>
          <w:rFonts w:ascii="Times New Roman" w:hAnsi="Times New Roman" w:cs="Times New Roman"/>
          <w:sz w:val="24"/>
          <w:szCs w:val="24"/>
        </w:rPr>
        <w:t xml:space="preserve"> loomasööda tööstus). Põllumajandustoodangule lisandväärtust andes panustab teraviljatööstus </w:t>
      </w:r>
      <w:r w:rsidR="00A068A3">
        <w:rPr>
          <w:rFonts w:ascii="Times New Roman" w:hAnsi="Times New Roman" w:cs="Times New Roman"/>
          <w:sz w:val="24"/>
          <w:szCs w:val="24"/>
        </w:rPr>
        <w:t xml:space="preserve">ka </w:t>
      </w:r>
      <w:r w:rsidRPr="00BC7A5C">
        <w:rPr>
          <w:rFonts w:ascii="Times New Roman" w:hAnsi="Times New Roman" w:cs="Times New Roman"/>
          <w:sz w:val="24"/>
          <w:szCs w:val="24"/>
        </w:rPr>
        <w:t>Eesti majandusse. Teravilja töötlevad ettevõtted annavad viiendiku toiduainetööstuse käibest. Eestis toodetakse teravi</w:t>
      </w:r>
      <w:r w:rsidR="0030264F">
        <w:rPr>
          <w:rFonts w:ascii="Times New Roman" w:hAnsi="Times New Roman" w:cs="Times New Roman"/>
          <w:sz w:val="24"/>
          <w:szCs w:val="24"/>
        </w:rPr>
        <w:t>lja rohkem kui tarbitakse, samal ajal</w:t>
      </w:r>
      <w:r w:rsidRPr="00BC7A5C">
        <w:rPr>
          <w:rFonts w:ascii="Times New Roman" w:hAnsi="Times New Roman" w:cs="Times New Roman"/>
          <w:sz w:val="24"/>
          <w:szCs w:val="24"/>
        </w:rPr>
        <w:t xml:space="preserve"> suureneb maailmas nõudlus toidu järele, </w:t>
      </w:r>
      <w:r w:rsidR="0030264F">
        <w:rPr>
          <w:rFonts w:ascii="Times New Roman" w:hAnsi="Times New Roman" w:cs="Times New Roman"/>
          <w:sz w:val="24"/>
          <w:szCs w:val="24"/>
        </w:rPr>
        <w:t>seega on</w:t>
      </w:r>
      <w:r w:rsidR="00AF28AB">
        <w:rPr>
          <w:rFonts w:ascii="Times New Roman" w:hAnsi="Times New Roman" w:cs="Times New Roman"/>
          <w:sz w:val="24"/>
          <w:szCs w:val="24"/>
        </w:rPr>
        <w:t xml:space="preserve"> Eestis toodetud teravilja ja teraviljatoodete ekspordi suurendamiseks väljavaated head.</w:t>
      </w:r>
    </w:p>
    <w:p w:rsidR="00AF28AB" w:rsidRPr="00BC5B06" w:rsidRDefault="00AF28AB" w:rsidP="00DE2545">
      <w:pPr>
        <w:rPr>
          <w:sz w:val="24"/>
          <w:szCs w:val="24"/>
        </w:rPr>
      </w:pPr>
    </w:p>
    <w:p w:rsidR="00DE2545" w:rsidRDefault="000143AB" w:rsidP="00DE2545">
      <w:pPr>
        <w:spacing w:line="276" w:lineRule="auto"/>
        <w:jc w:val="both"/>
        <w:rPr>
          <w:rFonts w:ascii="Times New Roman" w:eastAsia="Times New Roman" w:hAnsi="Times New Roman" w:cs="Times New Roman"/>
          <w:sz w:val="24"/>
          <w:lang w:eastAsia="en-US"/>
        </w:rPr>
      </w:pPr>
      <w:r w:rsidRPr="00BC7A5C">
        <w:rPr>
          <w:rFonts w:ascii="Times New Roman" w:eastAsia="Times New Roman" w:hAnsi="Times New Roman" w:cs="Times New Roman"/>
          <w:sz w:val="24"/>
          <w:lang w:eastAsia="en-US"/>
        </w:rPr>
        <w:t xml:space="preserve">Arengukava ja selle rakendusplaani ettevalmistav 26-liikmeline nõuandva õigusega töörühm moodustati põllumajandusministri </w:t>
      </w:r>
      <w:r w:rsidR="005B7B13">
        <w:rPr>
          <w:rFonts w:ascii="Times New Roman" w:eastAsia="Times New Roman" w:hAnsi="Times New Roman" w:cs="Times New Roman"/>
          <w:sz w:val="24"/>
          <w:lang w:eastAsia="en-US"/>
        </w:rPr>
        <w:t xml:space="preserve">11. juuli 2013. aasta </w:t>
      </w:r>
      <w:r w:rsidRPr="00BC7A5C">
        <w:rPr>
          <w:rFonts w:ascii="Times New Roman" w:eastAsia="Times New Roman" w:hAnsi="Times New Roman" w:cs="Times New Roman"/>
          <w:sz w:val="24"/>
          <w:lang w:eastAsia="en-US"/>
        </w:rPr>
        <w:t xml:space="preserve">käskkirjaga </w:t>
      </w:r>
      <w:r w:rsidR="005B7B13">
        <w:rPr>
          <w:rFonts w:ascii="Times New Roman" w:eastAsia="Times New Roman" w:hAnsi="Times New Roman" w:cs="Times New Roman"/>
          <w:sz w:val="24"/>
          <w:lang w:eastAsia="en-US"/>
        </w:rPr>
        <w:t>nr 158</w:t>
      </w:r>
      <w:r w:rsidRPr="00BC7A5C">
        <w:rPr>
          <w:rFonts w:ascii="Times New Roman" w:eastAsia="Times New Roman" w:hAnsi="Times New Roman" w:cs="Times New Roman"/>
          <w:sz w:val="24"/>
          <w:lang w:eastAsia="en-US"/>
        </w:rPr>
        <w:t xml:space="preserve">. </w:t>
      </w:r>
      <w:r w:rsidR="00DD08E7" w:rsidRPr="00DD08E7">
        <w:rPr>
          <w:rFonts w:ascii="Times New Roman" w:eastAsia="Times New Roman" w:hAnsi="Times New Roman" w:cs="Times New Roman"/>
          <w:sz w:val="24"/>
          <w:lang w:eastAsia="en-US"/>
        </w:rPr>
        <w:t xml:space="preserve">Töörühm kogunes viiel korral, lisaks toimus mitmeid </w:t>
      </w:r>
      <w:r w:rsidR="00943438">
        <w:rPr>
          <w:rFonts w:ascii="Times New Roman" w:eastAsia="Times New Roman" w:hAnsi="Times New Roman" w:cs="Times New Roman"/>
          <w:sz w:val="24"/>
          <w:lang w:eastAsia="en-US"/>
        </w:rPr>
        <w:t>kitsama valdkonna põhise</w:t>
      </w:r>
      <w:r w:rsidR="00444004">
        <w:rPr>
          <w:rFonts w:ascii="Times New Roman" w:eastAsia="Times New Roman" w:hAnsi="Times New Roman" w:cs="Times New Roman"/>
          <w:sz w:val="24"/>
          <w:lang w:eastAsia="en-US"/>
        </w:rPr>
        <w:t>i</w:t>
      </w:r>
      <w:r w:rsidR="00943438">
        <w:rPr>
          <w:rFonts w:ascii="Times New Roman" w:eastAsia="Times New Roman" w:hAnsi="Times New Roman" w:cs="Times New Roman"/>
          <w:sz w:val="24"/>
          <w:lang w:eastAsia="en-US"/>
        </w:rPr>
        <w:t>d arutelu</w:t>
      </w:r>
      <w:r w:rsidR="00444004">
        <w:rPr>
          <w:rFonts w:ascii="Times New Roman" w:eastAsia="Times New Roman" w:hAnsi="Times New Roman" w:cs="Times New Roman"/>
          <w:sz w:val="24"/>
          <w:lang w:eastAsia="en-US"/>
        </w:rPr>
        <w:t>sid</w:t>
      </w:r>
      <w:r w:rsidR="00DD08E7" w:rsidRPr="00DD08E7">
        <w:rPr>
          <w:rFonts w:ascii="Times New Roman" w:eastAsia="Times New Roman" w:hAnsi="Times New Roman" w:cs="Times New Roman"/>
          <w:sz w:val="24"/>
          <w:lang w:eastAsia="en-US"/>
        </w:rPr>
        <w:t xml:space="preserve"> väiksemates gruppides. </w:t>
      </w:r>
      <w:r w:rsidRPr="00BC7A5C">
        <w:rPr>
          <w:rFonts w:ascii="Times New Roman" w:eastAsia="Times New Roman" w:hAnsi="Times New Roman" w:cs="Times New Roman"/>
          <w:sz w:val="24"/>
          <w:lang w:eastAsia="en-US"/>
        </w:rPr>
        <w:t>A</w:t>
      </w:r>
      <w:r w:rsidRPr="00BC7A5C">
        <w:rPr>
          <w:rFonts w:ascii="Times New Roman" w:eastAsia="Times New Roman" w:hAnsi="Times New Roman" w:cs="Times New Roman"/>
          <w:sz w:val="24"/>
        </w:rPr>
        <w:t>rengukava koostamisse kaasati Põllumajandusuuringute Keskus</w:t>
      </w:r>
      <w:r w:rsidR="00DB1C94">
        <w:rPr>
          <w:rFonts w:ascii="Times New Roman" w:eastAsia="Times New Roman" w:hAnsi="Times New Roman" w:cs="Times New Roman"/>
          <w:sz w:val="24"/>
        </w:rPr>
        <w:t xml:space="preserve"> (PMK)</w:t>
      </w:r>
      <w:r w:rsidRPr="00BC7A5C">
        <w:rPr>
          <w:rFonts w:ascii="Times New Roman" w:eastAsia="Times New Roman" w:hAnsi="Times New Roman" w:cs="Times New Roman"/>
          <w:sz w:val="24"/>
        </w:rPr>
        <w:t>, Eesti Taimekasvatuse Instituut</w:t>
      </w:r>
      <w:r w:rsidR="00DB1C94">
        <w:rPr>
          <w:rFonts w:ascii="Times New Roman" w:eastAsia="Times New Roman" w:hAnsi="Times New Roman" w:cs="Times New Roman"/>
          <w:sz w:val="24"/>
        </w:rPr>
        <w:t xml:space="preserve"> (ETKI)</w:t>
      </w:r>
      <w:r w:rsidRPr="00BC7A5C">
        <w:rPr>
          <w:rFonts w:ascii="Times New Roman" w:eastAsia="Times New Roman" w:hAnsi="Times New Roman" w:cs="Times New Roman"/>
          <w:sz w:val="24"/>
        </w:rPr>
        <w:t>, Eesti Põllumeeste Keskliit</w:t>
      </w:r>
      <w:r w:rsidR="00DB1C94">
        <w:rPr>
          <w:rFonts w:ascii="Times New Roman" w:eastAsia="Times New Roman" w:hAnsi="Times New Roman" w:cs="Times New Roman"/>
          <w:sz w:val="24"/>
        </w:rPr>
        <w:t xml:space="preserve"> (EPTK)</w:t>
      </w:r>
      <w:r w:rsidRPr="00BC7A5C">
        <w:rPr>
          <w:rFonts w:ascii="Times New Roman" w:eastAsia="Times New Roman" w:hAnsi="Times New Roman" w:cs="Times New Roman"/>
          <w:sz w:val="24"/>
        </w:rPr>
        <w:t>,</w:t>
      </w:r>
      <w:r w:rsidRPr="00BC7A5C">
        <w:rPr>
          <w:rFonts w:ascii="Times New Roman" w:eastAsia="Times New Roman" w:hAnsi="Times New Roman" w:cs="Times New Roman"/>
          <w:sz w:val="24"/>
          <w:lang w:eastAsia="en-US"/>
        </w:rPr>
        <w:t xml:space="preserve"> Eesti Põllumajandus-Kaubanduskoda</w:t>
      </w:r>
      <w:r w:rsidR="00DB1C94">
        <w:rPr>
          <w:rFonts w:ascii="Times New Roman" w:eastAsia="Times New Roman" w:hAnsi="Times New Roman" w:cs="Times New Roman"/>
          <w:sz w:val="24"/>
          <w:lang w:eastAsia="en-US"/>
        </w:rPr>
        <w:t xml:space="preserve"> (EPKK)</w:t>
      </w:r>
      <w:r w:rsidRPr="00BC7A5C">
        <w:rPr>
          <w:rFonts w:ascii="Times New Roman" w:eastAsia="Times New Roman" w:hAnsi="Times New Roman" w:cs="Times New Roman"/>
          <w:sz w:val="24"/>
          <w:lang w:eastAsia="en-US"/>
        </w:rPr>
        <w:t>,</w:t>
      </w:r>
      <w:r w:rsidRPr="00BC7A5C">
        <w:rPr>
          <w:rFonts w:ascii="Times New Roman" w:eastAsia="Times New Roman" w:hAnsi="Times New Roman" w:cs="Times New Roman"/>
          <w:color w:val="000000"/>
          <w:sz w:val="24"/>
          <w:lang w:eastAsia="en-US"/>
        </w:rPr>
        <w:t xml:space="preserve"> Eesti Statistikaamet</w:t>
      </w:r>
      <w:r w:rsidR="00DB1C94">
        <w:rPr>
          <w:rFonts w:ascii="Times New Roman" w:eastAsia="Times New Roman" w:hAnsi="Times New Roman" w:cs="Times New Roman"/>
          <w:color w:val="000000"/>
          <w:sz w:val="24"/>
          <w:lang w:eastAsia="en-US"/>
        </w:rPr>
        <w:t xml:space="preserve"> (SA)</w:t>
      </w:r>
      <w:r w:rsidRPr="00BC7A5C">
        <w:rPr>
          <w:rFonts w:ascii="Times New Roman" w:eastAsia="Times New Roman" w:hAnsi="Times New Roman" w:cs="Times New Roman"/>
          <w:color w:val="000000"/>
          <w:sz w:val="24"/>
          <w:lang w:eastAsia="en-US"/>
        </w:rPr>
        <w:t>, Maamajanduse Infokeskus,</w:t>
      </w:r>
      <w:r w:rsidRPr="00BC7A5C">
        <w:rPr>
          <w:rFonts w:ascii="Times New Roman" w:eastAsia="Times New Roman" w:hAnsi="Times New Roman" w:cs="Times New Roman"/>
          <w:sz w:val="24"/>
        </w:rPr>
        <w:t xml:space="preserve"> Eestimaa Talupidajate Keskliit</w:t>
      </w:r>
      <w:r w:rsidR="00DB1C94">
        <w:rPr>
          <w:rFonts w:ascii="Times New Roman" w:eastAsia="Times New Roman" w:hAnsi="Times New Roman" w:cs="Times New Roman"/>
          <w:sz w:val="24"/>
        </w:rPr>
        <w:t xml:space="preserve"> (ETKL)</w:t>
      </w:r>
      <w:r w:rsidRPr="00BC7A5C">
        <w:rPr>
          <w:rFonts w:ascii="Times New Roman" w:eastAsia="Times New Roman" w:hAnsi="Times New Roman" w:cs="Times New Roman"/>
          <w:sz w:val="24"/>
        </w:rPr>
        <w:t>, Põllumajandusamet</w:t>
      </w:r>
      <w:r w:rsidR="00DB1C94">
        <w:rPr>
          <w:rFonts w:ascii="Times New Roman" w:eastAsia="Times New Roman" w:hAnsi="Times New Roman" w:cs="Times New Roman"/>
          <w:sz w:val="24"/>
        </w:rPr>
        <w:t xml:space="preserve"> (PMA)</w:t>
      </w:r>
      <w:r w:rsidRPr="00BC7A5C">
        <w:rPr>
          <w:rFonts w:ascii="Times New Roman" w:eastAsia="Times New Roman" w:hAnsi="Times New Roman" w:cs="Times New Roman"/>
          <w:sz w:val="24"/>
        </w:rPr>
        <w:t>, Eesti Maaülikool</w:t>
      </w:r>
      <w:r w:rsidR="00DB1C94">
        <w:rPr>
          <w:rFonts w:ascii="Times New Roman" w:eastAsia="Times New Roman" w:hAnsi="Times New Roman" w:cs="Times New Roman"/>
          <w:sz w:val="24"/>
        </w:rPr>
        <w:t xml:space="preserve"> (EMÜ)</w:t>
      </w:r>
      <w:r w:rsidRPr="00BC7A5C">
        <w:rPr>
          <w:rFonts w:ascii="Times New Roman" w:eastAsia="Times New Roman" w:hAnsi="Times New Roman" w:cs="Times New Roman"/>
          <w:sz w:val="24"/>
        </w:rPr>
        <w:t xml:space="preserve">, </w:t>
      </w:r>
      <w:proofErr w:type="spellStart"/>
      <w:r w:rsidRPr="00BC7A5C">
        <w:rPr>
          <w:rFonts w:ascii="Times New Roman" w:eastAsia="Times New Roman" w:hAnsi="Times New Roman" w:cs="Times New Roman"/>
          <w:sz w:val="24"/>
        </w:rPr>
        <w:t>Wiru</w:t>
      </w:r>
      <w:proofErr w:type="spellEnd"/>
      <w:r w:rsidRPr="00BC7A5C">
        <w:rPr>
          <w:rFonts w:ascii="Times New Roman" w:eastAsia="Times New Roman" w:hAnsi="Times New Roman" w:cs="Times New Roman"/>
          <w:sz w:val="24"/>
        </w:rPr>
        <w:t xml:space="preserve"> Vili</w:t>
      </w:r>
      <w:r w:rsidR="00660119">
        <w:rPr>
          <w:rFonts w:ascii="Times New Roman" w:eastAsia="Times New Roman" w:hAnsi="Times New Roman" w:cs="Times New Roman"/>
          <w:sz w:val="24"/>
        </w:rPr>
        <w:t xml:space="preserve"> </w:t>
      </w:r>
      <w:r w:rsidRPr="00BC7A5C">
        <w:rPr>
          <w:rFonts w:ascii="Times New Roman" w:eastAsia="Times New Roman" w:hAnsi="Times New Roman" w:cs="Times New Roman"/>
          <w:sz w:val="24"/>
        </w:rPr>
        <w:t>TÜ,</w:t>
      </w:r>
      <w:r w:rsidRPr="00BC7A5C">
        <w:rPr>
          <w:rFonts w:ascii="Times New Roman" w:eastAsia="Times New Roman" w:hAnsi="Times New Roman" w:cs="Times New Roman"/>
          <w:color w:val="000000"/>
          <w:sz w:val="24"/>
          <w:lang w:eastAsia="en-US"/>
        </w:rPr>
        <w:t xml:space="preserve"> TNS</w:t>
      </w:r>
      <w:r w:rsidR="00660119">
        <w:rPr>
          <w:rFonts w:ascii="Times New Roman" w:eastAsia="Times New Roman" w:hAnsi="Times New Roman" w:cs="Times New Roman"/>
          <w:color w:val="000000"/>
          <w:sz w:val="24"/>
          <w:lang w:eastAsia="en-US"/>
        </w:rPr>
        <w:t xml:space="preserve"> </w:t>
      </w:r>
      <w:r w:rsidRPr="00BC7A5C">
        <w:rPr>
          <w:rFonts w:ascii="Times New Roman" w:eastAsia="Times New Roman" w:hAnsi="Times New Roman" w:cs="Times New Roman"/>
          <w:color w:val="000000"/>
          <w:sz w:val="24"/>
          <w:lang w:eastAsia="en-US"/>
        </w:rPr>
        <w:t xml:space="preserve">EMOR, Põllumeeste ühistu KEVILI, Eesti Leivaliit MTÜ, </w:t>
      </w:r>
      <w:proofErr w:type="spellStart"/>
      <w:r w:rsidRPr="00BC7A5C">
        <w:rPr>
          <w:rFonts w:ascii="Times New Roman" w:eastAsia="Times New Roman" w:hAnsi="Times New Roman" w:cs="Times New Roman"/>
          <w:color w:val="000000"/>
          <w:sz w:val="24"/>
          <w:lang w:eastAsia="en-US"/>
        </w:rPr>
        <w:t>MTÜ</w:t>
      </w:r>
      <w:proofErr w:type="spellEnd"/>
      <w:r w:rsidRPr="00BC7A5C">
        <w:rPr>
          <w:rFonts w:ascii="Times New Roman" w:eastAsia="Times New Roman" w:hAnsi="Times New Roman" w:cs="Times New Roman"/>
          <w:color w:val="000000"/>
          <w:sz w:val="24"/>
          <w:lang w:eastAsia="en-US"/>
        </w:rPr>
        <w:t xml:space="preserve"> Eesti Rukki Selts, Baltic </w:t>
      </w:r>
      <w:proofErr w:type="spellStart"/>
      <w:r w:rsidRPr="00BC7A5C">
        <w:rPr>
          <w:rFonts w:ascii="Times New Roman" w:eastAsia="Times New Roman" w:hAnsi="Times New Roman" w:cs="Times New Roman"/>
          <w:color w:val="000000"/>
          <w:sz w:val="24"/>
          <w:lang w:eastAsia="en-US"/>
        </w:rPr>
        <w:t>Agro</w:t>
      </w:r>
      <w:proofErr w:type="spellEnd"/>
      <w:r w:rsidRPr="00BC7A5C">
        <w:rPr>
          <w:rFonts w:ascii="Times New Roman" w:eastAsia="Times New Roman" w:hAnsi="Times New Roman" w:cs="Times New Roman"/>
          <w:color w:val="000000"/>
          <w:sz w:val="24"/>
          <w:lang w:eastAsia="en-US"/>
        </w:rPr>
        <w:t xml:space="preserve"> AS, Tartu </w:t>
      </w:r>
      <w:proofErr w:type="spellStart"/>
      <w:r w:rsidRPr="00BC7A5C">
        <w:rPr>
          <w:rFonts w:ascii="Times New Roman" w:eastAsia="Times New Roman" w:hAnsi="Times New Roman" w:cs="Times New Roman"/>
          <w:color w:val="000000"/>
          <w:sz w:val="24"/>
          <w:lang w:eastAsia="en-US"/>
        </w:rPr>
        <w:t>Mill</w:t>
      </w:r>
      <w:proofErr w:type="spellEnd"/>
      <w:r w:rsidRPr="00BC7A5C">
        <w:rPr>
          <w:rFonts w:ascii="Times New Roman" w:eastAsia="Times New Roman" w:hAnsi="Times New Roman" w:cs="Times New Roman"/>
          <w:color w:val="000000"/>
          <w:sz w:val="24"/>
          <w:lang w:eastAsia="en-US"/>
        </w:rPr>
        <w:t xml:space="preserve"> AS, Eesti Toiduainetööstuse Liit, AS Rakvere Farmid ja </w:t>
      </w:r>
      <w:proofErr w:type="spellStart"/>
      <w:r w:rsidRPr="00BC7A5C">
        <w:rPr>
          <w:rFonts w:ascii="Times New Roman" w:eastAsia="Times New Roman" w:hAnsi="Times New Roman" w:cs="Times New Roman"/>
          <w:color w:val="000000"/>
          <w:sz w:val="24"/>
          <w:lang w:eastAsia="en-US"/>
        </w:rPr>
        <w:t>Scandagra</w:t>
      </w:r>
      <w:proofErr w:type="spellEnd"/>
      <w:r w:rsidRPr="00BC7A5C">
        <w:rPr>
          <w:rFonts w:ascii="Times New Roman" w:eastAsia="Times New Roman" w:hAnsi="Times New Roman" w:cs="Times New Roman"/>
          <w:color w:val="000000"/>
          <w:sz w:val="24"/>
          <w:lang w:eastAsia="en-US"/>
        </w:rPr>
        <w:t xml:space="preserve"> Eesti AS.</w:t>
      </w:r>
      <w:r w:rsidRPr="00BC7A5C">
        <w:rPr>
          <w:rFonts w:ascii="Times New Roman" w:eastAsia="Times New Roman" w:hAnsi="Times New Roman" w:cs="Times New Roman"/>
          <w:sz w:val="24"/>
        </w:rPr>
        <w:t xml:space="preserve"> </w:t>
      </w:r>
      <w:r w:rsidRPr="00BC7A5C">
        <w:rPr>
          <w:rFonts w:ascii="Times New Roman" w:eastAsia="Times New Roman" w:hAnsi="Times New Roman" w:cs="Times New Roman"/>
          <w:sz w:val="24"/>
          <w:lang w:eastAsia="en-US"/>
        </w:rPr>
        <w:t>Arengukava koostamine ja koordineerimine toimus Põllumajandusministeeriumi põllumajandus- ja maaelupoliitika</w:t>
      </w:r>
      <w:r w:rsidR="00660119">
        <w:rPr>
          <w:rFonts w:ascii="Times New Roman" w:eastAsia="Times New Roman" w:hAnsi="Times New Roman" w:cs="Times New Roman"/>
          <w:sz w:val="24"/>
          <w:lang w:eastAsia="en-US"/>
        </w:rPr>
        <w:t xml:space="preserve"> </w:t>
      </w:r>
      <w:r w:rsidRPr="00BC7A5C">
        <w:rPr>
          <w:rFonts w:ascii="Times New Roman" w:eastAsia="Times New Roman" w:hAnsi="Times New Roman" w:cs="Times New Roman"/>
          <w:sz w:val="24"/>
          <w:lang w:eastAsia="en-US"/>
        </w:rPr>
        <w:t>asekantsleri juhtimisel.</w:t>
      </w:r>
    </w:p>
    <w:p w:rsidR="00DE2545" w:rsidRPr="00BC7A5C" w:rsidRDefault="00DE2545" w:rsidP="00DE2545">
      <w:pPr>
        <w:spacing w:line="276" w:lineRule="auto"/>
        <w:jc w:val="both"/>
        <w:rPr>
          <w:rFonts w:ascii="Times New Roman" w:eastAsia="Times New Roman" w:hAnsi="Times New Roman" w:cs="Times New Roman"/>
          <w:sz w:val="24"/>
          <w:lang w:eastAsia="en-US"/>
        </w:rPr>
      </w:pPr>
    </w:p>
    <w:p w:rsidR="00E52450" w:rsidRDefault="00E52450" w:rsidP="00BC7A5C">
      <w:pPr>
        <w:adjustRightInd w:val="0"/>
        <w:spacing w:line="276" w:lineRule="auto"/>
        <w:jc w:val="both"/>
        <w:rPr>
          <w:rFonts w:ascii="Times New Roman" w:hAnsi="Times New Roman" w:cs="Times New Roman"/>
          <w:sz w:val="24"/>
          <w:szCs w:val="24"/>
        </w:rPr>
      </w:pPr>
      <w:r w:rsidRPr="00BC7A5C">
        <w:rPr>
          <w:rFonts w:ascii="Times New Roman" w:hAnsi="Times New Roman" w:cs="Times New Roman"/>
          <w:sz w:val="24"/>
          <w:szCs w:val="24"/>
        </w:rPr>
        <w:t xml:space="preserve">Käesolevas Eesti teraviljasektori arengukavas (edaspidi </w:t>
      </w:r>
      <w:r w:rsidRPr="00BC7A5C">
        <w:rPr>
          <w:rFonts w:ascii="Times New Roman" w:hAnsi="Times New Roman" w:cs="Times New Roman"/>
          <w:i/>
          <w:sz w:val="24"/>
          <w:szCs w:val="24"/>
        </w:rPr>
        <w:t>arengukava</w:t>
      </w:r>
      <w:r w:rsidRPr="00BC7A5C">
        <w:rPr>
          <w:rFonts w:ascii="Times New Roman" w:hAnsi="Times New Roman" w:cs="Times New Roman"/>
          <w:sz w:val="24"/>
          <w:szCs w:val="24"/>
        </w:rPr>
        <w:t xml:space="preserve">) mõistetakse </w:t>
      </w:r>
      <w:r w:rsidR="00DB182C" w:rsidRPr="00DB182C">
        <w:rPr>
          <w:rFonts w:ascii="Times New Roman" w:hAnsi="Times New Roman" w:cs="Times New Roman"/>
          <w:bCs/>
          <w:sz w:val="24"/>
          <w:szCs w:val="24"/>
        </w:rPr>
        <w:t>„</w:t>
      </w:r>
      <w:proofErr w:type="spellStart"/>
      <w:r w:rsidRPr="00BC7A5C">
        <w:rPr>
          <w:rFonts w:ascii="Times New Roman" w:hAnsi="Times New Roman" w:cs="Times New Roman"/>
          <w:sz w:val="24"/>
          <w:szCs w:val="24"/>
        </w:rPr>
        <w:t>teraviljasektori</w:t>
      </w:r>
      <w:r w:rsidR="003B59B4" w:rsidRPr="003B59B4">
        <w:rPr>
          <w:rFonts w:ascii="Times New Roman" w:hAnsi="Times New Roman" w:cs="Times New Roman"/>
          <w:bCs/>
          <w:sz w:val="24"/>
          <w:szCs w:val="24"/>
        </w:rPr>
        <w:t>ˮ</w:t>
      </w:r>
      <w:proofErr w:type="spellEnd"/>
      <w:r w:rsidRPr="00BC7A5C">
        <w:rPr>
          <w:rFonts w:ascii="Times New Roman" w:hAnsi="Times New Roman" w:cs="Times New Roman"/>
          <w:sz w:val="24"/>
          <w:szCs w:val="24"/>
        </w:rPr>
        <w:t xml:space="preserve"> all teravilja</w:t>
      </w:r>
      <w:r w:rsidR="00D00D26" w:rsidRPr="00BC7A5C">
        <w:rPr>
          <w:rFonts w:ascii="Times New Roman" w:hAnsi="Times New Roman" w:cs="Times New Roman"/>
          <w:noProof/>
          <w:sz w:val="24"/>
          <w:szCs w:val="24"/>
        </w:rPr>
        <w:t>,</w:t>
      </w:r>
      <w:r w:rsidR="001F581F" w:rsidRPr="00BC7A5C">
        <w:rPr>
          <w:rFonts w:ascii="Times New Roman" w:hAnsi="Times New Roman" w:cs="Times New Roman"/>
          <w:noProof/>
          <w:sz w:val="24"/>
          <w:szCs w:val="24"/>
        </w:rPr>
        <w:t xml:space="preserve"> õlikultuuride</w:t>
      </w:r>
      <w:r w:rsidR="008E6A1A" w:rsidRPr="00BC7A5C">
        <w:rPr>
          <w:rFonts w:ascii="Times New Roman" w:hAnsi="Times New Roman" w:cs="Times New Roman"/>
          <w:noProof/>
          <w:sz w:val="24"/>
          <w:szCs w:val="24"/>
        </w:rPr>
        <w:t xml:space="preserve"> </w:t>
      </w:r>
      <w:r w:rsidR="001F581F" w:rsidRPr="00BC7A5C">
        <w:rPr>
          <w:rFonts w:ascii="Times New Roman" w:hAnsi="Times New Roman" w:cs="Times New Roman"/>
          <w:noProof/>
          <w:sz w:val="24"/>
          <w:szCs w:val="24"/>
        </w:rPr>
        <w:t>(</w:t>
      </w:r>
      <w:r w:rsidR="008E6A1A" w:rsidRPr="00BC7A5C">
        <w:rPr>
          <w:rFonts w:ascii="Times New Roman" w:hAnsi="Times New Roman" w:cs="Times New Roman"/>
          <w:noProof/>
          <w:sz w:val="24"/>
          <w:szCs w:val="24"/>
        </w:rPr>
        <w:t>rapsi/rüpsi</w:t>
      </w:r>
      <w:r w:rsidR="001F581F" w:rsidRPr="00BC7A5C">
        <w:rPr>
          <w:rFonts w:ascii="Times New Roman" w:hAnsi="Times New Roman" w:cs="Times New Roman"/>
          <w:noProof/>
          <w:sz w:val="24"/>
          <w:szCs w:val="24"/>
        </w:rPr>
        <w:t>)</w:t>
      </w:r>
      <w:r w:rsidR="00D00D26" w:rsidRPr="00BC7A5C">
        <w:rPr>
          <w:rFonts w:ascii="Times New Roman" w:hAnsi="Times New Roman" w:cs="Times New Roman"/>
          <w:noProof/>
          <w:sz w:val="24"/>
          <w:szCs w:val="24"/>
        </w:rPr>
        <w:t xml:space="preserve"> ja kaunvilja (</w:t>
      </w:r>
      <w:r w:rsidR="00034268" w:rsidRPr="00BC7A5C">
        <w:rPr>
          <w:rFonts w:ascii="Times New Roman" w:hAnsi="Times New Roman" w:cs="Times New Roman"/>
          <w:noProof/>
          <w:sz w:val="24"/>
          <w:szCs w:val="24"/>
        </w:rPr>
        <w:t xml:space="preserve">peamiselt </w:t>
      </w:r>
      <w:r w:rsidR="00D00D26" w:rsidRPr="00BC7A5C">
        <w:rPr>
          <w:rFonts w:ascii="Times New Roman" w:hAnsi="Times New Roman" w:cs="Times New Roman"/>
          <w:noProof/>
          <w:sz w:val="24"/>
          <w:szCs w:val="24"/>
        </w:rPr>
        <w:t>hernes)</w:t>
      </w:r>
      <w:r w:rsidR="008E6A1A" w:rsidRPr="00BC7A5C">
        <w:rPr>
          <w:rFonts w:ascii="Times New Roman" w:hAnsi="Times New Roman" w:cs="Times New Roman"/>
          <w:sz w:val="24"/>
          <w:szCs w:val="24"/>
        </w:rPr>
        <w:t xml:space="preserve"> </w:t>
      </w:r>
      <w:r w:rsidR="004422D2">
        <w:rPr>
          <w:rFonts w:ascii="Times New Roman" w:hAnsi="Times New Roman" w:cs="Times New Roman"/>
          <w:sz w:val="24"/>
          <w:szCs w:val="24"/>
        </w:rPr>
        <w:t xml:space="preserve">nii tava- kui </w:t>
      </w:r>
      <w:r w:rsidR="00BC4E74">
        <w:rPr>
          <w:rFonts w:ascii="Times New Roman" w:hAnsi="Times New Roman" w:cs="Times New Roman"/>
          <w:sz w:val="24"/>
          <w:szCs w:val="24"/>
        </w:rPr>
        <w:t xml:space="preserve">ka </w:t>
      </w:r>
      <w:r w:rsidR="004422D2">
        <w:rPr>
          <w:rFonts w:ascii="Times New Roman" w:hAnsi="Times New Roman" w:cs="Times New Roman"/>
          <w:sz w:val="24"/>
          <w:szCs w:val="24"/>
        </w:rPr>
        <w:t>mahe</w:t>
      </w:r>
      <w:r w:rsidRPr="00BC7A5C">
        <w:rPr>
          <w:rFonts w:ascii="Times New Roman" w:hAnsi="Times New Roman" w:cs="Times New Roman"/>
          <w:sz w:val="24"/>
          <w:szCs w:val="24"/>
        </w:rPr>
        <w:t xml:space="preserve">tootmist </w:t>
      </w:r>
      <w:r w:rsidRPr="00BC7A5C">
        <w:rPr>
          <w:rFonts w:ascii="Times New Roman" w:hAnsi="Times New Roman" w:cs="Times New Roman"/>
          <w:sz w:val="24"/>
          <w:szCs w:val="24"/>
        </w:rPr>
        <w:lastRenderedPageBreak/>
        <w:t xml:space="preserve">ja </w:t>
      </w:r>
      <w:r w:rsidR="004422D2">
        <w:rPr>
          <w:rFonts w:ascii="Times New Roman" w:hAnsi="Times New Roman" w:cs="Times New Roman"/>
          <w:sz w:val="24"/>
          <w:szCs w:val="24"/>
        </w:rPr>
        <w:t>-</w:t>
      </w:r>
      <w:r w:rsidRPr="00BC7A5C">
        <w:rPr>
          <w:rFonts w:ascii="Times New Roman" w:hAnsi="Times New Roman" w:cs="Times New Roman"/>
          <w:sz w:val="24"/>
          <w:szCs w:val="24"/>
        </w:rPr>
        <w:t xml:space="preserve">töötlemist. Arengukava </w:t>
      </w:r>
      <w:r w:rsidR="009308CC" w:rsidRPr="00BC7A5C">
        <w:rPr>
          <w:rFonts w:ascii="Times New Roman" w:hAnsi="Times New Roman" w:cs="Times New Roman"/>
          <w:sz w:val="24"/>
          <w:szCs w:val="24"/>
        </w:rPr>
        <w:t>annab ülevaate Eesti teraviljasektori</w:t>
      </w:r>
      <w:r w:rsidR="009308CC">
        <w:rPr>
          <w:rFonts w:ascii="Times New Roman" w:hAnsi="Times New Roman" w:cs="Times New Roman"/>
          <w:sz w:val="24"/>
          <w:szCs w:val="24"/>
        </w:rPr>
        <w:t>st</w:t>
      </w:r>
      <w:r w:rsidR="009308CC" w:rsidRPr="00BC7A5C">
        <w:rPr>
          <w:rFonts w:ascii="Times New Roman" w:hAnsi="Times New Roman" w:cs="Times New Roman"/>
          <w:sz w:val="24"/>
          <w:szCs w:val="24"/>
        </w:rPr>
        <w:t xml:space="preserve"> </w:t>
      </w:r>
      <w:r w:rsidR="007324D7">
        <w:rPr>
          <w:rFonts w:ascii="Times New Roman" w:hAnsi="Times New Roman" w:cs="Times New Roman"/>
          <w:sz w:val="24"/>
          <w:szCs w:val="24"/>
        </w:rPr>
        <w:t>aastate</w:t>
      </w:r>
      <w:r w:rsidR="009308CC">
        <w:rPr>
          <w:rFonts w:ascii="Times New Roman" w:hAnsi="Times New Roman" w:cs="Times New Roman"/>
          <w:sz w:val="24"/>
          <w:szCs w:val="24"/>
        </w:rPr>
        <w:t>l</w:t>
      </w:r>
      <w:r w:rsidR="007324D7">
        <w:rPr>
          <w:rFonts w:ascii="Times New Roman" w:hAnsi="Times New Roman" w:cs="Times New Roman"/>
          <w:sz w:val="24"/>
          <w:szCs w:val="24"/>
        </w:rPr>
        <w:t xml:space="preserve"> 2004–2013</w:t>
      </w:r>
      <w:r w:rsidR="009308CC">
        <w:rPr>
          <w:rFonts w:ascii="Times New Roman" w:hAnsi="Times New Roman" w:cs="Times New Roman"/>
          <w:sz w:val="24"/>
          <w:szCs w:val="24"/>
        </w:rPr>
        <w:t xml:space="preserve"> ja</w:t>
      </w:r>
      <w:r w:rsidRPr="00BC7A5C">
        <w:rPr>
          <w:rFonts w:ascii="Times New Roman" w:hAnsi="Times New Roman" w:cs="Times New Roman"/>
          <w:sz w:val="24"/>
          <w:szCs w:val="24"/>
        </w:rPr>
        <w:t xml:space="preserve"> </w:t>
      </w:r>
      <w:r w:rsidR="00194E7A" w:rsidRPr="00BC7A5C">
        <w:rPr>
          <w:rFonts w:ascii="Times New Roman" w:hAnsi="Times New Roman" w:cs="Times New Roman"/>
          <w:sz w:val="24"/>
          <w:szCs w:val="24"/>
        </w:rPr>
        <w:t xml:space="preserve">analüüsib sektori </w:t>
      </w:r>
      <w:r w:rsidR="00BF3319" w:rsidRPr="00BC7A5C">
        <w:rPr>
          <w:rFonts w:ascii="Times New Roman" w:hAnsi="Times New Roman" w:cs="Times New Roman"/>
          <w:sz w:val="24"/>
          <w:szCs w:val="24"/>
        </w:rPr>
        <w:t>arengu probleeme</w:t>
      </w:r>
      <w:r w:rsidRPr="00BC7A5C">
        <w:rPr>
          <w:rFonts w:ascii="Times New Roman" w:hAnsi="Times New Roman" w:cs="Times New Roman"/>
          <w:sz w:val="24"/>
          <w:szCs w:val="24"/>
        </w:rPr>
        <w:t xml:space="preserve"> ning toob välja kavandatavad tegevused </w:t>
      </w:r>
      <w:r w:rsidR="00194E7A" w:rsidRPr="00BC7A5C">
        <w:rPr>
          <w:rFonts w:ascii="Times New Roman" w:hAnsi="Times New Roman" w:cs="Times New Roman"/>
          <w:sz w:val="24"/>
          <w:szCs w:val="24"/>
        </w:rPr>
        <w:t xml:space="preserve">2020. </w:t>
      </w:r>
      <w:r w:rsidRPr="00BC7A5C">
        <w:rPr>
          <w:rFonts w:ascii="Times New Roman" w:hAnsi="Times New Roman" w:cs="Times New Roman"/>
          <w:sz w:val="24"/>
          <w:szCs w:val="24"/>
        </w:rPr>
        <w:t xml:space="preserve">aastaks püstitatud eesmärkide täitmiseks. </w:t>
      </w:r>
    </w:p>
    <w:p w:rsidR="00666B97" w:rsidRDefault="00666B97" w:rsidP="00BC7A5C">
      <w:pPr>
        <w:adjustRightInd w:val="0"/>
        <w:spacing w:line="276" w:lineRule="auto"/>
        <w:jc w:val="both"/>
        <w:rPr>
          <w:rFonts w:ascii="Times New Roman" w:hAnsi="Times New Roman" w:cs="Times New Roman"/>
          <w:sz w:val="24"/>
          <w:szCs w:val="24"/>
        </w:rPr>
      </w:pPr>
    </w:p>
    <w:p w:rsidR="00666B97" w:rsidRPr="0024503A" w:rsidRDefault="00666B97" w:rsidP="00477D22">
      <w:pPr>
        <w:pStyle w:val="Heading1"/>
        <w:numPr>
          <w:ilvl w:val="0"/>
          <w:numId w:val="44"/>
        </w:numPr>
        <w:spacing w:line="276" w:lineRule="auto"/>
        <w:ind w:left="567" w:hanging="567"/>
        <w:rPr>
          <w:rFonts w:ascii="Times New Roman" w:hAnsi="Times New Roman" w:cs="Times New Roman"/>
          <w:b w:val="0"/>
          <w:sz w:val="32"/>
          <w:szCs w:val="32"/>
        </w:rPr>
      </w:pPr>
      <w:bookmarkStart w:id="78" w:name="_Toc389128789"/>
      <w:bookmarkStart w:id="79" w:name="_Toc389131336"/>
      <w:bookmarkStart w:id="80" w:name="_Toc389223871"/>
      <w:bookmarkStart w:id="81" w:name="_Toc389223933"/>
      <w:bookmarkStart w:id="82" w:name="_Toc391908864"/>
      <w:bookmarkStart w:id="83" w:name="_Toc391991798"/>
      <w:bookmarkStart w:id="84" w:name="_Toc397593018"/>
      <w:bookmarkStart w:id="85" w:name="_Toc398896314"/>
      <w:bookmarkStart w:id="86" w:name="_Toc398896454"/>
      <w:bookmarkStart w:id="87" w:name="_Toc400972826"/>
      <w:r w:rsidRPr="0024503A">
        <w:rPr>
          <w:rFonts w:ascii="Times New Roman" w:hAnsi="Times New Roman" w:cs="Times New Roman"/>
          <w:sz w:val="32"/>
          <w:szCs w:val="32"/>
        </w:rPr>
        <w:t>Visioon</w:t>
      </w:r>
      <w:bookmarkEnd w:id="78"/>
      <w:bookmarkEnd w:id="79"/>
      <w:bookmarkEnd w:id="80"/>
      <w:bookmarkEnd w:id="81"/>
      <w:bookmarkEnd w:id="82"/>
      <w:bookmarkEnd w:id="83"/>
      <w:bookmarkEnd w:id="84"/>
      <w:bookmarkEnd w:id="85"/>
      <w:bookmarkEnd w:id="86"/>
      <w:bookmarkEnd w:id="87"/>
    </w:p>
    <w:p w:rsidR="00666B97" w:rsidRPr="0024503A" w:rsidRDefault="00666B97" w:rsidP="00666B97">
      <w:pPr>
        <w:spacing w:line="276" w:lineRule="auto"/>
        <w:rPr>
          <w:rFonts w:ascii="Times New Roman" w:hAnsi="Times New Roman" w:cs="Times New Roman"/>
          <w:sz w:val="24"/>
          <w:szCs w:val="24"/>
        </w:rPr>
      </w:pPr>
    </w:p>
    <w:p w:rsidR="00666B97" w:rsidRPr="0024503A" w:rsidRDefault="00666B97" w:rsidP="00666B97">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Eesti teraviljasektor on 2020. aastal jätkusuutlik, konkurentsivõimeline, lisandväärtust andev</w:t>
      </w:r>
      <w:r>
        <w:rPr>
          <w:rFonts w:ascii="Times New Roman" w:hAnsi="Times New Roman" w:cs="Times New Roman"/>
          <w:sz w:val="24"/>
          <w:szCs w:val="24"/>
        </w:rPr>
        <w:t xml:space="preserve"> ning s</w:t>
      </w:r>
      <w:r w:rsidRPr="0024503A">
        <w:rPr>
          <w:rFonts w:ascii="Times New Roman" w:hAnsi="Times New Roman" w:cs="Times New Roman"/>
          <w:sz w:val="24"/>
          <w:szCs w:val="24"/>
        </w:rPr>
        <w:t xml:space="preserve">ektoris kasutatakse laialdaselt innovaatilisi tehnoloogiaid, millega tagatakse efektiivne tootmine ja töötlemine ning luuakse </w:t>
      </w:r>
      <w:r>
        <w:rPr>
          <w:rFonts w:ascii="Times New Roman" w:hAnsi="Times New Roman" w:cs="Times New Roman"/>
          <w:sz w:val="24"/>
          <w:szCs w:val="24"/>
        </w:rPr>
        <w:t xml:space="preserve">läbi ekspordi </w:t>
      </w:r>
      <w:r w:rsidRPr="0024503A">
        <w:rPr>
          <w:rFonts w:ascii="Times New Roman" w:hAnsi="Times New Roman" w:cs="Times New Roman"/>
          <w:sz w:val="24"/>
          <w:szCs w:val="24"/>
        </w:rPr>
        <w:t xml:space="preserve">eeldused Eestis kasvatatud teravilja tuntusele ja tunnustatusele mujal maailmas. Kõrgelt kvalifitseeritud Eesti tootja hoiab põllumajandusmaad viljakana ja majandab </w:t>
      </w:r>
      <w:r w:rsidR="00FE62BD">
        <w:rPr>
          <w:rFonts w:ascii="Times New Roman" w:hAnsi="Times New Roman" w:cs="Times New Roman"/>
          <w:sz w:val="24"/>
          <w:szCs w:val="24"/>
        </w:rPr>
        <w:t>keskkonnasõbralikult</w:t>
      </w:r>
      <w:r w:rsidRPr="0024503A">
        <w:rPr>
          <w:rFonts w:ascii="Times New Roman" w:hAnsi="Times New Roman" w:cs="Times New Roman"/>
          <w:sz w:val="24"/>
          <w:szCs w:val="24"/>
        </w:rPr>
        <w:t xml:space="preserve">, säilitades seeläbi põllumajandusmaa väärtuse. </w:t>
      </w:r>
    </w:p>
    <w:p w:rsidR="00E52450" w:rsidRPr="00BC7A5C" w:rsidRDefault="00E52450" w:rsidP="00BC7A5C">
      <w:pPr>
        <w:adjustRightInd w:val="0"/>
        <w:spacing w:line="276" w:lineRule="auto"/>
        <w:jc w:val="both"/>
        <w:rPr>
          <w:rFonts w:ascii="Times New Roman" w:hAnsi="Times New Roman" w:cs="Times New Roman"/>
          <w:sz w:val="24"/>
          <w:szCs w:val="24"/>
        </w:rPr>
      </w:pPr>
    </w:p>
    <w:p w:rsidR="00D5456A" w:rsidRPr="00003E10" w:rsidRDefault="00D5456A" w:rsidP="00477D22">
      <w:pPr>
        <w:pStyle w:val="Heading1"/>
        <w:numPr>
          <w:ilvl w:val="0"/>
          <w:numId w:val="44"/>
        </w:numPr>
        <w:spacing w:line="276" w:lineRule="auto"/>
        <w:ind w:left="567" w:hanging="567"/>
        <w:rPr>
          <w:rFonts w:ascii="Times New Roman" w:hAnsi="Times New Roman"/>
          <w:b w:val="0"/>
          <w:sz w:val="32"/>
          <w:szCs w:val="32"/>
        </w:rPr>
      </w:pPr>
      <w:bookmarkStart w:id="88" w:name="_Toc372294682"/>
      <w:bookmarkStart w:id="89" w:name="_Toc374457355"/>
      <w:bookmarkStart w:id="90" w:name="_Toc378695177"/>
      <w:bookmarkStart w:id="91" w:name="_Toc378697806"/>
      <w:bookmarkStart w:id="92" w:name="_Toc378773253"/>
      <w:bookmarkStart w:id="93" w:name="_Toc379197434"/>
      <w:bookmarkStart w:id="94" w:name="_Toc379205472"/>
      <w:bookmarkStart w:id="95" w:name="_Toc379268168"/>
      <w:bookmarkStart w:id="96" w:name="_Toc379296743"/>
      <w:bookmarkStart w:id="97" w:name="_Toc379373452"/>
      <w:bookmarkStart w:id="98" w:name="_Toc379799836"/>
      <w:bookmarkStart w:id="99" w:name="_Toc381633578"/>
      <w:bookmarkStart w:id="100" w:name="_Toc381633723"/>
      <w:bookmarkStart w:id="101" w:name="_Toc384050891"/>
      <w:bookmarkStart w:id="102" w:name="_Toc384052595"/>
      <w:bookmarkStart w:id="103" w:name="_Toc384283938"/>
      <w:bookmarkStart w:id="104" w:name="_Toc384284049"/>
      <w:bookmarkStart w:id="105" w:name="_Toc384386243"/>
      <w:bookmarkStart w:id="106" w:name="_Toc384386455"/>
      <w:bookmarkStart w:id="107" w:name="_Toc384392321"/>
      <w:bookmarkStart w:id="108" w:name="_Toc385253752"/>
      <w:bookmarkStart w:id="109" w:name="_Toc385335124"/>
      <w:bookmarkStart w:id="110" w:name="_Toc389128790"/>
      <w:bookmarkStart w:id="111" w:name="_Toc389131337"/>
      <w:bookmarkStart w:id="112" w:name="_Toc389223872"/>
      <w:bookmarkStart w:id="113" w:name="_Toc389223934"/>
      <w:bookmarkStart w:id="114" w:name="_Toc391908865"/>
      <w:bookmarkStart w:id="115" w:name="_Toc391991799"/>
      <w:bookmarkStart w:id="116" w:name="_Toc397593019"/>
      <w:bookmarkStart w:id="117" w:name="_Toc398896315"/>
      <w:bookmarkStart w:id="118" w:name="_Toc398896455"/>
      <w:bookmarkStart w:id="119" w:name="_Toc400972827"/>
      <w:r w:rsidRPr="00003E10">
        <w:rPr>
          <w:rFonts w:ascii="Times New Roman" w:hAnsi="Times New Roman"/>
          <w:sz w:val="32"/>
          <w:szCs w:val="32"/>
        </w:rPr>
        <w:t>Arengukava eesmär</w:t>
      </w:r>
      <w:bookmarkEnd w:id="64"/>
      <w:bookmarkEnd w:id="65"/>
      <w:bookmarkEnd w:id="66"/>
      <w:bookmarkEnd w:id="67"/>
      <w:bookmarkEnd w:id="68"/>
      <w:bookmarkEnd w:id="69"/>
      <w:bookmarkEnd w:id="70"/>
      <w:bookmarkEnd w:id="71"/>
      <w:bookmarkEnd w:id="72"/>
      <w:r w:rsidR="008D418C" w:rsidRPr="00003E10">
        <w:rPr>
          <w:rFonts w:ascii="Times New Roman" w:hAnsi="Times New Roman"/>
          <w:sz w:val="32"/>
          <w:szCs w:val="32"/>
        </w:rPr>
        <w:t>k</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rsidR="00D5456A" w:rsidRPr="00BC7A5C" w:rsidRDefault="00D5456A" w:rsidP="00BC7A5C">
      <w:pPr>
        <w:spacing w:line="276" w:lineRule="auto"/>
        <w:jc w:val="both"/>
        <w:rPr>
          <w:rFonts w:ascii="Times New Roman" w:hAnsi="Times New Roman" w:cs="Times New Roman"/>
          <w:sz w:val="24"/>
          <w:szCs w:val="24"/>
        </w:rPr>
      </w:pPr>
    </w:p>
    <w:p w:rsidR="00A46D5C" w:rsidRPr="00D51F70" w:rsidRDefault="00A46D5C" w:rsidP="00A46D5C">
      <w:pPr>
        <w:pStyle w:val="IntenseQuote"/>
        <w:ind w:left="0" w:right="-2"/>
        <w:rPr>
          <w:rStyle w:val="IntenseReference"/>
          <w:sz w:val="24"/>
          <w:szCs w:val="24"/>
        </w:rPr>
      </w:pPr>
      <w:bookmarkStart w:id="120" w:name="OLE_LINK2"/>
      <w:bookmarkStart w:id="121" w:name="OLE_LINK3"/>
      <w:r w:rsidRPr="00D51F70">
        <w:rPr>
          <w:rStyle w:val="IntenseReference"/>
          <w:sz w:val="24"/>
          <w:szCs w:val="24"/>
        </w:rPr>
        <w:t>Eesti teraviljasektor</w:t>
      </w:r>
      <w:r w:rsidR="00E53CAB">
        <w:rPr>
          <w:rStyle w:val="IntenseReference"/>
          <w:sz w:val="24"/>
          <w:szCs w:val="24"/>
        </w:rPr>
        <w:t xml:space="preserve"> Annab</w:t>
      </w:r>
      <w:r w:rsidR="004542D3">
        <w:rPr>
          <w:rStyle w:val="IntenseReference"/>
          <w:sz w:val="24"/>
          <w:szCs w:val="24"/>
        </w:rPr>
        <w:t xml:space="preserve"> 2020. aastal </w:t>
      </w:r>
      <w:r w:rsidRPr="00D51F70">
        <w:rPr>
          <w:rStyle w:val="IntenseReference"/>
          <w:sz w:val="24"/>
          <w:szCs w:val="24"/>
        </w:rPr>
        <w:t xml:space="preserve"> </w:t>
      </w:r>
      <w:r w:rsidR="004542D3">
        <w:rPr>
          <w:rStyle w:val="IntenseReference"/>
          <w:sz w:val="24"/>
          <w:szCs w:val="24"/>
        </w:rPr>
        <w:t xml:space="preserve">suurenenud </w:t>
      </w:r>
      <w:r w:rsidRPr="00D51F70">
        <w:rPr>
          <w:rStyle w:val="IntenseReference"/>
          <w:sz w:val="24"/>
          <w:szCs w:val="24"/>
        </w:rPr>
        <w:t>tootmise ja töötlemise mahu</w:t>
      </w:r>
      <w:r w:rsidR="004542D3">
        <w:rPr>
          <w:rStyle w:val="IntenseReference"/>
          <w:sz w:val="24"/>
          <w:szCs w:val="24"/>
        </w:rPr>
        <w:t xml:space="preserve"> juures</w:t>
      </w:r>
      <w:r w:rsidRPr="00D51F70">
        <w:rPr>
          <w:rStyle w:val="IntenseReference"/>
          <w:sz w:val="24"/>
          <w:szCs w:val="24"/>
        </w:rPr>
        <w:t xml:space="preserve"> </w:t>
      </w:r>
      <w:r w:rsidR="00B571A2">
        <w:rPr>
          <w:rStyle w:val="IntenseReference"/>
          <w:sz w:val="24"/>
          <w:szCs w:val="24"/>
        </w:rPr>
        <w:t xml:space="preserve">kõrgema </w:t>
      </w:r>
      <w:r w:rsidRPr="00D51F70">
        <w:rPr>
          <w:rStyle w:val="IntenseReference"/>
          <w:sz w:val="24"/>
          <w:szCs w:val="24"/>
        </w:rPr>
        <w:t>lisandväärtus</w:t>
      </w:r>
      <w:r w:rsidR="00B571A2">
        <w:rPr>
          <w:rStyle w:val="IntenseReference"/>
          <w:sz w:val="24"/>
          <w:szCs w:val="24"/>
        </w:rPr>
        <w:t>ega</w:t>
      </w:r>
      <w:r w:rsidR="004542D3">
        <w:rPr>
          <w:rStyle w:val="IntenseReference"/>
          <w:sz w:val="24"/>
          <w:szCs w:val="24"/>
        </w:rPr>
        <w:t xml:space="preserve"> toodangut</w:t>
      </w:r>
      <w:r w:rsidRPr="00D51F70">
        <w:rPr>
          <w:rStyle w:val="IntenseReference"/>
          <w:sz w:val="24"/>
          <w:szCs w:val="24"/>
        </w:rPr>
        <w:t xml:space="preserve">, </w:t>
      </w:r>
      <w:r w:rsidR="00100539">
        <w:rPr>
          <w:rStyle w:val="IntenseReference"/>
          <w:sz w:val="24"/>
          <w:szCs w:val="24"/>
        </w:rPr>
        <w:t>mis tagatakse järgmiste alaeesmärkide täitmisega</w:t>
      </w:r>
      <w:r w:rsidRPr="00D51F70">
        <w:rPr>
          <w:rStyle w:val="IntenseReference"/>
          <w:sz w:val="24"/>
          <w:szCs w:val="24"/>
        </w:rPr>
        <w:t>:</w:t>
      </w:r>
    </w:p>
    <w:p w:rsidR="002266BD" w:rsidRPr="00BC7A5C" w:rsidRDefault="002266BD" w:rsidP="00BC7A5C">
      <w:pPr>
        <w:spacing w:line="276" w:lineRule="auto"/>
        <w:jc w:val="both"/>
        <w:rPr>
          <w:rFonts w:ascii="Times New Roman" w:hAnsi="Times New Roman" w:cs="Times New Roman"/>
          <w:sz w:val="24"/>
          <w:szCs w:val="24"/>
        </w:rPr>
      </w:pPr>
    </w:p>
    <w:p w:rsidR="00683FD5" w:rsidRPr="00BC7A5C" w:rsidRDefault="000A582B" w:rsidP="00B6229A">
      <w:pPr>
        <w:numPr>
          <w:ilvl w:val="0"/>
          <w:numId w:val="2"/>
        </w:numPr>
        <w:spacing w:line="276" w:lineRule="auto"/>
        <w:ind w:left="426" w:hanging="42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t</w:t>
      </w:r>
      <w:r w:rsidR="005D09CB" w:rsidRPr="00BC7A5C">
        <w:rPr>
          <w:rFonts w:ascii="Times New Roman" w:eastAsia="Calibri" w:hAnsi="Times New Roman" w:cs="Times New Roman"/>
          <w:sz w:val="24"/>
          <w:szCs w:val="24"/>
        </w:rPr>
        <w:t>eravilja ja õlikultuure kasvatatakse</w:t>
      </w:r>
      <w:r w:rsidR="00445AE5">
        <w:rPr>
          <w:rFonts w:ascii="Times New Roman" w:eastAsia="Calibri" w:hAnsi="Times New Roman" w:cs="Times New Roman"/>
          <w:sz w:val="24"/>
          <w:szCs w:val="24"/>
        </w:rPr>
        <w:t xml:space="preserve"> kokku</w:t>
      </w:r>
      <w:r w:rsidR="005D09CB" w:rsidRPr="00BC7A5C">
        <w:rPr>
          <w:rFonts w:ascii="Times New Roman" w:eastAsia="Calibri" w:hAnsi="Times New Roman" w:cs="Times New Roman"/>
          <w:sz w:val="24"/>
          <w:szCs w:val="24"/>
        </w:rPr>
        <w:t xml:space="preserve"> vähemalt 4</w:t>
      </w:r>
      <w:r w:rsidR="00B56E9D" w:rsidRPr="00BC7A5C">
        <w:rPr>
          <w:rFonts w:ascii="Times New Roman" w:eastAsia="Calibri" w:hAnsi="Times New Roman" w:cs="Times New Roman"/>
          <w:sz w:val="24"/>
          <w:szCs w:val="24"/>
        </w:rPr>
        <w:t>3</w:t>
      </w:r>
      <w:r w:rsidR="005D09CB" w:rsidRPr="00BC7A5C">
        <w:rPr>
          <w:rFonts w:ascii="Times New Roman" w:eastAsia="Calibri" w:hAnsi="Times New Roman" w:cs="Times New Roman"/>
          <w:sz w:val="24"/>
          <w:szCs w:val="24"/>
        </w:rPr>
        <w:t>0 tuh</w:t>
      </w:r>
      <w:r w:rsidR="00445AE5">
        <w:rPr>
          <w:rFonts w:ascii="Times New Roman" w:eastAsia="Calibri" w:hAnsi="Times New Roman" w:cs="Times New Roman"/>
          <w:sz w:val="24"/>
          <w:szCs w:val="24"/>
        </w:rPr>
        <w:t>andel</w:t>
      </w:r>
      <w:r w:rsidR="005D09CB" w:rsidRPr="00BC7A5C">
        <w:rPr>
          <w:rFonts w:ascii="Times New Roman" w:eastAsia="Calibri" w:hAnsi="Times New Roman" w:cs="Times New Roman"/>
          <w:sz w:val="24"/>
          <w:szCs w:val="24"/>
        </w:rPr>
        <w:t xml:space="preserve"> hektaril</w:t>
      </w:r>
      <w:r w:rsidR="00683FD5" w:rsidRPr="00BC7A5C">
        <w:rPr>
          <w:rFonts w:ascii="Times New Roman" w:eastAsia="Calibri" w:hAnsi="Times New Roman" w:cs="Times New Roman"/>
          <w:sz w:val="24"/>
          <w:szCs w:val="24"/>
        </w:rPr>
        <w:t xml:space="preserve"> </w:t>
      </w:r>
      <w:r w:rsidR="00892D7E" w:rsidRPr="00BC7A5C">
        <w:rPr>
          <w:rFonts w:ascii="Times New Roman" w:eastAsia="Calibri" w:hAnsi="Times New Roman" w:cs="Times New Roman"/>
          <w:sz w:val="24"/>
          <w:szCs w:val="24"/>
        </w:rPr>
        <w:t>(2013. aastal</w:t>
      </w:r>
      <w:r w:rsidR="00683FD5" w:rsidRPr="00BC7A5C">
        <w:rPr>
          <w:rFonts w:ascii="Times New Roman" w:eastAsia="Calibri" w:hAnsi="Times New Roman" w:cs="Times New Roman"/>
          <w:sz w:val="24"/>
          <w:szCs w:val="24"/>
        </w:rPr>
        <w:t xml:space="preserve"> </w:t>
      </w:r>
      <w:r w:rsidR="00153A18" w:rsidRPr="00BC7A5C">
        <w:rPr>
          <w:rFonts w:ascii="Times New Roman" w:eastAsia="Calibri" w:hAnsi="Times New Roman" w:cs="Times New Roman"/>
          <w:sz w:val="24"/>
          <w:szCs w:val="24"/>
        </w:rPr>
        <w:t xml:space="preserve">oli kasvupind kokku </w:t>
      </w:r>
      <w:r w:rsidR="00892D7E" w:rsidRPr="00BC7A5C">
        <w:rPr>
          <w:rFonts w:ascii="Times New Roman" w:eastAsia="Calibri" w:hAnsi="Times New Roman" w:cs="Times New Roman"/>
          <w:sz w:val="24"/>
          <w:szCs w:val="24"/>
        </w:rPr>
        <w:t>400</w:t>
      </w:r>
      <w:r w:rsidR="00683FD5" w:rsidRPr="00BC7A5C">
        <w:rPr>
          <w:rFonts w:ascii="Times New Roman" w:eastAsia="Calibri" w:hAnsi="Times New Roman" w:cs="Times New Roman"/>
          <w:sz w:val="24"/>
          <w:szCs w:val="24"/>
        </w:rPr>
        <w:t xml:space="preserve"> tuh</w:t>
      </w:r>
      <w:r w:rsidR="00445AE5">
        <w:rPr>
          <w:rFonts w:ascii="Times New Roman" w:eastAsia="Calibri" w:hAnsi="Times New Roman" w:cs="Times New Roman"/>
          <w:sz w:val="24"/>
          <w:szCs w:val="24"/>
        </w:rPr>
        <w:t>at</w:t>
      </w:r>
      <w:r w:rsidR="00683FD5" w:rsidRPr="00BC7A5C">
        <w:rPr>
          <w:rFonts w:ascii="Times New Roman" w:eastAsia="Calibri" w:hAnsi="Times New Roman" w:cs="Times New Roman"/>
          <w:sz w:val="24"/>
          <w:szCs w:val="24"/>
        </w:rPr>
        <w:t xml:space="preserve"> h</w:t>
      </w:r>
      <w:r w:rsidR="00445AE5">
        <w:rPr>
          <w:rFonts w:ascii="Times New Roman" w:eastAsia="Calibri" w:hAnsi="Times New Roman" w:cs="Times New Roman"/>
          <w:sz w:val="24"/>
          <w:szCs w:val="24"/>
        </w:rPr>
        <w:t>ektarit</w:t>
      </w:r>
      <w:r w:rsidR="00683FD5" w:rsidRPr="00BC7A5C">
        <w:rPr>
          <w:rFonts w:ascii="Times New Roman" w:eastAsia="Calibri" w:hAnsi="Times New Roman" w:cs="Times New Roman"/>
          <w:sz w:val="24"/>
          <w:szCs w:val="24"/>
        </w:rPr>
        <w:t>)</w:t>
      </w:r>
      <w:r w:rsidR="00445AE5">
        <w:rPr>
          <w:rFonts w:ascii="Times New Roman" w:eastAsia="Calibri" w:hAnsi="Times New Roman" w:cs="Times New Roman"/>
          <w:sz w:val="24"/>
          <w:szCs w:val="24"/>
        </w:rPr>
        <w:t xml:space="preserve"> ja kaunvilja 25 tuhandel hektaril</w:t>
      </w:r>
      <w:r w:rsidR="00A913D6">
        <w:rPr>
          <w:rFonts w:ascii="Times New Roman" w:eastAsia="Calibri" w:hAnsi="Times New Roman" w:cs="Times New Roman"/>
          <w:sz w:val="24"/>
          <w:szCs w:val="24"/>
        </w:rPr>
        <w:t xml:space="preserve"> (2013. aastal 14 tuhat hektarit)</w:t>
      </w:r>
      <w:r w:rsidR="00003E10" w:rsidRPr="00BC7A5C">
        <w:rPr>
          <w:rFonts w:ascii="Times New Roman" w:eastAsia="Calibri" w:hAnsi="Times New Roman" w:cs="Times New Roman"/>
          <w:sz w:val="24"/>
          <w:szCs w:val="24"/>
        </w:rPr>
        <w:t>;</w:t>
      </w:r>
    </w:p>
    <w:p w:rsidR="00683FD5" w:rsidRPr="00BC7A5C" w:rsidRDefault="000A582B" w:rsidP="00B6229A">
      <w:pPr>
        <w:numPr>
          <w:ilvl w:val="0"/>
          <w:numId w:val="2"/>
        </w:numPr>
        <w:spacing w:line="276" w:lineRule="auto"/>
        <w:ind w:left="426" w:hanging="42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t</w:t>
      </w:r>
      <w:r w:rsidR="00683FD5" w:rsidRPr="00BC7A5C">
        <w:rPr>
          <w:rFonts w:ascii="Times New Roman" w:eastAsia="Calibri" w:hAnsi="Times New Roman" w:cs="Times New Roman"/>
          <w:sz w:val="24"/>
          <w:szCs w:val="24"/>
        </w:rPr>
        <w:t xml:space="preserve">eraviljatoodang katab Eesti </w:t>
      </w:r>
      <w:r w:rsidR="00A421B2">
        <w:rPr>
          <w:rFonts w:ascii="Times New Roman" w:eastAsia="Calibri" w:hAnsi="Times New Roman" w:cs="Times New Roman"/>
          <w:sz w:val="24"/>
          <w:szCs w:val="24"/>
        </w:rPr>
        <w:t>iga-aastase</w:t>
      </w:r>
      <w:r w:rsidR="006E2790">
        <w:rPr>
          <w:rFonts w:ascii="Times New Roman" w:eastAsia="Calibri" w:hAnsi="Times New Roman" w:cs="Times New Roman"/>
          <w:sz w:val="24"/>
          <w:szCs w:val="24"/>
        </w:rPr>
        <w:t xml:space="preserve"> </w:t>
      </w:r>
      <w:r w:rsidR="00683FD5" w:rsidRPr="00BC7A5C">
        <w:rPr>
          <w:rFonts w:ascii="Times New Roman" w:eastAsia="Calibri" w:hAnsi="Times New Roman" w:cs="Times New Roman"/>
          <w:sz w:val="24"/>
          <w:szCs w:val="24"/>
        </w:rPr>
        <w:t>vajaduse</w:t>
      </w:r>
      <w:r w:rsidR="006E2790">
        <w:rPr>
          <w:rFonts w:ascii="Times New Roman" w:eastAsia="Calibri" w:hAnsi="Times New Roman" w:cs="Times New Roman"/>
          <w:sz w:val="24"/>
          <w:szCs w:val="24"/>
        </w:rPr>
        <w:t xml:space="preserve"> (</w:t>
      </w:r>
      <w:r w:rsidR="00683FD5" w:rsidRPr="00BC7A5C">
        <w:rPr>
          <w:rFonts w:ascii="Times New Roman" w:eastAsia="Calibri" w:hAnsi="Times New Roman" w:cs="Times New Roman"/>
          <w:sz w:val="24"/>
          <w:szCs w:val="24"/>
        </w:rPr>
        <w:t>ca 700 tuh</w:t>
      </w:r>
      <w:r w:rsidR="00445AE5">
        <w:rPr>
          <w:rFonts w:ascii="Times New Roman" w:eastAsia="Calibri" w:hAnsi="Times New Roman" w:cs="Times New Roman"/>
          <w:sz w:val="24"/>
          <w:szCs w:val="24"/>
        </w:rPr>
        <w:t>at</w:t>
      </w:r>
      <w:r w:rsidR="00683FD5" w:rsidRPr="00BC7A5C">
        <w:rPr>
          <w:rFonts w:ascii="Times New Roman" w:eastAsia="Calibri" w:hAnsi="Times New Roman" w:cs="Times New Roman"/>
          <w:sz w:val="24"/>
          <w:szCs w:val="24"/>
        </w:rPr>
        <w:t xml:space="preserve"> t</w:t>
      </w:r>
      <w:r w:rsidR="00445AE5">
        <w:rPr>
          <w:rFonts w:ascii="Times New Roman" w:eastAsia="Calibri" w:hAnsi="Times New Roman" w:cs="Times New Roman"/>
          <w:sz w:val="24"/>
          <w:szCs w:val="24"/>
        </w:rPr>
        <w:t>onni</w:t>
      </w:r>
      <w:r w:rsidR="006E2790">
        <w:rPr>
          <w:rFonts w:ascii="Times New Roman" w:eastAsia="Calibri" w:hAnsi="Times New Roman" w:cs="Times New Roman"/>
          <w:sz w:val="24"/>
          <w:szCs w:val="24"/>
        </w:rPr>
        <w:t>)</w:t>
      </w:r>
      <w:r w:rsidR="00683FD5" w:rsidRPr="00BC7A5C">
        <w:rPr>
          <w:rFonts w:ascii="Times New Roman" w:eastAsia="Calibri" w:hAnsi="Times New Roman" w:cs="Times New Roman"/>
          <w:sz w:val="24"/>
          <w:szCs w:val="24"/>
        </w:rPr>
        <w:t xml:space="preserve"> kahekordselt; </w:t>
      </w:r>
    </w:p>
    <w:p w:rsidR="005D09CB" w:rsidRPr="00BC7A5C" w:rsidRDefault="000A582B" w:rsidP="00B6229A">
      <w:pPr>
        <w:numPr>
          <w:ilvl w:val="0"/>
          <w:numId w:val="2"/>
        </w:numPr>
        <w:spacing w:line="276" w:lineRule="auto"/>
        <w:ind w:left="426" w:hanging="42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k</w:t>
      </w:r>
      <w:r w:rsidR="006371EE">
        <w:rPr>
          <w:rFonts w:ascii="Times New Roman" w:eastAsia="Calibri" w:hAnsi="Times New Roman" w:cs="Times New Roman"/>
          <w:sz w:val="24"/>
          <w:szCs w:val="24"/>
        </w:rPr>
        <w:t>uni pool t</w:t>
      </w:r>
      <w:r w:rsidR="00683FD5" w:rsidRPr="00BC7A5C">
        <w:rPr>
          <w:rFonts w:ascii="Times New Roman" w:eastAsia="Calibri" w:hAnsi="Times New Roman" w:cs="Times New Roman"/>
          <w:sz w:val="24"/>
          <w:szCs w:val="24"/>
        </w:rPr>
        <w:t>eravilja</w:t>
      </w:r>
      <w:r w:rsidR="00BB0AE5">
        <w:rPr>
          <w:rFonts w:ascii="Times New Roman" w:eastAsia="Calibri" w:hAnsi="Times New Roman" w:cs="Times New Roman"/>
          <w:sz w:val="24"/>
          <w:szCs w:val="24"/>
        </w:rPr>
        <w:t xml:space="preserve"> </w:t>
      </w:r>
      <w:r w:rsidR="00060138">
        <w:rPr>
          <w:rFonts w:ascii="Times New Roman" w:eastAsia="Calibri" w:hAnsi="Times New Roman" w:cs="Times New Roman"/>
          <w:sz w:val="24"/>
          <w:szCs w:val="24"/>
        </w:rPr>
        <w:t xml:space="preserve">ja </w:t>
      </w:r>
      <w:r w:rsidR="00BB0AE5">
        <w:rPr>
          <w:rFonts w:ascii="Times New Roman" w:eastAsia="Calibri" w:hAnsi="Times New Roman" w:cs="Times New Roman"/>
          <w:sz w:val="24"/>
          <w:szCs w:val="24"/>
        </w:rPr>
        <w:t>r</w:t>
      </w:r>
      <w:r w:rsidR="00683FD5" w:rsidRPr="00BC7A5C">
        <w:rPr>
          <w:rFonts w:ascii="Times New Roman" w:eastAsia="Calibri" w:hAnsi="Times New Roman" w:cs="Times New Roman"/>
          <w:sz w:val="24"/>
          <w:szCs w:val="24"/>
        </w:rPr>
        <w:t>apsi toodangust</w:t>
      </w:r>
      <w:r w:rsidR="006371EE">
        <w:rPr>
          <w:rFonts w:ascii="Times New Roman" w:eastAsia="Calibri" w:hAnsi="Times New Roman" w:cs="Times New Roman"/>
          <w:sz w:val="24"/>
          <w:szCs w:val="24"/>
        </w:rPr>
        <w:t xml:space="preserve"> eksporditakse</w:t>
      </w:r>
      <w:r w:rsidR="00683FD5" w:rsidRPr="00BC7A5C">
        <w:rPr>
          <w:rFonts w:ascii="Times New Roman" w:eastAsia="Calibri" w:hAnsi="Times New Roman" w:cs="Times New Roman"/>
          <w:sz w:val="24"/>
          <w:szCs w:val="24"/>
        </w:rPr>
        <w:t xml:space="preserve"> ning </w:t>
      </w:r>
      <w:r w:rsidR="006371EE">
        <w:rPr>
          <w:rFonts w:ascii="Times New Roman" w:eastAsia="Calibri" w:hAnsi="Times New Roman" w:cs="Times New Roman"/>
          <w:noProof/>
          <w:sz w:val="24"/>
          <w:szCs w:val="24"/>
        </w:rPr>
        <w:t xml:space="preserve">töödeldud </w:t>
      </w:r>
      <w:r w:rsidR="00683FD5" w:rsidRPr="00BC7A5C">
        <w:rPr>
          <w:rFonts w:ascii="Times New Roman" w:eastAsia="Calibri" w:hAnsi="Times New Roman" w:cs="Times New Roman"/>
          <w:sz w:val="24"/>
          <w:szCs w:val="24"/>
        </w:rPr>
        <w:t>toodete osakaal</w:t>
      </w:r>
      <w:r w:rsidR="00FB186D">
        <w:rPr>
          <w:rFonts w:ascii="Times New Roman" w:eastAsia="Calibri" w:hAnsi="Times New Roman" w:cs="Times New Roman"/>
          <w:sz w:val="24"/>
          <w:szCs w:val="24"/>
        </w:rPr>
        <w:t xml:space="preserve"> </w:t>
      </w:r>
      <w:r w:rsidR="00FB186D" w:rsidRPr="00BC7A5C">
        <w:rPr>
          <w:rFonts w:ascii="Times New Roman" w:eastAsia="Calibri" w:hAnsi="Times New Roman" w:cs="Times New Roman"/>
          <w:sz w:val="24"/>
          <w:szCs w:val="24"/>
        </w:rPr>
        <w:t>(2013. aastal ca 23% – 2020. aastal 30</w:t>
      </w:r>
      <w:r w:rsidR="00355982">
        <w:rPr>
          <w:rFonts w:ascii="Times New Roman" w:eastAsia="Calibri" w:hAnsi="Times New Roman" w:cs="Times New Roman"/>
          <w:sz w:val="24"/>
          <w:szCs w:val="24"/>
        </w:rPr>
        <w:t>%)</w:t>
      </w:r>
      <w:r w:rsidR="00683FD5" w:rsidRPr="00BC7A5C">
        <w:rPr>
          <w:rFonts w:ascii="Times New Roman" w:eastAsia="Calibri" w:hAnsi="Times New Roman" w:cs="Times New Roman"/>
          <w:sz w:val="24"/>
          <w:szCs w:val="24"/>
        </w:rPr>
        <w:t xml:space="preserve"> </w:t>
      </w:r>
      <w:r w:rsidR="003C501D">
        <w:rPr>
          <w:rFonts w:ascii="Times New Roman" w:eastAsia="Calibri" w:hAnsi="Times New Roman" w:cs="Times New Roman"/>
          <w:sz w:val="24"/>
          <w:szCs w:val="24"/>
        </w:rPr>
        <w:t xml:space="preserve">teravilja ja rapsi </w:t>
      </w:r>
      <w:r w:rsidR="00683FD5" w:rsidRPr="00BC7A5C">
        <w:rPr>
          <w:rFonts w:ascii="Times New Roman" w:eastAsia="Calibri" w:hAnsi="Times New Roman" w:cs="Times New Roman"/>
          <w:sz w:val="24"/>
          <w:szCs w:val="24"/>
        </w:rPr>
        <w:t>ekspordis kasvab</w:t>
      </w:r>
      <w:r w:rsidR="00355982">
        <w:rPr>
          <w:rFonts w:ascii="Times New Roman" w:eastAsia="Calibri" w:hAnsi="Times New Roman" w:cs="Times New Roman"/>
          <w:sz w:val="24"/>
          <w:szCs w:val="24"/>
        </w:rPr>
        <w:t>;</w:t>
      </w:r>
      <w:r w:rsidR="00683FD5" w:rsidRPr="00BC7A5C">
        <w:rPr>
          <w:rFonts w:ascii="Times New Roman" w:eastAsia="Calibri" w:hAnsi="Times New Roman" w:cs="Times New Roman"/>
          <w:sz w:val="24"/>
          <w:szCs w:val="24"/>
        </w:rPr>
        <w:t xml:space="preserve"> </w:t>
      </w:r>
    </w:p>
    <w:p w:rsidR="005D09CB" w:rsidRPr="00BC7A5C" w:rsidRDefault="000A582B" w:rsidP="00B6229A">
      <w:pPr>
        <w:numPr>
          <w:ilvl w:val="0"/>
          <w:numId w:val="2"/>
        </w:numPr>
        <w:spacing w:line="276" w:lineRule="auto"/>
        <w:ind w:left="426" w:hanging="42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t</w:t>
      </w:r>
      <w:r w:rsidR="005D09CB" w:rsidRPr="00BC7A5C">
        <w:rPr>
          <w:rFonts w:ascii="Times New Roman" w:eastAsia="Calibri" w:hAnsi="Times New Roman" w:cs="Times New Roman"/>
          <w:sz w:val="24"/>
          <w:szCs w:val="24"/>
        </w:rPr>
        <w:t xml:space="preserve">eravilja </w:t>
      </w:r>
      <w:r w:rsidR="00445AE5">
        <w:rPr>
          <w:rFonts w:ascii="Times New Roman" w:eastAsia="Calibri" w:hAnsi="Times New Roman" w:cs="Times New Roman"/>
          <w:sz w:val="24"/>
          <w:szCs w:val="24"/>
        </w:rPr>
        <w:t xml:space="preserve">keskmine </w:t>
      </w:r>
      <w:r w:rsidR="005D09CB" w:rsidRPr="00BC7A5C">
        <w:rPr>
          <w:rFonts w:ascii="Times New Roman" w:eastAsia="Calibri" w:hAnsi="Times New Roman" w:cs="Times New Roman"/>
          <w:sz w:val="24"/>
          <w:szCs w:val="24"/>
        </w:rPr>
        <w:t xml:space="preserve">saagikus </w:t>
      </w:r>
      <w:r w:rsidR="00445AE5">
        <w:rPr>
          <w:rFonts w:ascii="Times New Roman" w:eastAsia="Calibri" w:hAnsi="Times New Roman" w:cs="Times New Roman"/>
          <w:sz w:val="24"/>
          <w:szCs w:val="24"/>
        </w:rPr>
        <w:t xml:space="preserve">Eestis </w:t>
      </w:r>
      <w:r w:rsidR="005D09CB" w:rsidRPr="00BC7A5C">
        <w:rPr>
          <w:rFonts w:ascii="Times New Roman" w:eastAsia="Calibri" w:hAnsi="Times New Roman" w:cs="Times New Roman"/>
          <w:sz w:val="24"/>
          <w:szCs w:val="24"/>
        </w:rPr>
        <w:t>on vähemalt 4</w:t>
      </w:r>
      <w:r w:rsidR="00B56E9D" w:rsidRPr="00BC7A5C">
        <w:rPr>
          <w:rFonts w:ascii="Times New Roman" w:eastAsia="Calibri" w:hAnsi="Times New Roman" w:cs="Times New Roman"/>
          <w:sz w:val="24"/>
          <w:szCs w:val="24"/>
        </w:rPr>
        <w:t>,5</w:t>
      </w:r>
      <w:r w:rsidR="005D09CB" w:rsidRPr="00BC7A5C">
        <w:rPr>
          <w:rFonts w:ascii="Times New Roman" w:eastAsia="Calibri" w:hAnsi="Times New Roman" w:cs="Times New Roman"/>
          <w:sz w:val="24"/>
          <w:szCs w:val="24"/>
        </w:rPr>
        <w:t xml:space="preserve"> t</w:t>
      </w:r>
      <w:r w:rsidR="00445AE5">
        <w:rPr>
          <w:rFonts w:ascii="Times New Roman" w:eastAsia="Calibri" w:hAnsi="Times New Roman" w:cs="Times New Roman"/>
          <w:sz w:val="24"/>
          <w:szCs w:val="24"/>
        </w:rPr>
        <w:t xml:space="preserve">onni </w:t>
      </w:r>
      <w:r w:rsidR="005D09CB" w:rsidRPr="00BC7A5C">
        <w:rPr>
          <w:rFonts w:ascii="Times New Roman" w:eastAsia="Calibri" w:hAnsi="Times New Roman" w:cs="Times New Roman"/>
          <w:sz w:val="24"/>
          <w:szCs w:val="24"/>
        </w:rPr>
        <w:t>h</w:t>
      </w:r>
      <w:r w:rsidR="00445AE5">
        <w:rPr>
          <w:rFonts w:ascii="Times New Roman" w:eastAsia="Calibri" w:hAnsi="Times New Roman" w:cs="Times New Roman"/>
          <w:sz w:val="24"/>
          <w:szCs w:val="24"/>
        </w:rPr>
        <w:t>ektarilt</w:t>
      </w:r>
      <w:r w:rsidR="00EE0CD0" w:rsidRPr="00BC7A5C">
        <w:rPr>
          <w:rFonts w:ascii="Times New Roman" w:eastAsia="Calibri" w:hAnsi="Times New Roman" w:cs="Times New Roman"/>
          <w:sz w:val="24"/>
          <w:szCs w:val="24"/>
        </w:rPr>
        <w:t xml:space="preserve"> (edukamates ettevõtetes kuni </w:t>
      </w:r>
      <w:r w:rsidR="00452F1D" w:rsidRPr="00BC7A5C">
        <w:rPr>
          <w:rFonts w:ascii="Times New Roman" w:eastAsia="Calibri" w:hAnsi="Times New Roman" w:cs="Times New Roman"/>
          <w:sz w:val="24"/>
          <w:szCs w:val="24"/>
        </w:rPr>
        <w:t>10 t</w:t>
      </w:r>
      <w:r w:rsidR="00445AE5">
        <w:rPr>
          <w:rFonts w:ascii="Times New Roman" w:eastAsia="Calibri" w:hAnsi="Times New Roman" w:cs="Times New Roman"/>
          <w:sz w:val="24"/>
          <w:szCs w:val="24"/>
        </w:rPr>
        <w:t xml:space="preserve">onni </w:t>
      </w:r>
      <w:r w:rsidR="00452F1D" w:rsidRPr="00BC7A5C">
        <w:rPr>
          <w:rFonts w:ascii="Times New Roman" w:eastAsia="Calibri" w:hAnsi="Times New Roman" w:cs="Times New Roman"/>
          <w:sz w:val="24"/>
          <w:szCs w:val="24"/>
        </w:rPr>
        <w:t>h</w:t>
      </w:r>
      <w:r w:rsidR="00445AE5">
        <w:rPr>
          <w:rFonts w:ascii="Times New Roman" w:eastAsia="Calibri" w:hAnsi="Times New Roman" w:cs="Times New Roman"/>
          <w:sz w:val="24"/>
          <w:szCs w:val="24"/>
        </w:rPr>
        <w:t>ektarilt</w:t>
      </w:r>
      <w:r w:rsidR="00EE0CD0" w:rsidRPr="00BC7A5C">
        <w:rPr>
          <w:rFonts w:ascii="Times New Roman" w:eastAsia="Calibri" w:hAnsi="Times New Roman" w:cs="Times New Roman"/>
          <w:sz w:val="24"/>
          <w:szCs w:val="24"/>
        </w:rPr>
        <w:t>)</w:t>
      </w:r>
      <w:r w:rsidR="005D09CB" w:rsidRPr="00BC7A5C">
        <w:rPr>
          <w:rFonts w:ascii="Times New Roman" w:eastAsia="Calibri" w:hAnsi="Times New Roman" w:cs="Times New Roman"/>
          <w:sz w:val="24"/>
          <w:szCs w:val="24"/>
        </w:rPr>
        <w:t xml:space="preserve">; </w:t>
      </w:r>
    </w:p>
    <w:p w:rsidR="005D09CB" w:rsidRDefault="000A582B" w:rsidP="00B6229A">
      <w:pPr>
        <w:numPr>
          <w:ilvl w:val="0"/>
          <w:numId w:val="2"/>
        </w:numPr>
        <w:spacing w:line="276" w:lineRule="auto"/>
        <w:ind w:left="426" w:hanging="426"/>
        <w:contextualSpacing/>
        <w:jc w:val="both"/>
        <w:rPr>
          <w:rFonts w:ascii="Times New Roman" w:eastAsia="Calibri" w:hAnsi="Times New Roman" w:cs="Times New Roman"/>
          <w:sz w:val="24"/>
          <w:szCs w:val="24"/>
        </w:rPr>
      </w:pPr>
      <w:r>
        <w:rPr>
          <w:rFonts w:ascii="Times New Roman" w:eastAsia="Calibri" w:hAnsi="Times New Roman" w:cs="Times New Roman"/>
          <w:noProof/>
          <w:sz w:val="24"/>
          <w:szCs w:val="24"/>
        </w:rPr>
        <w:t>r</w:t>
      </w:r>
      <w:r w:rsidR="00B4422E" w:rsidRPr="00BC7A5C">
        <w:rPr>
          <w:rFonts w:ascii="Times New Roman" w:eastAsia="Calibri" w:hAnsi="Times New Roman" w:cs="Times New Roman"/>
          <w:noProof/>
          <w:sz w:val="24"/>
          <w:szCs w:val="24"/>
        </w:rPr>
        <w:t>apsi</w:t>
      </w:r>
      <w:r w:rsidR="00445AE5">
        <w:rPr>
          <w:rFonts w:ascii="Times New Roman" w:eastAsia="Calibri" w:hAnsi="Times New Roman" w:cs="Times New Roman"/>
          <w:noProof/>
          <w:sz w:val="24"/>
          <w:szCs w:val="24"/>
        </w:rPr>
        <w:t xml:space="preserve"> keskmine</w:t>
      </w:r>
      <w:r w:rsidR="005D09CB" w:rsidRPr="00BC7A5C">
        <w:rPr>
          <w:rFonts w:ascii="Times New Roman" w:eastAsia="Calibri" w:hAnsi="Times New Roman" w:cs="Times New Roman"/>
          <w:sz w:val="24"/>
          <w:szCs w:val="24"/>
        </w:rPr>
        <w:t xml:space="preserve"> saagikus</w:t>
      </w:r>
      <w:r w:rsidR="00445AE5">
        <w:rPr>
          <w:rFonts w:ascii="Times New Roman" w:eastAsia="Calibri" w:hAnsi="Times New Roman" w:cs="Times New Roman"/>
          <w:sz w:val="24"/>
          <w:szCs w:val="24"/>
        </w:rPr>
        <w:t xml:space="preserve"> Eestis</w:t>
      </w:r>
      <w:r w:rsidR="005D09CB" w:rsidRPr="00BC7A5C">
        <w:rPr>
          <w:rFonts w:ascii="Times New Roman" w:eastAsia="Calibri" w:hAnsi="Times New Roman" w:cs="Times New Roman"/>
          <w:sz w:val="24"/>
          <w:szCs w:val="24"/>
        </w:rPr>
        <w:t xml:space="preserve"> on vähemalt 2,5 t</w:t>
      </w:r>
      <w:r w:rsidR="00445AE5">
        <w:rPr>
          <w:rFonts w:ascii="Times New Roman" w:eastAsia="Calibri" w:hAnsi="Times New Roman" w:cs="Times New Roman"/>
          <w:sz w:val="24"/>
          <w:szCs w:val="24"/>
        </w:rPr>
        <w:t xml:space="preserve">onni </w:t>
      </w:r>
      <w:r w:rsidR="005D09CB" w:rsidRPr="00BC7A5C">
        <w:rPr>
          <w:rFonts w:ascii="Times New Roman" w:eastAsia="Calibri" w:hAnsi="Times New Roman" w:cs="Times New Roman"/>
          <w:sz w:val="24"/>
          <w:szCs w:val="24"/>
        </w:rPr>
        <w:t>h</w:t>
      </w:r>
      <w:r w:rsidR="00445AE5">
        <w:rPr>
          <w:rFonts w:ascii="Times New Roman" w:eastAsia="Calibri" w:hAnsi="Times New Roman" w:cs="Times New Roman"/>
          <w:sz w:val="24"/>
          <w:szCs w:val="24"/>
        </w:rPr>
        <w:t>ektari kohta</w:t>
      </w:r>
      <w:r w:rsidR="007A6E95">
        <w:rPr>
          <w:rFonts w:ascii="Times New Roman" w:eastAsia="Calibri" w:hAnsi="Times New Roman" w:cs="Times New Roman"/>
          <w:sz w:val="24"/>
          <w:szCs w:val="24"/>
        </w:rPr>
        <w:t xml:space="preserve"> (edukamates ettevõtetes kuni 5 tonni hektarilt)</w:t>
      </w:r>
      <w:r w:rsidR="005D09CB" w:rsidRPr="00BC7A5C">
        <w:rPr>
          <w:rFonts w:ascii="Times New Roman" w:eastAsia="Calibri" w:hAnsi="Times New Roman" w:cs="Times New Roman"/>
          <w:sz w:val="24"/>
          <w:szCs w:val="24"/>
        </w:rPr>
        <w:t>;</w:t>
      </w:r>
    </w:p>
    <w:p w:rsidR="0050571B" w:rsidRDefault="000A582B" w:rsidP="00B963D5">
      <w:pPr>
        <w:numPr>
          <w:ilvl w:val="0"/>
          <w:numId w:val="2"/>
        </w:numPr>
        <w:spacing w:line="276" w:lineRule="auto"/>
        <w:ind w:left="426" w:hanging="42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p</w:t>
      </w:r>
      <w:r w:rsidR="0050571B" w:rsidRPr="0050571B">
        <w:rPr>
          <w:rFonts w:ascii="Times New Roman" w:eastAsia="Calibri" w:hAnsi="Times New Roman" w:cs="Times New Roman"/>
          <w:sz w:val="24"/>
          <w:szCs w:val="24"/>
        </w:rPr>
        <w:t>ositiivse ettevõ</w:t>
      </w:r>
      <w:r w:rsidR="0050571B">
        <w:rPr>
          <w:rFonts w:ascii="Times New Roman" w:eastAsia="Calibri" w:hAnsi="Times New Roman" w:cs="Times New Roman"/>
          <w:sz w:val="24"/>
          <w:szCs w:val="24"/>
        </w:rPr>
        <w:t xml:space="preserve">tjatuluga </w:t>
      </w:r>
      <w:r w:rsidR="000A09A3">
        <w:rPr>
          <w:rFonts w:ascii="Times New Roman" w:eastAsia="Calibri" w:hAnsi="Times New Roman" w:cs="Times New Roman"/>
          <w:sz w:val="24"/>
          <w:szCs w:val="24"/>
        </w:rPr>
        <w:t xml:space="preserve">(2013. aastal 84% – 2020. aastal 90%) </w:t>
      </w:r>
      <w:r w:rsidR="00A25874">
        <w:rPr>
          <w:rFonts w:ascii="Times New Roman" w:eastAsia="Calibri" w:hAnsi="Times New Roman" w:cs="Times New Roman"/>
          <w:sz w:val="24"/>
          <w:szCs w:val="24"/>
        </w:rPr>
        <w:t>ning</w:t>
      </w:r>
      <w:r w:rsidR="0050571B">
        <w:rPr>
          <w:rFonts w:ascii="Times New Roman" w:eastAsia="Calibri" w:hAnsi="Times New Roman" w:cs="Times New Roman"/>
          <w:sz w:val="24"/>
          <w:szCs w:val="24"/>
        </w:rPr>
        <w:t xml:space="preserve"> j</w:t>
      </w:r>
      <w:r w:rsidR="0050571B" w:rsidRPr="0050571B">
        <w:rPr>
          <w:rFonts w:ascii="Times New Roman" w:eastAsia="Calibri" w:hAnsi="Times New Roman" w:cs="Times New Roman"/>
          <w:sz w:val="24"/>
          <w:szCs w:val="24"/>
        </w:rPr>
        <w:t xml:space="preserve">ätkusuutlike ettevõtete </w:t>
      </w:r>
      <w:r w:rsidR="000A09A3">
        <w:rPr>
          <w:rFonts w:ascii="Times New Roman" w:eastAsia="Calibri" w:hAnsi="Times New Roman" w:cs="Times New Roman"/>
          <w:sz w:val="24"/>
          <w:szCs w:val="24"/>
        </w:rPr>
        <w:t xml:space="preserve">(2013. aastal 43% – 2020. aastal 53%) </w:t>
      </w:r>
      <w:r w:rsidR="0050571B" w:rsidRPr="0050571B">
        <w:rPr>
          <w:rFonts w:ascii="Times New Roman" w:eastAsia="Calibri" w:hAnsi="Times New Roman" w:cs="Times New Roman"/>
          <w:sz w:val="24"/>
          <w:szCs w:val="24"/>
        </w:rPr>
        <w:t>osatähtsus teravilja- ja rapsitootjate arvust</w:t>
      </w:r>
      <w:r w:rsidR="0050571B">
        <w:rPr>
          <w:rFonts w:ascii="Times New Roman" w:eastAsia="Calibri" w:hAnsi="Times New Roman" w:cs="Times New Roman"/>
          <w:sz w:val="24"/>
          <w:szCs w:val="24"/>
        </w:rPr>
        <w:t xml:space="preserve"> on tõusnud</w:t>
      </w:r>
      <w:r w:rsidR="009D4D3E">
        <w:rPr>
          <w:rFonts w:ascii="Times New Roman" w:eastAsia="Calibri" w:hAnsi="Times New Roman" w:cs="Times New Roman"/>
          <w:sz w:val="24"/>
          <w:szCs w:val="24"/>
        </w:rPr>
        <w:t>;</w:t>
      </w:r>
    </w:p>
    <w:p w:rsidR="00436684" w:rsidRDefault="000A582B" w:rsidP="00436684">
      <w:pPr>
        <w:numPr>
          <w:ilvl w:val="0"/>
          <w:numId w:val="2"/>
        </w:numPr>
        <w:spacing w:line="276" w:lineRule="auto"/>
        <w:ind w:left="426" w:hanging="42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m</w:t>
      </w:r>
      <w:r w:rsidR="00436684" w:rsidRPr="00BC7A5C">
        <w:rPr>
          <w:rFonts w:ascii="Times New Roman" w:eastAsia="Calibri" w:hAnsi="Times New Roman" w:cs="Times New Roman"/>
          <w:sz w:val="24"/>
          <w:szCs w:val="24"/>
        </w:rPr>
        <w:t>ahe</w:t>
      </w:r>
      <w:r w:rsidR="006D2EF6">
        <w:rPr>
          <w:rFonts w:ascii="Times New Roman" w:eastAsia="Calibri" w:hAnsi="Times New Roman" w:cs="Times New Roman"/>
          <w:sz w:val="24"/>
          <w:szCs w:val="24"/>
        </w:rPr>
        <w:t xml:space="preserve">teravilja </w:t>
      </w:r>
      <w:r w:rsidR="00436684" w:rsidRPr="00BC7A5C">
        <w:rPr>
          <w:rFonts w:ascii="Times New Roman" w:eastAsia="Calibri" w:hAnsi="Times New Roman" w:cs="Times New Roman"/>
          <w:sz w:val="24"/>
          <w:szCs w:val="24"/>
        </w:rPr>
        <w:t>toodangu maht on kasvanud</w:t>
      </w:r>
      <w:r w:rsidR="00436684">
        <w:rPr>
          <w:rStyle w:val="FootnoteReference"/>
          <w:rFonts w:ascii="Times New Roman" w:eastAsia="Calibri" w:hAnsi="Times New Roman" w:cs="Times New Roman"/>
          <w:sz w:val="24"/>
          <w:szCs w:val="24"/>
        </w:rPr>
        <w:footnoteReference w:id="2"/>
      </w:r>
      <w:r w:rsidR="00436684" w:rsidRPr="00BC7A5C">
        <w:rPr>
          <w:rFonts w:ascii="Times New Roman" w:eastAsia="Calibri" w:hAnsi="Times New Roman" w:cs="Times New Roman"/>
          <w:sz w:val="24"/>
          <w:szCs w:val="24"/>
        </w:rPr>
        <w:t xml:space="preserve">. </w:t>
      </w:r>
    </w:p>
    <w:p w:rsidR="00BD0CD6" w:rsidRDefault="00BD0CD6" w:rsidP="00C5764A">
      <w:pPr>
        <w:spacing w:line="276" w:lineRule="auto"/>
        <w:ind w:left="426"/>
        <w:contextualSpacing/>
        <w:jc w:val="both"/>
        <w:rPr>
          <w:rFonts w:ascii="Times New Roman" w:eastAsia="Calibri" w:hAnsi="Times New Roman" w:cs="Times New Roman"/>
          <w:sz w:val="24"/>
          <w:szCs w:val="24"/>
        </w:rPr>
      </w:pPr>
    </w:p>
    <w:p w:rsidR="00C511AB" w:rsidRPr="0050571B" w:rsidRDefault="006D38C1" w:rsidP="006D38C1">
      <w:pPr>
        <w:spacing w:line="276"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Ni</w:t>
      </w:r>
      <w:r w:rsidR="00005314">
        <w:rPr>
          <w:rFonts w:ascii="Times New Roman" w:eastAsia="Calibri" w:hAnsi="Times New Roman" w:cs="Times New Roman"/>
          <w:sz w:val="24"/>
          <w:szCs w:val="24"/>
        </w:rPr>
        <w:t>metatud alaeesmärkide täitmiseks peavad olema täidetud järgmised eeldused</w:t>
      </w:r>
      <w:r>
        <w:rPr>
          <w:rFonts w:ascii="Times New Roman" w:eastAsia="Calibri" w:hAnsi="Times New Roman" w:cs="Times New Roman"/>
          <w:sz w:val="24"/>
          <w:szCs w:val="24"/>
        </w:rPr>
        <w:t>:</w:t>
      </w:r>
    </w:p>
    <w:p w:rsidR="005D09CB" w:rsidRPr="00BC7A5C" w:rsidRDefault="00CA0D62" w:rsidP="00C511AB">
      <w:pPr>
        <w:numPr>
          <w:ilvl w:val="0"/>
          <w:numId w:val="43"/>
        </w:numPr>
        <w:spacing w:line="276" w:lineRule="auto"/>
        <w:contextualSpacing/>
        <w:jc w:val="both"/>
        <w:rPr>
          <w:rFonts w:ascii="Times New Roman" w:eastAsia="Calibri" w:hAnsi="Times New Roman" w:cs="Times New Roman"/>
          <w:sz w:val="24"/>
          <w:szCs w:val="24"/>
        </w:rPr>
      </w:pPr>
      <w:bookmarkStart w:id="122" w:name="OLE_LINK4"/>
      <w:r>
        <w:rPr>
          <w:rFonts w:ascii="Times New Roman" w:eastAsia="Calibri" w:hAnsi="Times New Roman" w:cs="Times New Roman"/>
          <w:sz w:val="24"/>
          <w:szCs w:val="24"/>
        </w:rPr>
        <w:t>r</w:t>
      </w:r>
      <w:r w:rsidR="005D09CB" w:rsidRPr="00BC7A5C">
        <w:rPr>
          <w:rFonts w:ascii="Times New Roman" w:eastAsia="Calibri" w:hAnsi="Times New Roman" w:cs="Times New Roman"/>
          <w:sz w:val="24"/>
          <w:szCs w:val="24"/>
        </w:rPr>
        <w:t xml:space="preserve">akendatakse </w:t>
      </w:r>
      <w:r w:rsidR="005D006F">
        <w:rPr>
          <w:rFonts w:ascii="Times New Roman" w:eastAsia="Calibri" w:hAnsi="Times New Roman" w:cs="Times New Roman"/>
          <w:sz w:val="24"/>
          <w:szCs w:val="24"/>
        </w:rPr>
        <w:t>keskkonnahoidlik</w:t>
      </w:r>
      <w:r w:rsidR="000D57B2">
        <w:rPr>
          <w:rFonts w:ascii="Times New Roman" w:eastAsia="Calibri" w:hAnsi="Times New Roman" w:cs="Times New Roman"/>
          <w:sz w:val="24"/>
          <w:szCs w:val="24"/>
        </w:rPr>
        <w:t>k</w:t>
      </w:r>
      <w:r w:rsidR="005D006F">
        <w:rPr>
          <w:rFonts w:ascii="Times New Roman" w:eastAsia="Calibri" w:hAnsi="Times New Roman" w:cs="Times New Roman"/>
          <w:sz w:val="24"/>
          <w:szCs w:val="24"/>
        </w:rPr>
        <w:t>e</w:t>
      </w:r>
      <w:r w:rsidR="005D09CB" w:rsidRPr="00BC7A5C">
        <w:rPr>
          <w:rFonts w:ascii="Times New Roman" w:eastAsia="Calibri" w:hAnsi="Times New Roman" w:cs="Times New Roman"/>
          <w:sz w:val="24"/>
          <w:szCs w:val="24"/>
        </w:rPr>
        <w:t xml:space="preserve"> meetmeid</w:t>
      </w:r>
      <w:bookmarkEnd w:id="122"/>
      <w:r w:rsidR="005D09CB" w:rsidRPr="00BC7A5C">
        <w:rPr>
          <w:rFonts w:ascii="Times New Roman" w:eastAsia="Calibri" w:hAnsi="Times New Roman" w:cs="Times New Roman"/>
          <w:sz w:val="24"/>
          <w:szCs w:val="24"/>
        </w:rPr>
        <w:t>;</w:t>
      </w:r>
    </w:p>
    <w:p w:rsidR="005D09CB" w:rsidRPr="00BC7A5C" w:rsidRDefault="00CA0D62" w:rsidP="00C511AB">
      <w:pPr>
        <w:numPr>
          <w:ilvl w:val="0"/>
          <w:numId w:val="43"/>
        </w:numPr>
        <w:spacing w:line="276"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t</w:t>
      </w:r>
      <w:r w:rsidR="00E92930" w:rsidRPr="00BC7A5C">
        <w:rPr>
          <w:rFonts w:ascii="Times New Roman" w:eastAsia="Calibri" w:hAnsi="Times New Roman" w:cs="Times New Roman"/>
          <w:sz w:val="24"/>
          <w:szCs w:val="24"/>
        </w:rPr>
        <w:t>ootjate</w:t>
      </w:r>
      <w:r w:rsidR="00347F63" w:rsidRPr="00BC7A5C">
        <w:rPr>
          <w:rFonts w:ascii="Times New Roman" w:eastAsia="Calibri" w:hAnsi="Times New Roman" w:cs="Times New Roman"/>
          <w:sz w:val="24"/>
          <w:szCs w:val="24"/>
        </w:rPr>
        <w:t xml:space="preserve"> omavaheline</w:t>
      </w:r>
      <w:r w:rsidR="00E92930" w:rsidRPr="00BC7A5C">
        <w:rPr>
          <w:rFonts w:ascii="Times New Roman" w:eastAsia="Calibri" w:hAnsi="Times New Roman" w:cs="Times New Roman"/>
          <w:sz w:val="24"/>
          <w:szCs w:val="24"/>
        </w:rPr>
        <w:t xml:space="preserve"> ning tootjate ja töötlejate vahel</w:t>
      </w:r>
      <w:r w:rsidR="00347F63" w:rsidRPr="00BC7A5C">
        <w:rPr>
          <w:rFonts w:ascii="Times New Roman" w:eastAsia="Calibri" w:hAnsi="Times New Roman" w:cs="Times New Roman"/>
          <w:sz w:val="24"/>
          <w:szCs w:val="24"/>
        </w:rPr>
        <w:t>ine koostöö on efektiivne</w:t>
      </w:r>
      <w:r w:rsidR="005D09CB" w:rsidRPr="00BC7A5C">
        <w:rPr>
          <w:rFonts w:ascii="Times New Roman" w:eastAsia="Calibri" w:hAnsi="Times New Roman" w:cs="Times New Roman"/>
          <w:sz w:val="24"/>
          <w:szCs w:val="24"/>
        </w:rPr>
        <w:t>;</w:t>
      </w:r>
    </w:p>
    <w:p w:rsidR="005D09CB" w:rsidRPr="00BC7A5C" w:rsidRDefault="00CA0D62" w:rsidP="00C511AB">
      <w:pPr>
        <w:numPr>
          <w:ilvl w:val="0"/>
          <w:numId w:val="43"/>
        </w:numPr>
        <w:spacing w:line="276"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p</w:t>
      </w:r>
      <w:r w:rsidR="005D09CB" w:rsidRPr="00BC7A5C">
        <w:rPr>
          <w:rFonts w:ascii="Times New Roman" w:eastAsia="Calibri" w:hAnsi="Times New Roman" w:cs="Times New Roman"/>
          <w:sz w:val="24"/>
          <w:szCs w:val="24"/>
        </w:rPr>
        <w:t>õ</w:t>
      </w:r>
      <w:r w:rsidR="00D92252">
        <w:rPr>
          <w:rFonts w:ascii="Times New Roman" w:eastAsia="Calibri" w:hAnsi="Times New Roman" w:cs="Times New Roman"/>
          <w:sz w:val="24"/>
          <w:szCs w:val="24"/>
        </w:rPr>
        <w:t>llumajandustootjad on teadlikud ja</w:t>
      </w:r>
      <w:r w:rsidR="005D09CB" w:rsidRPr="00BC7A5C">
        <w:rPr>
          <w:rFonts w:ascii="Times New Roman" w:eastAsia="Calibri" w:hAnsi="Times New Roman" w:cs="Times New Roman"/>
          <w:sz w:val="24"/>
          <w:szCs w:val="24"/>
        </w:rPr>
        <w:t xml:space="preserve"> </w:t>
      </w:r>
      <w:r w:rsidR="00D92252">
        <w:rPr>
          <w:rFonts w:ascii="Times New Roman" w:eastAsia="Calibri" w:hAnsi="Times New Roman" w:cs="Times New Roman"/>
          <w:sz w:val="24"/>
          <w:szCs w:val="24"/>
        </w:rPr>
        <w:t>asjatundlikud</w:t>
      </w:r>
      <w:r w:rsidR="005D09CB" w:rsidRPr="00BC7A5C">
        <w:rPr>
          <w:rFonts w:ascii="Times New Roman" w:eastAsia="Calibri" w:hAnsi="Times New Roman" w:cs="Times New Roman"/>
          <w:sz w:val="24"/>
          <w:szCs w:val="24"/>
        </w:rPr>
        <w:t xml:space="preserve"> inimesed, kes on saanud vastava hariduse </w:t>
      </w:r>
      <w:r w:rsidR="0070518B">
        <w:rPr>
          <w:rFonts w:ascii="Times New Roman" w:eastAsia="Calibri" w:hAnsi="Times New Roman" w:cs="Times New Roman"/>
          <w:sz w:val="24"/>
          <w:szCs w:val="24"/>
        </w:rPr>
        <w:t>põllumajandusharidust andvatest</w:t>
      </w:r>
      <w:r w:rsidR="0070518B" w:rsidRPr="00BC7A5C">
        <w:rPr>
          <w:rFonts w:ascii="Times New Roman" w:eastAsia="Calibri" w:hAnsi="Times New Roman" w:cs="Times New Roman"/>
          <w:sz w:val="24"/>
          <w:szCs w:val="24"/>
        </w:rPr>
        <w:t xml:space="preserve"> </w:t>
      </w:r>
      <w:r w:rsidR="005D09CB" w:rsidRPr="00BC7A5C">
        <w:rPr>
          <w:rFonts w:ascii="Times New Roman" w:eastAsia="Calibri" w:hAnsi="Times New Roman" w:cs="Times New Roman"/>
          <w:sz w:val="24"/>
          <w:szCs w:val="24"/>
        </w:rPr>
        <w:t>haridusasutustest;</w:t>
      </w:r>
    </w:p>
    <w:p w:rsidR="00A81B50" w:rsidRPr="00BC7A5C" w:rsidRDefault="00CA0D62" w:rsidP="00C511AB">
      <w:pPr>
        <w:numPr>
          <w:ilvl w:val="0"/>
          <w:numId w:val="43"/>
        </w:numPr>
        <w:spacing w:line="276"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v</w:t>
      </w:r>
      <w:r w:rsidR="00A81B50" w:rsidRPr="00BC7A5C">
        <w:rPr>
          <w:rFonts w:ascii="Times New Roman" w:eastAsia="Calibri" w:hAnsi="Times New Roman" w:cs="Times New Roman"/>
          <w:sz w:val="24"/>
          <w:szCs w:val="24"/>
        </w:rPr>
        <w:t>äärtuslikku põllumajandusmaad hoitakse aktiivses põllumajandustootmises;</w:t>
      </w:r>
    </w:p>
    <w:p w:rsidR="005D09CB" w:rsidRPr="00BC7A5C" w:rsidRDefault="00CA0D62" w:rsidP="00C511AB">
      <w:pPr>
        <w:numPr>
          <w:ilvl w:val="0"/>
          <w:numId w:val="43"/>
        </w:numPr>
        <w:spacing w:line="276"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t</w:t>
      </w:r>
      <w:r w:rsidR="00A81B50" w:rsidRPr="00BC7A5C">
        <w:rPr>
          <w:rFonts w:ascii="Times New Roman" w:eastAsia="Calibri" w:hAnsi="Times New Roman" w:cs="Times New Roman"/>
          <w:sz w:val="24"/>
          <w:szCs w:val="24"/>
        </w:rPr>
        <w:t>eadus- ja nõustamistegevus on eesmärkide saavutamiseks vajalikul tasemel</w:t>
      </w:r>
      <w:r w:rsidR="005D09CB" w:rsidRPr="00BC7A5C">
        <w:rPr>
          <w:rFonts w:ascii="Times New Roman" w:eastAsia="Calibri" w:hAnsi="Times New Roman" w:cs="Times New Roman"/>
          <w:sz w:val="24"/>
          <w:szCs w:val="24"/>
        </w:rPr>
        <w:t>;</w:t>
      </w:r>
    </w:p>
    <w:p w:rsidR="005D09CB" w:rsidRPr="00BC7A5C" w:rsidRDefault="005D09CB" w:rsidP="00C511AB">
      <w:pPr>
        <w:numPr>
          <w:ilvl w:val="0"/>
          <w:numId w:val="43"/>
        </w:numPr>
        <w:spacing w:line="276" w:lineRule="auto"/>
        <w:contextualSpacing/>
        <w:jc w:val="both"/>
        <w:rPr>
          <w:rFonts w:ascii="Times New Roman" w:eastAsia="Calibri" w:hAnsi="Times New Roman" w:cs="Times New Roman"/>
          <w:sz w:val="24"/>
          <w:szCs w:val="24"/>
        </w:rPr>
      </w:pPr>
      <w:r w:rsidRPr="00BC7A5C">
        <w:rPr>
          <w:rFonts w:ascii="Times New Roman" w:eastAsia="Calibri" w:hAnsi="Times New Roman" w:cs="Times New Roman"/>
          <w:sz w:val="24"/>
          <w:szCs w:val="24"/>
        </w:rPr>
        <w:t>Eestis kasvatatud sööda- ja toidut</w:t>
      </w:r>
      <w:r w:rsidR="00204942">
        <w:rPr>
          <w:rFonts w:ascii="Times New Roman" w:eastAsia="Calibri" w:hAnsi="Times New Roman" w:cs="Times New Roman"/>
          <w:sz w:val="24"/>
          <w:szCs w:val="24"/>
        </w:rPr>
        <w:t>eravili on kvaliteetne ja ohutu.</w:t>
      </w:r>
    </w:p>
    <w:p w:rsidR="001A1D54" w:rsidRPr="00D373F0" w:rsidRDefault="001A1D54" w:rsidP="001A1D54">
      <w:pPr>
        <w:spacing w:line="276" w:lineRule="auto"/>
        <w:contextualSpacing/>
        <w:jc w:val="both"/>
        <w:rPr>
          <w:rFonts w:ascii="Times New Roman" w:eastAsia="Calibri" w:hAnsi="Times New Roman" w:cs="Times New Roman"/>
          <w:sz w:val="24"/>
          <w:szCs w:val="24"/>
        </w:rPr>
      </w:pPr>
    </w:p>
    <w:tbl>
      <w:tblPr>
        <w:tblW w:w="9694" w:type="dxa"/>
        <w:tblInd w:w="55" w:type="dxa"/>
        <w:tblCellMar>
          <w:left w:w="70" w:type="dxa"/>
          <w:right w:w="70" w:type="dxa"/>
        </w:tblCellMar>
        <w:tblLook w:val="04A0" w:firstRow="1" w:lastRow="0" w:firstColumn="1" w:lastColumn="0" w:noHBand="0" w:noVBand="1"/>
      </w:tblPr>
      <w:tblGrid>
        <w:gridCol w:w="5008"/>
        <w:gridCol w:w="1153"/>
        <w:gridCol w:w="1843"/>
        <w:gridCol w:w="1690"/>
      </w:tblGrid>
      <w:tr w:rsidR="00FA1EC3" w:rsidRPr="00BC7A5C" w:rsidTr="00847393">
        <w:trPr>
          <w:trHeight w:val="417"/>
        </w:trPr>
        <w:tc>
          <w:tcPr>
            <w:tcW w:w="6161" w:type="dxa"/>
            <w:gridSpan w:val="2"/>
            <w:vMerge w:val="restart"/>
            <w:tcBorders>
              <w:top w:val="single" w:sz="8" w:space="0" w:color="auto"/>
              <w:left w:val="single" w:sz="8" w:space="0" w:color="auto"/>
              <w:bottom w:val="single" w:sz="8" w:space="0" w:color="000000"/>
              <w:right w:val="single" w:sz="8" w:space="0" w:color="000000"/>
            </w:tcBorders>
            <w:shd w:val="clear" w:color="auto" w:fill="AD0101" w:themeFill="accent1"/>
            <w:vAlign w:val="center"/>
          </w:tcPr>
          <w:p w:rsidR="00FA1EC3" w:rsidRPr="004458FD" w:rsidRDefault="00FA1EC3" w:rsidP="00DA46A4">
            <w:pPr>
              <w:jc w:val="center"/>
              <w:rPr>
                <w:rFonts w:ascii="Times New Roman" w:hAnsi="Times New Roman" w:cs="Times New Roman"/>
                <w:b/>
                <w:color w:val="FFFFFF" w:themeColor="background1"/>
                <w:sz w:val="24"/>
                <w:szCs w:val="24"/>
              </w:rPr>
            </w:pPr>
            <w:r w:rsidRPr="004458FD">
              <w:rPr>
                <w:rFonts w:ascii="Times New Roman" w:hAnsi="Times New Roman" w:cs="Times New Roman"/>
                <w:b/>
                <w:color w:val="FFFFFF" w:themeColor="background1"/>
                <w:sz w:val="24"/>
                <w:szCs w:val="24"/>
              </w:rPr>
              <w:t>Mõõdikud</w:t>
            </w:r>
          </w:p>
        </w:tc>
        <w:tc>
          <w:tcPr>
            <w:tcW w:w="1843" w:type="dxa"/>
            <w:tcBorders>
              <w:top w:val="nil"/>
              <w:left w:val="nil"/>
              <w:bottom w:val="single" w:sz="8" w:space="0" w:color="auto"/>
              <w:right w:val="single" w:sz="8" w:space="0" w:color="auto"/>
            </w:tcBorders>
            <w:shd w:val="clear" w:color="auto" w:fill="AD0101" w:themeFill="accent1"/>
            <w:vAlign w:val="center"/>
          </w:tcPr>
          <w:p w:rsidR="00FA1EC3" w:rsidRPr="004458FD" w:rsidRDefault="00FA1EC3" w:rsidP="00FA1EC3">
            <w:pPr>
              <w:jc w:val="center"/>
              <w:rPr>
                <w:rFonts w:ascii="Times New Roman" w:hAnsi="Times New Roman" w:cs="Times New Roman"/>
                <w:b/>
                <w:color w:val="FFFFFF" w:themeColor="background1"/>
                <w:sz w:val="24"/>
                <w:szCs w:val="24"/>
              </w:rPr>
            </w:pPr>
            <w:r w:rsidRPr="004458FD">
              <w:rPr>
                <w:rFonts w:ascii="Times New Roman" w:hAnsi="Times New Roman" w:cs="Times New Roman"/>
                <w:b/>
                <w:color w:val="FFFFFF" w:themeColor="background1"/>
                <w:sz w:val="24"/>
                <w:szCs w:val="24"/>
              </w:rPr>
              <w:t>Algtase</w:t>
            </w:r>
          </w:p>
        </w:tc>
        <w:tc>
          <w:tcPr>
            <w:tcW w:w="1690" w:type="dxa"/>
            <w:tcBorders>
              <w:top w:val="single" w:sz="4" w:space="0" w:color="auto"/>
              <w:left w:val="nil"/>
              <w:bottom w:val="single" w:sz="8" w:space="0" w:color="auto"/>
              <w:right w:val="single" w:sz="8" w:space="0" w:color="auto"/>
            </w:tcBorders>
            <w:shd w:val="clear" w:color="auto" w:fill="AD0101" w:themeFill="accent1"/>
            <w:vAlign w:val="center"/>
          </w:tcPr>
          <w:p w:rsidR="00FA1EC3" w:rsidRPr="004458FD" w:rsidRDefault="00FA1EC3" w:rsidP="00FA1EC3">
            <w:pPr>
              <w:jc w:val="center"/>
              <w:rPr>
                <w:rFonts w:ascii="Times New Roman" w:hAnsi="Times New Roman" w:cs="Times New Roman"/>
                <w:b/>
                <w:color w:val="FFFFFF" w:themeColor="background1"/>
                <w:sz w:val="24"/>
                <w:szCs w:val="24"/>
              </w:rPr>
            </w:pPr>
            <w:r w:rsidRPr="004458FD">
              <w:rPr>
                <w:rFonts w:ascii="Times New Roman" w:hAnsi="Times New Roman" w:cs="Times New Roman"/>
                <w:b/>
                <w:color w:val="FFFFFF" w:themeColor="background1"/>
                <w:sz w:val="24"/>
                <w:szCs w:val="24"/>
              </w:rPr>
              <w:t>Sihttase</w:t>
            </w:r>
          </w:p>
        </w:tc>
      </w:tr>
      <w:tr w:rsidR="00FA1EC3" w:rsidRPr="00BC7A5C" w:rsidTr="00847393">
        <w:trPr>
          <w:trHeight w:val="386"/>
        </w:trPr>
        <w:tc>
          <w:tcPr>
            <w:tcW w:w="6161" w:type="dxa"/>
            <w:gridSpan w:val="2"/>
            <w:vMerge/>
            <w:tcBorders>
              <w:top w:val="single" w:sz="8" w:space="0" w:color="auto"/>
              <w:left w:val="single" w:sz="8" w:space="0" w:color="auto"/>
              <w:bottom w:val="single" w:sz="8" w:space="0" w:color="000000"/>
              <w:right w:val="single" w:sz="8" w:space="0" w:color="000000"/>
            </w:tcBorders>
            <w:shd w:val="clear" w:color="auto" w:fill="AD0101" w:themeFill="accent1"/>
            <w:vAlign w:val="center"/>
            <w:hideMark/>
          </w:tcPr>
          <w:p w:rsidR="00FA1EC3" w:rsidRPr="004458FD" w:rsidRDefault="00FA1EC3" w:rsidP="00FA1EC3">
            <w:pPr>
              <w:rPr>
                <w:rFonts w:ascii="Times New Roman" w:hAnsi="Times New Roman" w:cs="Times New Roman"/>
                <w:b/>
                <w:color w:val="FFFFFF" w:themeColor="background1"/>
                <w:sz w:val="24"/>
                <w:szCs w:val="24"/>
              </w:rPr>
            </w:pPr>
          </w:p>
        </w:tc>
        <w:tc>
          <w:tcPr>
            <w:tcW w:w="1843" w:type="dxa"/>
            <w:tcBorders>
              <w:top w:val="nil"/>
              <w:left w:val="nil"/>
              <w:bottom w:val="single" w:sz="8" w:space="0" w:color="auto"/>
              <w:right w:val="single" w:sz="8" w:space="0" w:color="auto"/>
            </w:tcBorders>
            <w:shd w:val="clear" w:color="auto" w:fill="AD0101" w:themeFill="accent1"/>
            <w:vAlign w:val="center"/>
            <w:hideMark/>
          </w:tcPr>
          <w:p w:rsidR="00FA1EC3" w:rsidRPr="004458FD" w:rsidRDefault="00FA1EC3" w:rsidP="00FA1EC3">
            <w:pPr>
              <w:jc w:val="center"/>
              <w:rPr>
                <w:rFonts w:ascii="Times New Roman" w:hAnsi="Times New Roman" w:cs="Times New Roman"/>
                <w:b/>
                <w:color w:val="FFFFFF" w:themeColor="background1"/>
                <w:sz w:val="24"/>
                <w:szCs w:val="24"/>
              </w:rPr>
            </w:pPr>
            <w:r w:rsidRPr="004458FD">
              <w:rPr>
                <w:rFonts w:ascii="Times New Roman" w:hAnsi="Times New Roman" w:cs="Times New Roman"/>
                <w:b/>
                <w:color w:val="FFFFFF" w:themeColor="background1"/>
                <w:sz w:val="24"/>
                <w:szCs w:val="24"/>
              </w:rPr>
              <w:t>2009 - 2013</w:t>
            </w:r>
            <w:r w:rsidR="00B9361A" w:rsidRPr="004458FD">
              <w:rPr>
                <w:rStyle w:val="FootnoteReference"/>
                <w:rFonts w:ascii="Times New Roman" w:hAnsi="Times New Roman" w:cs="Times New Roman"/>
                <w:b/>
                <w:color w:val="FFFFFF" w:themeColor="background1"/>
                <w:sz w:val="24"/>
                <w:szCs w:val="24"/>
              </w:rPr>
              <w:footnoteReference w:id="3"/>
            </w:r>
            <w:r w:rsidRPr="004458FD">
              <w:rPr>
                <w:rFonts w:ascii="Times New Roman" w:hAnsi="Times New Roman" w:cs="Times New Roman"/>
                <w:b/>
                <w:color w:val="FFFFFF" w:themeColor="background1"/>
                <w:sz w:val="24"/>
                <w:szCs w:val="24"/>
              </w:rPr>
              <w:t xml:space="preserve"> keskmine</w:t>
            </w:r>
          </w:p>
        </w:tc>
        <w:tc>
          <w:tcPr>
            <w:tcW w:w="1690" w:type="dxa"/>
            <w:tcBorders>
              <w:top w:val="single" w:sz="4" w:space="0" w:color="auto"/>
              <w:left w:val="nil"/>
              <w:bottom w:val="single" w:sz="8" w:space="0" w:color="auto"/>
              <w:right w:val="single" w:sz="8" w:space="0" w:color="auto"/>
            </w:tcBorders>
            <w:shd w:val="clear" w:color="auto" w:fill="AD0101" w:themeFill="accent1"/>
            <w:vAlign w:val="center"/>
            <w:hideMark/>
          </w:tcPr>
          <w:p w:rsidR="00FA1EC3" w:rsidRPr="004458FD" w:rsidRDefault="00FA1EC3" w:rsidP="00FA1EC3">
            <w:pPr>
              <w:jc w:val="center"/>
              <w:rPr>
                <w:rFonts w:ascii="Times New Roman" w:hAnsi="Times New Roman" w:cs="Times New Roman"/>
                <w:b/>
                <w:color w:val="FFFFFF" w:themeColor="background1"/>
                <w:sz w:val="24"/>
                <w:szCs w:val="24"/>
              </w:rPr>
            </w:pPr>
            <w:r w:rsidRPr="004458FD">
              <w:rPr>
                <w:rFonts w:ascii="Times New Roman" w:hAnsi="Times New Roman" w:cs="Times New Roman"/>
                <w:b/>
                <w:color w:val="FFFFFF" w:themeColor="background1"/>
                <w:sz w:val="24"/>
                <w:szCs w:val="24"/>
              </w:rPr>
              <w:t>2020</w:t>
            </w:r>
          </w:p>
        </w:tc>
      </w:tr>
      <w:tr w:rsidR="00FA1EC3" w:rsidRPr="00BC7A5C" w:rsidTr="00847393">
        <w:trPr>
          <w:trHeight w:val="390"/>
        </w:trPr>
        <w:tc>
          <w:tcPr>
            <w:tcW w:w="5008" w:type="dxa"/>
            <w:tcBorders>
              <w:top w:val="nil"/>
              <w:left w:val="single" w:sz="8" w:space="0" w:color="auto"/>
              <w:bottom w:val="nil"/>
              <w:right w:val="nil"/>
            </w:tcBorders>
            <w:shd w:val="clear" w:color="auto" w:fill="auto"/>
            <w:vAlign w:val="center"/>
            <w:hideMark/>
          </w:tcPr>
          <w:p w:rsidR="00FA1EC3" w:rsidRPr="004458FD" w:rsidRDefault="00FA1EC3" w:rsidP="005A5B65">
            <w:pPr>
              <w:spacing w:line="276" w:lineRule="auto"/>
              <w:rPr>
                <w:rFonts w:ascii="Times New Roman" w:hAnsi="Times New Roman" w:cs="Times New Roman"/>
                <w:b/>
                <w:bCs/>
                <w:color w:val="000000"/>
                <w:sz w:val="24"/>
                <w:szCs w:val="24"/>
                <w:u w:val="single"/>
              </w:rPr>
            </w:pPr>
            <w:r w:rsidRPr="004458FD">
              <w:rPr>
                <w:rFonts w:ascii="Times New Roman" w:hAnsi="Times New Roman" w:cs="Times New Roman"/>
                <w:b/>
                <w:bCs/>
                <w:color w:val="000000"/>
                <w:sz w:val="24"/>
                <w:szCs w:val="24"/>
                <w:u w:val="single"/>
              </w:rPr>
              <w:t>Mõõdik 1</w:t>
            </w:r>
          </w:p>
        </w:tc>
        <w:tc>
          <w:tcPr>
            <w:tcW w:w="1153" w:type="dxa"/>
            <w:tcBorders>
              <w:top w:val="nil"/>
              <w:left w:val="nil"/>
              <w:bottom w:val="nil"/>
              <w:right w:val="nil"/>
            </w:tcBorders>
            <w:shd w:val="clear" w:color="auto" w:fill="auto"/>
            <w:vAlign w:val="center"/>
          </w:tcPr>
          <w:p w:rsidR="00FA1EC3" w:rsidRPr="004458FD" w:rsidRDefault="00FA1EC3" w:rsidP="00FA1EC3">
            <w:pPr>
              <w:rPr>
                <w:rFonts w:ascii="Times New Roman" w:hAnsi="Times New Roman" w:cs="Times New Roman"/>
                <w:color w:val="000000"/>
                <w:sz w:val="24"/>
                <w:szCs w:val="24"/>
                <w:u w:val="single"/>
              </w:rPr>
            </w:pPr>
          </w:p>
        </w:tc>
        <w:tc>
          <w:tcPr>
            <w:tcW w:w="1843" w:type="dxa"/>
            <w:tcBorders>
              <w:top w:val="nil"/>
              <w:left w:val="single" w:sz="8" w:space="0" w:color="auto"/>
              <w:bottom w:val="nil"/>
              <w:right w:val="single" w:sz="8" w:space="0" w:color="auto"/>
            </w:tcBorders>
            <w:shd w:val="clear" w:color="auto" w:fill="auto"/>
            <w:noWrap/>
            <w:vAlign w:val="bottom"/>
            <w:hideMark/>
          </w:tcPr>
          <w:p w:rsidR="00FA1EC3" w:rsidRPr="004458FD" w:rsidRDefault="00FA1EC3" w:rsidP="00FA1EC3">
            <w:pPr>
              <w:rPr>
                <w:rFonts w:ascii="Times New Roman" w:hAnsi="Times New Roman" w:cs="Times New Roman"/>
                <w:color w:val="000000"/>
                <w:sz w:val="24"/>
                <w:szCs w:val="24"/>
              </w:rPr>
            </w:pPr>
            <w:r w:rsidRPr="004458FD">
              <w:rPr>
                <w:rFonts w:ascii="Times New Roman" w:hAnsi="Times New Roman" w:cs="Times New Roman"/>
                <w:color w:val="000000"/>
                <w:sz w:val="24"/>
                <w:szCs w:val="24"/>
              </w:rPr>
              <w:t> </w:t>
            </w:r>
          </w:p>
        </w:tc>
        <w:tc>
          <w:tcPr>
            <w:tcW w:w="1690" w:type="dxa"/>
            <w:tcBorders>
              <w:top w:val="nil"/>
              <w:left w:val="single" w:sz="8" w:space="0" w:color="auto"/>
              <w:bottom w:val="nil"/>
              <w:right w:val="single" w:sz="8" w:space="0" w:color="auto"/>
            </w:tcBorders>
            <w:shd w:val="clear" w:color="auto" w:fill="auto"/>
            <w:noWrap/>
            <w:vAlign w:val="bottom"/>
            <w:hideMark/>
          </w:tcPr>
          <w:p w:rsidR="00FA1EC3" w:rsidRPr="004458FD" w:rsidRDefault="00FA1EC3" w:rsidP="00FA1EC3">
            <w:pPr>
              <w:rPr>
                <w:rFonts w:ascii="Times New Roman" w:hAnsi="Times New Roman" w:cs="Times New Roman"/>
                <w:color w:val="000000"/>
                <w:sz w:val="24"/>
                <w:szCs w:val="24"/>
              </w:rPr>
            </w:pPr>
            <w:r w:rsidRPr="004458FD">
              <w:rPr>
                <w:rFonts w:ascii="Times New Roman" w:hAnsi="Times New Roman" w:cs="Times New Roman"/>
                <w:color w:val="000000"/>
                <w:sz w:val="24"/>
                <w:szCs w:val="24"/>
              </w:rPr>
              <w:t> </w:t>
            </w:r>
          </w:p>
        </w:tc>
      </w:tr>
      <w:tr w:rsidR="00FA1EC3" w:rsidRPr="00BC7A5C" w:rsidTr="005A702C">
        <w:trPr>
          <w:trHeight w:val="571"/>
        </w:trPr>
        <w:tc>
          <w:tcPr>
            <w:tcW w:w="5008" w:type="dxa"/>
            <w:tcBorders>
              <w:top w:val="nil"/>
              <w:left w:val="single" w:sz="8" w:space="0" w:color="auto"/>
              <w:bottom w:val="nil"/>
              <w:right w:val="nil"/>
            </w:tcBorders>
            <w:shd w:val="clear" w:color="auto" w:fill="auto"/>
            <w:vAlign w:val="center"/>
            <w:hideMark/>
          </w:tcPr>
          <w:p w:rsidR="00A90CD1" w:rsidRDefault="00FA1EC3" w:rsidP="005A5B65">
            <w:pPr>
              <w:spacing w:line="276" w:lineRule="auto"/>
              <w:rPr>
                <w:rFonts w:ascii="Times New Roman" w:hAnsi="Times New Roman" w:cs="Times New Roman"/>
                <w:color w:val="000000"/>
                <w:sz w:val="24"/>
                <w:szCs w:val="24"/>
              </w:rPr>
            </w:pPr>
            <w:r w:rsidRPr="004458FD">
              <w:rPr>
                <w:rFonts w:ascii="Times New Roman" w:hAnsi="Times New Roman" w:cs="Times New Roman"/>
                <w:color w:val="000000"/>
                <w:sz w:val="24"/>
                <w:szCs w:val="24"/>
              </w:rPr>
              <w:t>Teraviljaga isevarustatuse tase; %</w:t>
            </w:r>
            <w:r w:rsidR="00445190" w:rsidRPr="004458FD">
              <w:rPr>
                <w:rFonts w:ascii="Times New Roman" w:hAnsi="Times New Roman" w:cs="Times New Roman"/>
                <w:color w:val="000000"/>
                <w:sz w:val="24"/>
                <w:szCs w:val="24"/>
              </w:rPr>
              <w:t xml:space="preserve"> </w:t>
            </w:r>
          </w:p>
          <w:p w:rsidR="00FA1EC3" w:rsidRPr="004458FD" w:rsidRDefault="00445190" w:rsidP="005A5B65">
            <w:pPr>
              <w:spacing w:line="276" w:lineRule="auto"/>
              <w:rPr>
                <w:rFonts w:ascii="Times New Roman" w:hAnsi="Times New Roman" w:cs="Times New Roman"/>
                <w:color w:val="000000"/>
                <w:sz w:val="24"/>
                <w:szCs w:val="24"/>
              </w:rPr>
            </w:pPr>
            <w:r w:rsidRPr="004458FD">
              <w:rPr>
                <w:rFonts w:ascii="Times New Roman" w:hAnsi="Times New Roman" w:cs="Times New Roman"/>
                <w:color w:val="000000"/>
                <w:sz w:val="24"/>
                <w:szCs w:val="24"/>
              </w:rPr>
              <w:t>(Allikas: Statistikaamet)</w:t>
            </w:r>
          </w:p>
        </w:tc>
        <w:tc>
          <w:tcPr>
            <w:tcW w:w="1153" w:type="dxa"/>
            <w:tcBorders>
              <w:top w:val="nil"/>
              <w:left w:val="nil"/>
              <w:bottom w:val="nil"/>
              <w:right w:val="nil"/>
            </w:tcBorders>
            <w:shd w:val="clear" w:color="auto" w:fill="auto"/>
            <w:vAlign w:val="center"/>
          </w:tcPr>
          <w:p w:rsidR="00FA1EC3" w:rsidRPr="004458FD" w:rsidRDefault="00FA1EC3" w:rsidP="00FA1EC3">
            <w:pPr>
              <w:rPr>
                <w:rFonts w:ascii="Times New Roman" w:hAnsi="Times New Roman" w:cs="Times New Roman"/>
                <w:color w:val="000000"/>
                <w:sz w:val="24"/>
                <w:szCs w:val="24"/>
              </w:rPr>
            </w:pPr>
          </w:p>
        </w:tc>
        <w:tc>
          <w:tcPr>
            <w:tcW w:w="1843" w:type="dxa"/>
            <w:tcBorders>
              <w:top w:val="nil"/>
              <w:left w:val="single" w:sz="8" w:space="0" w:color="auto"/>
              <w:bottom w:val="single" w:sz="4" w:space="0" w:color="auto"/>
              <w:right w:val="single" w:sz="8" w:space="0" w:color="auto"/>
            </w:tcBorders>
            <w:shd w:val="clear" w:color="auto" w:fill="auto"/>
            <w:hideMark/>
          </w:tcPr>
          <w:p w:rsidR="00FA1EC3" w:rsidRPr="004458FD" w:rsidRDefault="00FA1EC3" w:rsidP="005A702C">
            <w:pPr>
              <w:jc w:val="center"/>
              <w:rPr>
                <w:rFonts w:ascii="Times New Roman" w:hAnsi="Times New Roman" w:cs="Times New Roman"/>
                <w:color w:val="000000"/>
                <w:sz w:val="24"/>
                <w:szCs w:val="24"/>
              </w:rPr>
            </w:pPr>
            <w:r w:rsidRPr="004458FD">
              <w:rPr>
                <w:rFonts w:ascii="Times New Roman" w:hAnsi="Times New Roman" w:cs="Times New Roman"/>
                <w:color w:val="000000"/>
                <w:sz w:val="24"/>
                <w:szCs w:val="24"/>
              </w:rPr>
              <w:t>129</w:t>
            </w:r>
          </w:p>
        </w:tc>
        <w:tc>
          <w:tcPr>
            <w:tcW w:w="1690" w:type="dxa"/>
            <w:tcBorders>
              <w:top w:val="nil"/>
              <w:left w:val="single" w:sz="8" w:space="0" w:color="auto"/>
              <w:bottom w:val="nil"/>
              <w:right w:val="single" w:sz="8" w:space="0" w:color="auto"/>
            </w:tcBorders>
            <w:shd w:val="clear" w:color="auto" w:fill="auto"/>
            <w:hideMark/>
          </w:tcPr>
          <w:p w:rsidR="00FA1EC3" w:rsidRPr="004458FD" w:rsidRDefault="00FA1EC3" w:rsidP="005A702C">
            <w:pPr>
              <w:jc w:val="center"/>
              <w:rPr>
                <w:rFonts w:ascii="Times New Roman" w:hAnsi="Times New Roman" w:cs="Times New Roman"/>
                <w:color w:val="000000"/>
                <w:sz w:val="24"/>
                <w:szCs w:val="24"/>
              </w:rPr>
            </w:pPr>
            <w:r w:rsidRPr="004458FD">
              <w:rPr>
                <w:rFonts w:ascii="Times New Roman" w:hAnsi="Times New Roman" w:cs="Times New Roman"/>
                <w:color w:val="000000"/>
                <w:sz w:val="24"/>
                <w:szCs w:val="24"/>
              </w:rPr>
              <w:t>222</w:t>
            </w:r>
          </w:p>
        </w:tc>
      </w:tr>
      <w:tr w:rsidR="002266BD" w:rsidRPr="00BC7A5C" w:rsidTr="00847393">
        <w:trPr>
          <w:trHeight w:val="288"/>
        </w:trPr>
        <w:tc>
          <w:tcPr>
            <w:tcW w:w="5008" w:type="dxa"/>
            <w:vMerge w:val="restart"/>
            <w:tcBorders>
              <w:top w:val="single" w:sz="8" w:space="0" w:color="auto"/>
              <w:left w:val="single" w:sz="8" w:space="0" w:color="auto"/>
              <w:right w:val="nil"/>
            </w:tcBorders>
            <w:shd w:val="clear" w:color="auto" w:fill="FEBCBC" w:themeFill="accent1" w:themeFillTint="33"/>
            <w:vAlign w:val="center"/>
            <w:hideMark/>
          </w:tcPr>
          <w:p w:rsidR="002266BD" w:rsidRPr="004458FD" w:rsidRDefault="002266BD" w:rsidP="005A5B65">
            <w:pPr>
              <w:spacing w:line="276" w:lineRule="auto"/>
              <w:rPr>
                <w:rFonts w:ascii="Times New Roman" w:hAnsi="Times New Roman" w:cs="Times New Roman"/>
                <w:b/>
                <w:bCs/>
                <w:color w:val="000000"/>
                <w:sz w:val="24"/>
                <w:szCs w:val="24"/>
                <w:u w:val="single"/>
              </w:rPr>
            </w:pPr>
            <w:r w:rsidRPr="004458FD">
              <w:rPr>
                <w:rFonts w:ascii="Times New Roman" w:hAnsi="Times New Roman" w:cs="Times New Roman"/>
                <w:b/>
                <w:bCs/>
                <w:color w:val="000000"/>
                <w:sz w:val="24"/>
                <w:szCs w:val="24"/>
                <w:u w:val="single"/>
              </w:rPr>
              <w:t>Mõõdik 2</w:t>
            </w:r>
          </w:p>
          <w:p w:rsidR="00A90CD1" w:rsidRDefault="002266BD" w:rsidP="005A5B65">
            <w:pPr>
              <w:spacing w:line="276" w:lineRule="auto"/>
              <w:rPr>
                <w:rFonts w:ascii="Times New Roman" w:hAnsi="Times New Roman" w:cs="Times New Roman"/>
                <w:color w:val="000000"/>
                <w:sz w:val="24"/>
                <w:szCs w:val="24"/>
              </w:rPr>
            </w:pPr>
            <w:r w:rsidRPr="004458FD">
              <w:rPr>
                <w:rFonts w:ascii="Times New Roman" w:hAnsi="Times New Roman" w:cs="Times New Roman"/>
                <w:color w:val="000000"/>
                <w:sz w:val="24"/>
                <w:szCs w:val="24"/>
              </w:rPr>
              <w:t xml:space="preserve">Kasvupind; tuh ha </w:t>
            </w:r>
          </w:p>
          <w:p w:rsidR="002266BD" w:rsidRPr="004458FD" w:rsidRDefault="002266BD" w:rsidP="005A5B65">
            <w:pPr>
              <w:spacing w:line="276" w:lineRule="auto"/>
              <w:rPr>
                <w:rFonts w:ascii="Times New Roman" w:hAnsi="Times New Roman" w:cs="Times New Roman"/>
                <w:b/>
                <w:bCs/>
                <w:color w:val="000000"/>
                <w:sz w:val="24"/>
                <w:szCs w:val="24"/>
                <w:u w:val="single"/>
              </w:rPr>
            </w:pPr>
            <w:r w:rsidRPr="004458FD">
              <w:rPr>
                <w:rFonts w:ascii="Times New Roman" w:hAnsi="Times New Roman" w:cs="Times New Roman"/>
                <w:color w:val="000000"/>
                <w:sz w:val="24"/>
                <w:szCs w:val="24"/>
              </w:rPr>
              <w:t>(Allikas: Statistikaamet)</w:t>
            </w:r>
          </w:p>
        </w:tc>
        <w:tc>
          <w:tcPr>
            <w:tcW w:w="1153" w:type="dxa"/>
            <w:tcBorders>
              <w:top w:val="single" w:sz="8" w:space="0" w:color="auto"/>
              <w:left w:val="nil"/>
              <w:right w:val="nil"/>
            </w:tcBorders>
            <w:shd w:val="clear" w:color="auto" w:fill="FEBCBC" w:themeFill="accent1" w:themeFillTint="33"/>
            <w:vAlign w:val="center"/>
            <w:hideMark/>
          </w:tcPr>
          <w:p w:rsidR="002266BD" w:rsidRPr="004458FD" w:rsidRDefault="002266BD" w:rsidP="00EB51B4">
            <w:pPr>
              <w:rPr>
                <w:rFonts w:ascii="Times New Roman" w:hAnsi="Times New Roman" w:cs="Times New Roman"/>
                <w:color w:val="000000"/>
                <w:sz w:val="24"/>
                <w:szCs w:val="24"/>
              </w:rPr>
            </w:pPr>
            <w:r w:rsidRPr="004458FD">
              <w:rPr>
                <w:rFonts w:ascii="Times New Roman" w:hAnsi="Times New Roman" w:cs="Times New Roman"/>
                <w:color w:val="000000"/>
                <w:sz w:val="24"/>
                <w:szCs w:val="24"/>
              </w:rPr>
              <w:t>Teravili</w:t>
            </w:r>
          </w:p>
        </w:tc>
        <w:tc>
          <w:tcPr>
            <w:tcW w:w="1843" w:type="dxa"/>
            <w:tcBorders>
              <w:top w:val="single" w:sz="4" w:space="0" w:color="auto"/>
              <w:left w:val="single" w:sz="8" w:space="0" w:color="auto"/>
              <w:right w:val="single" w:sz="8" w:space="0" w:color="auto"/>
            </w:tcBorders>
            <w:shd w:val="clear" w:color="auto" w:fill="FEBCBC" w:themeFill="accent1" w:themeFillTint="33"/>
            <w:noWrap/>
            <w:vAlign w:val="center"/>
            <w:hideMark/>
          </w:tcPr>
          <w:p w:rsidR="002266BD" w:rsidRPr="004458FD" w:rsidRDefault="002266BD" w:rsidP="00EB51B4">
            <w:pPr>
              <w:jc w:val="center"/>
              <w:rPr>
                <w:rFonts w:ascii="Times New Roman" w:hAnsi="Times New Roman" w:cs="Times New Roman"/>
                <w:color w:val="000000"/>
                <w:sz w:val="24"/>
                <w:szCs w:val="24"/>
              </w:rPr>
            </w:pPr>
            <w:r w:rsidRPr="004458FD">
              <w:rPr>
                <w:rFonts w:ascii="Times New Roman" w:hAnsi="Times New Roman" w:cs="Times New Roman"/>
                <w:color w:val="000000"/>
                <w:sz w:val="24"/>
                <w:szCs w:val="24"/>
              </w:rPr>
              <w:t>298</w:t>
            </w:r>
          </w:p>
        </w:tc>
        <w:tc>
          <w:tcPr>
            <w:tcW w:w="1690" w:type="dxa"/>
            <w:tcBorders>
              <w:top w:val="single" w:sz="8" w:space="0" w:color="auto"/>
              <w:left w:val="single" w:sz="8" w:space="0" w:color="auto"/>
              <w:right w:val="single" w:sz="8" w:space="0" w:color="auto"/>
            </w:tcBorders>
            <w:shd w:val="clear" w:color="auto" w:fill="FEBCBC" w:themeFill="accent1" w:themeFillTint="33"/>
            <w:noWrap/>
            <w:vAlign w:val="center"/>
            <w:hideMark/>
          </w:tcPr>
          <w:p w:rsidR="002266BD" w:rsidRPr="004458FD" w:rsidRDefault="002266BD" w:rsidP="00EB51B4">
            <w:pPr>
              <w:jc w:val="center"/>
              <w:rPr>
                <w:rFonts w:ascii="Times New Roman" w:hAnsi="Times New Roman" w:cs="Times New Roman"/>
                <w:color w:val="000000"/>
                <w:sz w:val="24"/>
                <w:szCs w:val="24"/>
              </w:rPr>
            </w:pPr>
            <w:r w:rsidRPr="004458FD">
              <w:rPr>
                <w:rFonts w:ascii="Times New Roman" w:hAnsi="Times New Roman" w:cs="Times New Roman"/>
                <w:color w:val="000000"/>
                <w:sz w:val="24"/>
                <w:szCs w:val="24"/>
              </w:rPr>
              <w:t>331</w:t>
            </w:r>
          </w:p>
        </w:tc>
      </w:tr>
      <w:tr w:rsidR="002266BD" w:rsidRPr="00BC7A5C" w:rsidTr="00847393">
        <w:trPr>
          <w:trHeight w:val="232"/>
        </w:trPr>
        <w:tc>
          <w:tcPr>
            <w:tcW w:w="5008" w:type="dxa"/>
            <w:vMerge/>
            <w:tcBorders>
              <w:left w:val="single" w:sz="8" w:space="0" w:color="auto"/>
              <w:right w:val="nil"/>
            </w:tcBorders>
            <w:shd w:val="clear" w:color="auto" w:fill="FEBCBC" w:themeFill="accent1" w:themeFillTint="33"/>
            <w:vAlign w:val="center"/>
            <w:hideMark/>
          </w:tcPr>
          <w:p w:rsidR="002266BD" w:rsidRPr="004458FD" w:rsidRDefault="002266BD" w:rsidP="005A5B65">
            <w:pPr>
              <w:spacing w:line="276" w:lineRule="auto"/>
              <w:rPr>
                <w:rFonts w:ascii="Times New Roman" w:hAnsi="Times New Roman" w:cs="Times New Roman"/>
                <w:color w:val="000000"/>
                <w:sz w:val="24"/>
                <w:szCs w:val="24"/>
              </w:rPr>
            </w:pPr>
          </w:p>
        </w:tc>
        <w:tc>
          <w:tcPr>
            <w:tcW w:w="1153" w:type="dxa"/>
            <w:tcBorders>
              <w:top w:val="nil"/>
              <w:left w:val="nil"/>
              <w:right w:val="single" w:sz="4" w:space="0" w:color="auto"/>
            </w:tcBorders>
            <w:shd w:val="clear" w:color="auto" w:fill="FEBCBC" w:themeFill="accent1" w:themeFillTint="33"/>
            <w:vAlign w:val="center"/>
          </w:tcPr>
          <w:p w:rsidR="002266BD" w:rsidRPr="004458FD" w:rsidRDefault="002266BD" w:rsidP="00EB51B4">
            <w:pPr>
              <w:rPr>
                <w:rFonts w:ascii="Times New Roman" w:hAnsi="Times New Roman" w:cs="Times New Roman"/>
                <w:color w:val="000000"/>
                <w:sz w:val="24"/>
                <w:szCs w:val="24"/>
              </w:rPr>
            </w:pPr>
            <w:r w:rsidRPr="004458FD">
              <w:rPr>
                <w:rFonts w:ascii="Times New Roman" w:hAnsi="Times New Roman" w:cs="Times New Roman"/>
                <w:color w:val="000000"/>
                <w:sz w:val="24"/>
                <w:szCs w:val="24"/>
              </w:rPr>
              <w:t>Raps</w:t>
            </w:r>
          </w:p>
        </w:tc>
        <w:tc>
          <w:tcPr>
            <w:tcW w:w="1843" w:type="dxa"/>
            <w:tcBorders>
              <w:top w:val="nil"/>
              <w:left w:val="single" w:sz="4" w:space="0" w:color="auto"/>
              <w:right w:val="single" w:sz="4" w:space="0" w:color="auto"/>
            </w:tcBorders>
            <w:shd w:val="clear" w:color="auto" w:fill="FEBCBC" w:themeFill="accent1" w:themeFillTint="33"/>
            <w:vAlign w:val="center"/>
          </w:tcPr>
          <w:p w:rsidR="002266BD" w:rsidRPr="004458FD" w:rsidRDefault="002266BD" w:rsidP="00EB51B4">
            <w:pPr>
              <w:jc w:val="center"/>
              <w:rPr>
                <w:rFonts w:ascii="Times New Roman" w:hAnsi="Times New Roman" w:cs="Times New Roman"/>
                <w:sz w:val="24"/>
                <w:szCs w:val="24"/>
              </w:rPr>
            </w:pPr>
            <w:r w:rsidRPr="004458FD">
              <w:rPr>
                <w:rFonts w:ascii="Times New Roman" w:hAnsi="Times New Roman" w:cs="Times New Roman"/>
                <w:sz w:val="24"/>
                <w:szCs w:val="24"/>
              </w:rPr>
              <w:t>88</w:t>
            </w:r>
          </w:p>
        </w:tc>
        <w:tc>
          <w:tcPr>
            <w:tcW w:w="1690" w:type="dxa"/>
            <w:tcBorders>
              <w:top w:val="nil"/>
              <w:left w:val="single" w:sz="4" w:space="0" w:color="auto"/>
              <w:right w:val="single" w:sz="4" w:space="0" w:color="auto"/>
            </w:tcBorders>
            <w:shd w:val="clear" w:color="auto" w:fill="FEBCBC" w:themeFill="accent1" w:themeFillTint="33"/>
            <w:vAlign w:val="center"/>
          </w:tcPr>
          <w:p w:rsidR="002266BD" w:rsidRPr="004458FD" w:rsidRDefault="002266BD" w:rsidP="002266BD">
            <w:pPr>
              <w:jc w:val="center"/>
              <w:rPr>
                <w:rFonts w:ascii="Times New Roman" w:hAnsi="Times New Roman" w:cs="Times New Roman"/>
                <w:sz w:val="24"/>
                <w:szCs w:val="24"/>
              </w:rPr>
            </w:pPr>
            <w:r w:rsidRPr="004458FD">
              <w:rPr>
                <w:rFonts w:ascii="Times New Roman" w:hAnsi="Times New Roman" w:cs="Times New Roman"/>
                <w:sz w:val="24"/>
                <w:szCs w:val="24"/>
              </w:rPr>
              <w:t>98</w:t>
            </w:r>
          </w:p>
        </w:tc>
      </w:tr>
      <w:tr w:rsidR="002266BD" w:rsidRPr="00BC7A5C" w:rsidTr="00EA4C43">
        <w:trPr>
          <w:trHeight w:val="333"/>
        </w:trPr>
        <w:tc>
          <w:tcPr>
            <w:tcW w:w="5008" w:type="dxa"/>
            <w:vMerge/>
            <w:tcBorders>
              <w:left w:val="single" w:sz="8" w:space="0" w:color="auto"/>
              <w:bottom w:val="single" w:sz="4" w:space="0" w:color="auto"/>
              <w:right w:val="nil"/>
            </w:tcBorders>
            <w:shd w:val="clear" w:color="auto" w:fill="FEBCBC" w:themeFill="accent1" w:themeFillTint="33"/>
            <w:vAlign w:val="center"/>
          </w:tcPr>
          <w:p w:rsidR="002266BD" w:rsidRPr="004458FD" w:rsidRDefault="002266BD" w:rsidP="005A5B65">
            <w:pPr>
              <w:spacing w:line="276" w:lineRule="auto"/>
              <w:rPr>
                <w:rFonts w:ascii="Times New Roman" w:hAnsi="Times New Roman" w:cs="Times New Roman"/>
                <w:color w:val="000000"/>
                <w:sz w:val="24"/>
                <w:szCs w:val="24"/>
              </w:rPr>
            </w:pPr>
          </w:p>
        </w:tc>
        <w:tc>
          <w:tcPr>
            <w:tcW w:w="1153" w:type="dxa"/>
            <w:tcBorders>
              <w:left w:val="nil"/>
              <w:bottom w:val="single" w:sz="4" w:space="0" w:color="auto"/>
              <w:right w:val="nil"/>
            </w:tcBorders>
            <w:shd w:val="clear" w:color="auto" w:fill="FEBCBC" w:themeFill="accent1" w:themeFillTint="33"/>
            <w:vAlign w:val="center"/>
          </w:tcPr>
          <w:p w:rsidR="002266BD" w:rsidRPr="004458FD" w:rsidRDefault="002266BD" w:rsidP="00EB51B4">
            <w:pPr>
              <w:rPr>
                <w:rFonts w:ascii="Times New Roman" w:hAnsi="Times New Roman" w:cs="Times New Roman"/>
                <w:color w:val="000000"/>
                <w:sz w:val="24"/>
                <w:szCs w:val="24"/>
              </w:rPr>
            </w:pPr>
            <w:r w:rsidRPr="004458FD">
              <w:rPr>
                <w:rFonts w:ascii="Times New Roman" w:hAnsi="Times New Roman" w:cs="Times New Roman"/>
                <w:color w:val="000000"/>
                <w:sz w:val="24"/>
                <w:szCs w:val="24"/>
              </w:rPr>
              <w:t>Kaunvili</w:t>
            </w:r>
          </w:p>
        </w:tc>
        <w:tc>
          <w:tcPr>
            <w:tcW w:w="1843" w:type="dxa"/>
            <w:tcBorders>
              <w:left w:val="single" w:sz="8" w:space="0" w:color="auto"/>
              <w:bottom w:val="single" w:sz="4" w:space="0" w:color="auto"/>
              <w:right w:val="single" w:sz="8" w:space="0" w:color="auto"/>
            </w:tcBorders>
            <w:shd w:val="clear" w:color="auto" w:fill="FEBCBC" w:themeFill="accent1" w:themeFillTint="33"/>
            <w:vAlign w:val="center"/>
          </w:tcPr>
          <w:p w:rsidR="002266BD" w:rsidRPr="004458FD" w:rsidRDefault="00982339" w:rsidP="00EB51B4">
            <w:pPr>
              <w:jc w:val="center"/>
              <w:rPr>
                <w:rFonts w:ascii="Times New Roman" w:hAnsi="Times New Roman" w:cs="Times New Roman"/>
                <w:sz w:val="24"/>
                <w:szCs w:val="24"/>
              </w:rPr>
            </w:pPr>
            <w:r w:rsidRPr="004458FD">
              <w:rPr>
                <w:rFonts w:ascii="Times New Roman" w:hAnsi="Times New Roman" w:cs="Times New Roman"/>
                <w:sz w:val="24"/>
                <w:szCs w:val="24"/>
              </w:rPr>
              <w:t>9</w:t>
            </w:r>
          </w:p>
        </w:tc>
        <w:tc>
          <w:tcPr>
            <w:tcW w:w="1690" w:type="dxa"/>
            <w:tcBorders>
              <w:left w:val="single" w:sz="8" w:space="0" w:color="auto"/>
              <w:bottom w:val="single" w:sz="4" w:space="0" w:color="auto"/>
              <w:right w:val="single" w:sz="8" w:space="0" w:color="auto"/>
            </w:tcBorders>
            <w:shd w:val="clear" w:color="auto" w:fill="FEBCBC" w:themeFill="accent1" w:themeFillTint="33"/>
            <w:vAlign w:val="center"/>
          </w:tcPr>
          <w:p w:rsidR="002266BD" w:rsidRPr="004458FD" w:rsidRDefault="002266BD" w:rsidP="00EB51B4">
            <w:pPr>
              <w:jc w:val="center"/>
              <w:rPr>
                <w:rFonts w:ascii="Times New Roman" w:hAnsi="Times New Roman" w:cs="Times New Roman"/>
                <w:sz w:val="24"/>
                <w:szCs w:val="24"/>
              </w:rPr>
            </w:pPr>
            <w:r w:rsidRPr="004458FD">
              <w:rPr>
                <w:rFonts w:ascii="Times New Roman" w:hAnsi="Times New Roman" w:cs="Times New Roman"/>
                <w:sz w:val="24"/>
                <w:szCs w:val="24"/>
              </w:rPr>
              <w:t>25</w:t>
            </w:r>
          </w:p>
        </w:tc>
      </w:tr>
      <w:tr w:rsidR="00445190" w:rsidRPr="00BC7A5C" w:rsidTr="00EA4C43">
        <w:trPr>
          <w:trHeight w:val="414"/>
        </w:trPr>
        <w:tc>
          <w:tcPr>
            <w:tcW w:w="5008" w:type="dxa"/>
            <w:tcBorders>
              <w:top w:val="single" w:sz="4" w:space="0" w:color="auto"/>
              <w:left w:val="single" w:sz="4" w:space="0" w:color="auto"/>
              <w:bottom w:val="nil"/>
            </w:tcBorders>
            <w:shd w:val="clear" w:color="auto" w:fill="auto"/>
            <w:vAlign w:val="center"/>
            <w:hideMark/>
          </w:tcPr>
          <w:p w:rsidR="00445190" w:rsidRPr="004458FD" w:rsidRDefault="00445190" w:rsidP="005A5B65">
            <w:pPr>
              <w:spacing w:line="276" w:lineRule="auto"/>
              <w:rPr>
                <w:rFonts w:ascii="Times New Roman" w:hAnsi="Times New Roman" w:cs="Times New Roman"/>
                <w:b/>
                <w:bCs/>
                <w:color w:val="000000"/>
                <w:sz w:val="24"/>
                <w:szCs w:val="24"/>
                <w:u w:val="single"/>
              </w:rPr>
            </w:pPr>
            <w:r w:rsidRPr="004458FD">
              <w:rPr>
                <w:rFonts w:ascii="Times New Roman" w:hAnsi="Times New Roman" w:cs="Times New Roman"/>
                <w:b/>
                <w:bCs/>
                <w:color w:val="000000"/>
                <w:sz w:val="24"/>
                <w:szCs w:val="24"/>
                <w:u w:val="single"/>
              </w:rPr>
              <w:t>Mõõdik 3</w:t>
            </w:r>
          </w:p>
        </w:tc>
        <w:tc>
          <w:tcPr>
            <w:tcW w:w="1153" w:type="dxa"/>
            <w:tcBorders>
              <w:top w:val="single" w:sz="4" w:space="0" w:color="auto"/>
              <w:bottom w:val="nil"/>
              <w:right w:val="single" w:sz="4" w:space="0" w:color="auto"/>
            </w:tcBorders>
            <w:shd w:val="clear" w:color="auto" w:fill="auto"/>
            <w:vAlign w:val="center"/>
          </w:tcPr>
          <w:p w:rsidR="00445190" w:rsidRPr="004458FD" w:rsidRDefault="00445190" w:rsidP="00EB51B4">
            <w:pPr>
              <w:rPr>
                <w:rFonts w:ascii="Times New Roman" w:hAnsi="Times New Roman" w:cs="Times New Roman"/>
                <w:color w:val="000000"/>
                <w:sz w:val="24"/>
                <w:szCs w:val="24"/>
              </w:rPr>
            </w:pPr>
          </w:p>
        </w:tc>
        <w:tc>
          <w:tcPr>
            <w:tcW w:w="1843" w:type="dxa"/>
            <w:tcBorders>
              <w:top w:val="single" w:sz="4" w:space="0" w:color="auto"/>
              <w:left w:val="single" w:sz="4" w:space="0" w:color="auto"/>
              <w:bottom w:val="nil"/>
              <w:right w:val="single" w:sz="4" w:space="0" w:color="auto"/>
            </w:tcBorders>
            <w:shd w:val="clear" w:color="auto" w:fill="auto"/>
            <w:noWrap/>
            <w:vAlign w:val="center"/>
          </w:tcPr>
          <w:p w:rsidR="00445190" w:rsidRPr="004458FD" w:rsidRDefault="00445190" w:rsidP="00EB51B4">
            <w:pPr>
              <w:jc w:val="center"/>
              <w:rPr>
                <w:rFonts w:ascii="Times New Roman" w:hAnsi="Times New Roman" w:cs="Times New Roman"/>
                <w:color w:val="000000"/>
                <w:sz w:val="24"/>
                <w:szCs w:val="24"/>
              </w:rPr>
            </w:pPr>
          </w:p>
        </w:tc>
        <w:tc>
          <w:tcPr>
            <w:tcW w:w="1690" w:type="dxa"/>
            <w:tcBorders>
              <w:top w:val="single" w:sz="4" w:space="0" w:color="auto"/>
              <w:left w:val="single" w:sz="4" w:space="0" w:color="auto"/>
              <w:bottom w:val="nil"/>
              <w:right w:val="single" w:sz="4" w:space="0" w:color="auto"/>
            </w:tcBorders>
            <w:shd w:val="clear" w:color="auto" w:fill="auto"/>
            <w:noWrap/>
            <w:vAlign w:val="center"/>
          </w:tcPr>
          <w:p w:rsidR="00445190" w:rsidRPr="004458FD" w:rsidRDefault="00445190" w:rsidP="00EB51B4">
            <w:pPr>
              <w:jc w:val="center"/>
              <w:rPr>
                <w:rFonts w:ascii="Times New Roman" w:hAnsi="Times New Roman" w:cs="Times New Roman"/>
                <w:color w:val="000000"/>
                <w:sz w:val="24"/>
                <w:szCs w:val="24"/>
              </w:rPr>
            </w:pPr>
          </w:p>
        </w:tc>
      </w:tr>
      <w:tr w:rsidR="00EA4C43" w:rsidRPr="00BC7A5C" w:rsidTr="00EA4C43">
        <w:trPr>
          <w:trHeight w:val="218"/>
        </w:trPr>
        <w:tc>
          <w:tcPr>
            <w:tcW w:w="5008" w:type="dxa"/>
            <w:tcBorders>
              <w:left w:val="single" w:sz="4" w:space="0" w:color="auto"/>
              <w:bottom w:val="nil"/>
            </w:tcBorders>
            <w:shd w:val="clear" w:color="auto" w:fill="auto"/>
            <w:vAlign w:val="center"/>
          </w:tcPr>
          <w:p w:rsidR="00EA4C43" w:rsidRPr="006249B7" w:rsidRDefault="00EA4C43" w:rsidP="005A5B65">
            <w:pPr>
              <w:spacing w:line="276" w:lineRule="auto"/>
              <w:rPr>
                <w:rFonts w:ascii="Times New Roman" w:hAnsi="Times New Roman" w:cs="Times New Roman"/>
                <w:color w:val="000000"/>
                <w:sz w:val="24"/>
                <w:szCs w:val="24"/>
              </w:rPr>
            </w:pPr>
            <w:r w:rsidRPr="004458FD">
              <w:rPr>
                <w:rFonts w:ascii="Times New Roman" w:hAnsi="Times New Roman" w:cs="Times New Roman"/>
                <w:color w:val="000000"/>
                <w:sz w:val="24"/>
                <w:szCs w:val="24"/>
              </w:rPr>
              <w:t xml:space="preserve">Töötlemata toodete eksport; tuh t </w:t>
            </w:r>
          </w:p>
        </w:tc>
        <w:tc>
          <w:tcPr>
            <w:tcW w:w="1153" w:type="dxa"/>
            <w:tcBorders>
              <w:bottom w:val="nil"/>
              <w:right w:val="single" w:sz="4" w:space="0" w:color="auto"/>
            </w:tcBorders>
            <w:shd w:val="clear" w:color="auto" w:fill="auto"/>
            <w:vAlign w:val="center"/>
          </w:tcPr>
          <w:p w:rsidR="00EA4C43" w:rsidRPr="004458FD" w:rsidRDefault="00EA4C43" w:rsidP="00926E6B">
            <w:pPr>
              <w:rPr>
                <w:rFonts w:ascii="Times New Roman" w:hAnsi="Times New Roman" w:cs="Times New Roman"/>
                <w:color w:val="000000"/>
                <w:sz w:val="24"/>
                <w:szCs w:val="24"/>
              </w:rPr>
            </w:pPr>
            <w:r w:rsidRPr="004458FD">
              <w:rPr>
                <w:rFonts w:ascii="Times New Roman" w:hAnsi="Times New Roman" w:cs="Times New Roman"/>
                <w:color w:val="000000"/>
                <w:sz w:val="24"/>
                <w:szCs w:val="24"/>
              </w:rPr>
              <w:t>Teravili</w:t>
            </w:r>
          </w:p>
        </w:tc>
        <w:tc>
          <w:tcPr>
            <w:tcW w:w="1843" w:type="dxa"/>
            <w:tcBorders>
              <w:left w:val="single" w:sz="4" w:space="0" w:color="auto"/>
              <w:bottom w:val="nil"/>
              <w:right w:val="single" w:sz="4" w:space="0" w:color="auto"/>
            </w:tcBorders>
            <w:shd w:val="clear" w:color="auto" w:fill="auto"/>
            <w:noWrap/>
            <w:vAlign w:val="center"/>
          </w:tcPr>
          <w:p w:rsidR="00EA4C43" w:rsidRPr="004458FD" w:rsidRDefault="00EA4C43" w:rsidP="00926E6B">
            <w:pPr>
              <w:jc w:val="center"/>
              <w:rPr>
                <w:rFonts w:ascii="Times New Roman" w:hAnsi="Times New Roman" w:cs="Times New Roman"/>
                <w:color w:val="000000"/>
                <w:sz w:val="24"/>
                <w:szCs w:val="24"/>
              </w:rPr>
            </w:pPr>
            <w:r w:rsidRPr="004458FD">
              <w:rPr>
                <w:rFonts w:ascii="Times New Roman" w:hAnsi="Times New Roman" w:cs="Times New Roman"/>
                <w:color w:val="000000"/>
                <w:sz w:val="24"/>
                <w:szCs w:val="24"/>
              </w:rPr>
              <w:t>269</w:t>
            </w:r>
          </w:p>
        </w:tc>
        <w:tc>
          <w:tcPr>
            <w:tcW w:w="1690" w:type="dxa"/>
            <w:tcBorders>
              <w:left w:val="single" w:sz="4" w:space="0" w:color="auto"/>
              <w:bottom w:val="nil"/>
              <w:right w:val="single" w:sz="4" w:space="0" w:color="auto"/>
            </w:tcBorders>
            <w:shd w:val="clear" w:color="auto" w:fill="auto"/>
            <w:noWrap/>
            <w:vAlign w:val="center"/>
          </w:tcPr>
          <w:p w:rsidR="00EA4C43" w:rsidRPr="004458FD" w:rsidRDefault="00EA4C43" w:rsidP="00926E6B">
            <w:pPr>
              <w:jc w:val="center"/>
              <w:rPr>
                <w:rFonts w:ascii="Times New Roman" w:hAnsi="Times New Roman" w:cs="Times New Roman"/>
                <w:color w:val="000000"/>
                <w:sz w:val="24"/>
                <w:szCs w:val="24"/>
              </w:rPr>
            </w:pPr>
            <w:r w:rsidRPr="004458FD">
              <w:rPr>
                <w:rFonts w:ascii="Times New Roman" w:hAnsi="Times New Roman" w:cs="Times New Roman"/>
                <w:color w:val="000000"/>
                <w:sz w:val="24"/>
                <w:szCs w:val="24"/>
              </w:rPr>
              <w:t>716</w:t>
            </w:r>
          </w:p>
        </w:tc>
      </w:tr>
      <w:tr w:rsidR="00EA4C43" w:rsidRPr="00BC7A5C" w:rsidTr="00EA4C43">
        <w:trPr>
          <w:trHeight w:val="193"/>
        </w:trPr>
        <w:tc>
          <w:tcPr>
            <w:tcW w:w="5008" w:type="dxa"/>
            <w:tcBorders>
              <w:top w:val="nil"/>
              <w:left w:val="single" w:sz="4" w:space="0" w:color="auto"/>
              <w:bottom w:val="single" w:sz="4" w:space="0" w:color="auto"/>
            </w:tcBorders>
            <w:shd w:val="clear" w:color="auto" w:fill="auto"/>
            <w:vAlign w:val="center"/>
            <w:hideMark/>
          </w:tcPr>
          <w:p w:rsidR="00EA4C43" w:rsidRPr="004458FD" w:rsidRDefault="00EA4C43" w:rsidP="005A5B65">
            <w:pPr>
              <w:spacing w:line="276" w:lineRule="auto"/>
              <w:rPr>
                <w:rFonts w:ascii="Times New Roman" w:hAnsi="Times New Roman" w:cs="Times New Roman"/>
                <w:color w:val="000000"/>
                <w:sz w:val="24"/>
                <w:szCs w:val="24"/>
              </w:rPr>
            </w:pPr>
            <w:r w:rsidRPr="004458FD">
              <w:rPr>
                <w:rFonts w:ascii="Times New Roman" w:hAnsi="Times New Roman" w:cs="Times New Roman"/>
                <w:color w:val="000000"/>
                <w:sz w:val="24"/>
                <w:szCs w:val="24"/>
              </w:rPr>
              <w:t xml:space="preserve"> (Allikas: PM)</w:t>
            </w:r>
          </w:p>
        </w:tc>
        <w:tc>
          <w:tcPr>
            <w:tcW w:w="1153" w:type="dxa"/>
            <w:tcBorders>
              <w:top w:val="nil"/>
              <w:bottom w:val="single" w:sz="4" w:space="0" w:color="auto"/>
              <w:right w:val="single" w:sz="4" w:space="0" w:color="auto"/>
            </w:tcBorders>
            <w:shd w:val="clear" w:color="auto" w:fill="auto"/>
            <w:vAlign w:val="center"/>
          </w:tcPr>
          <w:p w:rsidR="00EA4C43" w:rsidRPr="004458FD" w:rsidRDefault="00EA4C43" w:rsidP="00926E6B">
            <w:pPr>
              <w:rPr>
                <w:rFonts w:ascii="Times New Roman" w:hAnsi="Times New Roman" w:cs="Times New Roman"/>
                <w:color w:val="000000"/>
                <w:sz w:val="24"/>
                <w:szCs w:val="24"/>
              </w:rPr>
            </w:pPr>
            <w:r w:rsidRPr="004458FD">
              <w:rPr>
                <w:rFonts w:ascii="Times New Roman" w:hAnsi="Times New Roman" w:cs="Times New Roman"/>
                <w:color w:val="000000"/>
                <w:sz w:val="24"/>
                <w:szCs w:val="24"/>
              </w:rPr>
              <w:t>Raps</w:t>
            </w:r>
          </w:p>
        </w:tc>
        <w:tc>
          <w:tcPr>
            <w:tcW w:w="1843" w:type="dxa"/>
            <w:tcBorders>
              <w:top w:val="nil"/>
              <w:left w:val="single" w:sz="4" w:space="0" w:color="auto"/>
              <w:bottom w:val="single" w:sz="4" w:space="0" w:color="auto"/>
              <w:right w:val="single" w:sz="4" w:space="0" w:color="auto"/>
            </w:tcBorders>
            <w:shd w:val="clear" w:color="auto" w:fill="auto"/>
            <w:vAlign w:val="center"/>
          </w:tcPr>
          <w:p w:rsidR="00EA4C43" w:rsidRPr="004458FD" w:rsidRDefault="00EA4C43" w:rsidP="00926E6B">
            <w:pPr>
              <w:jc w:val="center"/>
              <w:rPr>
                <w:rFonts w:ascii="Times New Roman" w:hAnsi="Times New Roman" w:cs="Times New Roman"/>
                <w:color w:val="000000"/>
                <w:sz w:val="24"/>
                <w:szCs w:val="24"/>
              </w:rPr>
            </w:pPr>
            <w:r w:rsidRPr="004458FD">
              <w:rPr>
                <w:rFonts w:ascii="Times New Roman" w:hAnsi="Times New Roman" w:cs="Times New Roman"/>
                <w:color w:val="000000"/>
                <w:sz w:val="24"/>
                <w:szCs w:val="24"/>
              </w:rPr>
              <w:t>69</w:t>
            </w:r>
          </w:p>
        </w:tc>
        <w:tc>
          <w:tcPr>
            <w:tcW w:w="1690" w:type="dxa"/>
            <w:tcBorders>
              <w:top w:val="nil"/>
              <w:left w:val="single" w:sz="4" w:space="0" w:color="auto"/>
              <w:bottom w:val="single" w:sz="4" w:space="0" w:color="auto"/>
              <w:right w:val="single" w:sz="4" w:space="0" w:color="auto"/>
            </w:tcBorders>
            <w:shd w:val="clear" w:color="auto" w:fill="auto"/>
            <w:vAlign w:val="center"/>
          </w:tcPr>
          <w:p w:rsidR="00EA4C43" w:rsidRPr="004458FD" w:rsidRDefault="00EA4C43" w:rsidP="00926E6B">
            <w:pPr>
              <w:jc w:val="center"/>
              <w:rPr>
                <w:rFonts w:ascii="Times New Roman" w:hAnsi="Times New Roman" w:cs="Times New Roman"/>
                <w:color w:val="000000"/>
                <w:sz w:val="24"/>
                <w:szCs w:val="24"/>
              </w:rPr>
            </w:pPr>
            <w:r w:rsidRPr="004458FD">
              <w:rPr>
                <w:rFonts w:ascii="Times New Roman" w:hAnsi="Times New Roman" w:cs="Times New Roman"/>
                <w:color w:val="000000"/>
                <w:sz w:val="24"/>
                <w:szCs w:val="24"/>
              </w:rPr>
              <w:t>97</w:t>
            </w:r>
          </w:p>
        </w:tc>
      </w:tr>
      <w:tr w:rsidR="00EA4C43" w:rsidRPr="00BC7A5C" w:rsidTr="00EA4C43">
        <w:trPr>
          <w:trHeight w:val="417"/>
        </w:trPr>
        <w:tc>
          <w:tcPr>
            <w:tcW w:w="5008" w:type="dxa"/>
            <w:tcBorders>
              <w:top w:val="single" w:sz="4" w:space="0" w:color="auto"/>
              <w:left w:val="single" w:sz="8" w:space="0" w:color="auto"/>
              <w:bottom w:val="nil"/>
              <w:right w:val="nil"/>
            </w:tcBorders>
            <w:shd w:val="clear" w:color="auto" w:fill="FEBCBC" w:themeFill="accent1" w:themeFillTint="33"/>
            <w:vAlign w:val="center"/>
            <w:hideMark/>
          </w:tcPr>
          <w:p w:rsidR="00EA4C43" w:rsidRPr="004458FD" w:rsidRDefault="00EA4C43" w:rsidP="005A5B65">
            <w:pPr>
              <w:spacing w:line="276" w:lineRule="auto"/>
              <w:rPr>
                <w:rFonts w:ascii="Times New Roman" w:hAnsi="Times New Roman" w:cs="Times New Roman"/>
                <w:b/>
                <w:bCs/>
                <w:color w:val="000000"/>
                <w:sz w:val="24"/>
                <w:szCs w:val="24"/>
                <w:u w:val="single"/>
              </w:rPr>
            </w:pPr>
            <w:r w:rsidRPr="004458FD">
              <w:rPr>
                <w:rFonts w:ascii="Times New Roman" w:hAnsi="Times New Roman" w:cs="Times New Roman"/>
                <w:b/>
                <w:bCs/>
                <w:color w:val="000000"/>
                <w:sz w:val="24"/>
                <w:szCs w:val="24"/>
                <w:u w:val="single"/>
              </w:rPr>
              <w:t>Mõõdik 4</w:t>
            </w:r>
          </w:p>
        </w:tc>
        <w:tc>
          <w:tcPr>
            <w:tcW w:w="1153" w:type="dxa"/>
            <w:tcBorders>
              <w:top w:val="single" w:sz="4" w:space="0" w:color="auto"/>
              <w:left w:val="nil"/>
              <w:bottom w:val="nil"/>
              <w:right w:val="nil"/>
            </w:tcBorders>
            <w:shd w:val="clear" w:color="auto" w:fill="FEBCBC" w:themeFill="accent1" w:themeFillTint="33"/>
            <w:vAlign w:val="center"/>
            <w:hideMark/>
          </w:tcPr>
          <w:p w:rsidR="00EA4C43" w:rsidRPr="004458FD" w:rsidRDefault="00EA4C43" w:rsidP="00EB51B4">
            <w:pPr>
              <w:rPr>
                <w:rFonts w:ascii="Times New Roman" w:hAnsi="Times New Roman" w:cs="Times New Roman"/>
                <w:color w:val="000000"/>
                <w:sz w:val="24"/>
                <w:szCs w:val="24"/>
                <w:u w:val="single"/>
              </w:rPr>
            </w:pPr>
          </w:p>
        </w:tc>
        <w:tc>
          <w:tcPr>
            <w:tcW w:w="1843" w:type="dxa"/>
            <w:tcBorders>
              <w:top w:val="single" w:sz="4" w:space="0" w:color="auto"/>
              <w:left w:val="single" w:sz="8" w:space="0" w:color="auto"/>
              <w:bottom w:val="nil"/>
              <w:right w:val="single" w:sz="8" w:space="0" w:color="auto"/>
            </w:tcBorders>
            <w:shd w:val="clear" w:color="auto" w:fill="FEBCBC" w:themeFill="accent1" w:themeFillTint="33"/>
            <w:noWrap/>
            <w:vAlign w:val="center"/>
            <w:hideMark/>
          </w:tcPr>
          <w:p w:rsidR="00EA4C43" w:rsidRPr="004458FD" w:rsidRDefault="00EA4C43" w:rsidP="00EB51B4">
            <w:pPr>
              <w:jc w:val="center"/>
              <w:rPr>
                <w:rFonts w:ascii="Times New Roman" w:hAnsi="Times New Roman" w:cs="Times New Roman"/>
                <w:color w:val="000000"/>
                <w:sz w:val="24"/>
                <w:szCs w:val="24"/>
              </w:rPr>
            </w:pPr>
          </w:p>
        </w:tc>
        <w:tc>
          <w:tcPr>
            <w:tcW w:w="1690" w:type="dxa"/>
            <w:tcBorders>
              <w:top w:val="single" w:sz="4" w:space="0" w:color="auto"/>
              <w:left w:val="single" w:sz="8" w:space="0" w:color="auto"/>
              <w:bottom w:val="nil"/>
              <w:right w:val="single" w:sz="8" w:space="0" w:color="auto"/>
            </w:tcBorders>
            <w:shd w:val="clear" w:color="auto" w:fill="FEBCBC" w:themeFill="accent1" w:themeFillTint="33"/>
            <w:noWrap/>
            <w:vAlign w:val="center"/>
            <w:hideMark/>
          </w:tcPr>
          <w:p w:rsidR="00EA4C43" w:rsidRPr="004458FD" w:rsidRDefault="00EA4C43" w:rsidP="00EB51B4">
            <w:pPr>
              <w:jc w:val="center"/>
              <w:rPr>
                <w:rFonts w:ascii="Times New Roman" w:hAnsi="Times New Roman" w:cs="Times New Roman"/>
                <w:color w:val="000000"/>
                <w:sz w:val="24"/>
                <w:szCs w:val="24"/>
              </w:rPr>
            </w:pPr>
          </w:p>
        </w:tc>
      </w:tr>
      <w:tr w:rsidR="00EA4C43" w:rsidRPr="00BC7A5C" w:rsidTr="005A702C">
        <w:trPr>
          <w:trHeight w:val="571"/>
        </w:trPr>
        <w:tc>
          <w:tcPr>
            <w:tcW w:w="5008" w:type="dxa"/>
            <w:tcBorders>
              <w:top w:val="nil"/>
              <w:left w:val="single" w:sz="8" w:space="0" w:color="auto"/>
              <w:bottom w:val="single" w:sz="8" w:space="0" w:color="000000"/>
              <w:right w:val="nil"/>
            </w:tcBorders>
            <w:shd w:val="clear" w:color="auto" w:fill="FEBCBC" w:themeFill="accent1" w:themeFillTint="33"/>
            <w:vAlign w:val="center"/>
            <w:hideMark/>
          </w:tcPr>
          <w:p w:rsidR="00EA4C43" w:rsidRDefault="00EA4C43" w:rsidP="005A5B65">
            <w:pPr>
              <w:spacing w:line="276" w:lineRule="auto"/>
              <w:rPr>
                <w:rFonts w:ascii="Times New Roman" w:hAnsi="Times New Roman" w:cs="Times New Roman"/>
                <w:color w:val="000000"/>
                <w:sz w:val="24"/>
                <w:szCs w:val="24"/>
              </w:rPr>
            </w:pPr>
            <w:r w:rsidRPr="004458FD">
              <w:rPr>
                <w:rFonts w:ascii="Times New Roman" w:hAnsi="Times New Roman" w:cs="Times New Roman"/>
                <w:color w:val="000000"/>
                <w:sz w:val="24"/>
                <w:szCs w:val="24"/>
              </w:rPr>
              <w:t>Töödeldud toodete eksport (</w:t>
            </w:r>
            <w:proofErr w:type="spellStart"/>
            <w:r w:rsidRPr="004458FD">
              <w:rPr>
                <w:rFonts w:ascii="Times New Roman" w:hAnsi="Times New Roman" w:cs="Times New Roman"/>
                <w:color w:val="000000"/>
                <w:sz w:val="24"/>
                <w:szCs w:val="24"/>
              </w:rPr>
              <w:t>ü.a.t</w:t>
            </w:r>
            <w:proofErr w:type="spellEnd"/>
            <w:r w:rsidRPr="004458FD">
              <w:rPr>
                <w:rFonts w:ascii="Times New Roman" w:hAnsi="Times New Roman" w:cs="Times New Roman"/>
                <w:color w:val="000000"/>
                <w:sz w:val="24"/>
                <w:szCs w:val="24"/>
              </w:rPr>
              <w:t>.)</w:t>
            </w:r>
            <w:r w:rsidRPr="004458FD">
              <w:rPr>
                <w:rFonts w:ascii="Times New Roman" w:hAnsi="Times New Roman" w:cs="Times New Roman"/>
                <w:color w:val="000000"/>
                <w:sz w:val="24"/>
                <w:szCs w:val="24"/>
                <w:vertAlign w:val="superscript"/>
              </w:rPr>
              <w:footnoteReference w:id="4"/>
            </w:r>
            <w:r w:rsidRPr="004458FD">
              <w:rPr>
                <w:rFonts w:ascii="Times New Roman" w:hAnsi="Times New Roman" w:cs="Times New Roman"/>
                <w:color w:val="000000"/>
                <w:sz w:val="24"/>
                <w:szCs w:val="24"/>
              </w:rPr>
              <w:t xml:space="preserve">; tuh t </w:t>
            </w:r>
          </w:p>
          <w:p w:rsidR="00EA4C43" w:rsidRPr="004458FD" w:rsidRDefault="00EA4C43" w:rsidP="005A5B65">
            <w:pPr>
              <w:spacing w:line="276" w:lineRule="auto"/>
              <w:rPr>
                <w:rFonts w:ascii="Times New Roman" w:hAnsi="Times New Roman" w:cs="Times New Roman"/>
                <w:color w:val="000000"/>
                <w:sz w:val="24"/>
                <w:szCs w:val="24"/>
              </w:rPr>
            </w:pPr>
            <w:r w:rsidRPr="004458FD">
              <w:rPr>
                <w:rFonts w:ascii="Times New Roman" w:hAnsi="Times New Roman" w:cs="Times New Roman"/>
                <w:color w:val="000000"/>
                <w:sz w:val="24"/>
                <w:szCs w:val="24"/>
              </w:rPr>
              <w:t>(Allikas: PM)</w:t>
            </w:r>
          </w:p>
        </w:tc>
        <w:tc>
          <w:tcPr>
            <w:tcW w:w="1153" w:type="dxa"/>
            <w:tcBorders>
              <w:top w:val="nil"/>
              <w:left w:val="nil"/>
              <w:bottom w:val="single" w:sz="4" w:space="0" w:color="auto"/>
              <w:right w:val="nil"/>
            </w:tcBorders>
            <w:shd w:val="clear" w:color="auto" w:fill="FEBCBC" w:themeFill="accent1" w:themeFillTint="33"/>
            <w:noWrap/>
            <w:vAlign w:val="center"/>
          </w:tcPr>
          <w:p w:rsidR="00EA4C43" w:rsidRPr="004458FD" w:rsidRDefault="00EA4C43" w:rsidP="00EB51B4">
            <w:pPr>
              <w:rPr>
                <w:rFonts w:ascii="Times New Roman" w:hAnsi="Times New Roman" w:cs="Times New Roman"/>
                <w:color w:val="000000"/>
                <w:sz w:val="24"/>
                <w:szCs w:val="24"/>
              </w:rPr>
            </w:pPr>
          </w:p>
        </w:tc>
        <w:tc>
          <w:tcPr>
            <w:tcW w:w="1843" w:type="dxa"/>
            <w:tcBorders>
              <w:top w:val="nil"/>
              <w:left w:val="single" w:sz="8" w:space="0" w:color="auto"/>
              <w:bottom w:val="single" w:sz="4" w:space="0" w:color="auto"/>
              <w:right w:val="single" w:sz="8" w:space="0" w:color="auto"/>
            </w:tcBorders>
            <w:shd w:val="clear" w:color="auto" w:fill="FEBCBC" w:themeFill="accent1" w:themeFillTint="33"/>
            <w:hideMark/>
          </w:tcPr>
          <w:p w:rsidR="00EA4C43" w:rsidRPr="004458FD" w:rsidRDefault="00EA4C43" w:rsidP="005A702C">
            <w:pPr>
              <w:jc w:val="center"/>
              <w:rPr>
                <w:rFonts w:ascii="Times New Roman" w:hAnsi="Times New Roman" w:cs="Times New Roman"/>
                <w:color w:val="000000"/>
                <w:sz w:val="24"/>
                <w:szCs w:val="24"/>
              </w:rPr>
            </w:pPr>
            <w:r w:rsidRPr="004458FD">
              <w:rPr>
                <w:rFonts w:ascii="Times New Roman" w:hAnsi="Times New Roman" w:cs="Times New Roman"/>
                <w:color w:val="000000"/>
                <w:sz w:val="24"/>
                <w:szCs w:val="24"/>
              </w:rPr>
              <w:t>111</w:t>
            </w:r>
          </w:p>
        </w:tc>
        <w:tc>
          <w:tcPr>
            <w:tcW w:w="1690" w:type="dxa"/>
            <w:tcBorders>
              <w:top w:val="nil"/>
              <w:left w:val="nil"/>
              <w:bottom w:val="single" w:sz="4" w:space="0" w:color="auto"/>
              <w:right w:val="single" w:sz="8" w:space="0" w:color="auto"/>
            </w:tcBorders>
            <w:shd w:val="clear" w:color="auto" w:fill="FEBCBC" w:themeFill="accent1" w:themeFillTint="33"/>
            <w:hideMark/>
          </w:tcPr>
          <w:p w:rsidR="00EA4C43" w:rsidRPr="004458FD" w:rsidRDefault="00EA4C43" w:rsidP="005A702C">
            <w:pPr>
              <w:jc w:val="center"/>
              <w:rPr>
                <w:rFonts w:ascii="Times New Roman" w:hAnsi="Times New Roman" w:cs="Times New Roman"/>
                <w:color w:val="000000"/>
                <w:sz w:val="24"/>
                <w:szCs w:val="24"/>
              </w:rPr>
            </w:pPr>
            <w:r w:rsidRPr="004458FD">
              <w:rPr>
                <w:rFonts w:ascii="Times New Roman" w:hAnsi="Times New Roman" w:cs="Times New Roman"/>
                <w:color w:val="000000"/>
                <w:sz w:val="24"/>
                <w:szCs w:val="24"/>
              </w:rPr>
              <w:t>354</w:t>
            </w:r>
          </w:p>
        </w:tc>
      </w:tr>
      <w:tr w:rsidR="00EA4C43" w:rsidRPr="00BC7A5C" w:rsidTr="00EA4C43">
        <w:trPr>
          <w:trHeight w:val="417"/>
        </w:trPr>
        <w:tc>
          <w:tcPr>
            <w:tcW w:w="5008" w:type="dxa"/>
            <w:tcBorders>
              <w:top w:val="nil"/>
              <w:left w:val="single" w:sz="8" w:space="0" w:color="auto"/>
              <w:bottom w:val="nil"/>
              <w:right w:val="nil"/>
            </w:tcBorders>
            <w:shd w:val="clear" w:color="auto" w:fill="auto"/>
            <w:vAlign w:val="center"/>
            <w:hideMark/>
          </w:tcPr>
          <w:p w:rsidR="00EA4C43" w:rsidRPr="004458FD" w:rsidRDefault="00EA4C43" w:rsidP="005A5B65">
            <w:pPr>
              <w:spacing w:line="276" w:lineRule="auto"/>
              <w:rPr>
                <w:rFonts w:ascii="Times New Roman" w:hAnsi="Times New Roman" w:cs="Times New Roman"/>
                <w:b/>
                <w:bCs/>
                <w:color w:val="000000"/>
                <w:sz w:val="24"/>
                <w:szCs w:val="24"/>
                <w:u w:val="single"/>
              </w:rPr>
            </w:pPr>
            <w:r w:rsidRPr="004458FD">
              <w:rPr>
                <w:rFonts w:ascii="Times New Roman" w:hAnsi="Times New Roman" w:cs="Times New Roman"/>
                <w:b/>
                <w:bCs/>
                <w:color w:val="000000"/>
                <w:sz w:val="24"/>
                <w:szCs w:val="24"/>
                <w:u w:val="single"/>
              </w:rPr>
              <w:t>Mõõdik 5</w:t>
            </w:r>
          </w:p>
        </w:tc>
        <w:tc>
          <w:tcPr>
            <w:tcW w:w="1153" w:type="dxa"/>
            <w:tcBorders>
              <w:top w:val="single" w:sz="4" w:space="0" w:color="auto"/>
              <w:left w:val="nil"/>
              <w:bottom w:val="nil"/>
              <w:right w:val="nil"/>
            </w:tcBorders>
            <w:shd w:val="clear" w:color="auto" w:fill="auto"/>
            <w:vAlign w:val="center"/>
          </w:tcPr>
          <w:p w:rsidR="00EA4C43" w:rsidRPr="004458FD" w:rsidRDefault="00EA4C43" w:rsidP="00EB51B4">
            <w:pPr>
              <w:rPr>
                <w:rFonts w:ascii="Times New Roman" w:hAnsi="Times New Roman" w:cs="Times New Roman"/>
                <w:color w:val="000000"/>
                <w:sz w:val="24"/>
                <w:szCs w:val="24"/>
              </w:rPr>
            </w:pPr>
          </w:p>
        </w:tc>
        <w:tc>
          <w:tcPr>
            <w:tcW w:w="1843" w:type="dxa"/>
            <w:tcBorders>
              <w:top w:val="single" w:sz="4" w:space="0" w:color="auto"/>
              <w:left w:val="single" w:sz="8" w:space="0" w:color="auto"/>
              <w:bottom w:val="nil"/>
              <w:right w:val="single" w:sz="8" w:space="0" w:color="auto"/>
            </w:tcBorders>
            <w:shd w:val="clear" w:color="auto" w:fill="auto"/>
            <w:noWrap/>
            <w:vAlign w:val="center"/>
          </w:tcPr>
          <w:p w:rsidR="00EA4C43" w:rsidRPr="004458FD" w:rsidRDefault="00EA4C43" w:rsidP="00EB51B4">
            <w:pPr>
              <w:jc w:val="center"/>
              <w:rPr>
                <w:rFonts w:ascii="Times New Roman" w:hAnsi="Times New Roman" w:cs="Times New Roman"/>
                <w:color w:val="000000"/>
                <w:sz w:val="24"/>
                <w:szCs w:val="24"/>
              </w:rPr>
            </w:pPr>
          </w:p>
        </w:tc>
        <w:tc>
          <w:tcPr>
            <w:tcW w:w="1690" w:type="dxa"/>
            <w:tcBorders>
              <w:top w:val="single" w:sz="4" w:space="0" w:color="auto"/>
              <w:left w:val="single" w:sz="8" w:space="0" w:color="auto"/>
              <w:bottom w:val="nil"/>
              <w:right w:val="single" w:sz="8" w:space="0" w:color="auto"/>
            </w:tcBorders>
            <w:shd w:val="clear" w:color="auto" w:fill="auto"/>
            <w:noWrap/>
            <w:vAlign w:val="center"/>
          </w:tcPr>
          <w:p w:rsidR="00EA4C43" w:rsidRPr="004458FD" w:rsidRDefault="00EA4C43" w:rsidP="00EB51B4">
            <w:pPr>
              <w:jc w:val="center"/>
              <w:rPr>
                <w:rFonts w:ascii="Times New Roman" w:hAnsi="Times New Roman" w:cs="Times New Roman"/>
                <w:color w:val="000000"/>
                <w:sz w:val="24"/>
                <w:szCs w:val="24"/>
              </w:rPr>
            </w:pPr>
          </w:p>
        </w:tc>
      </w:tr>
      <w:tr w:rsidR="00EA4C43" w:rsidRPr="00BC7A5C" w:rsidTr="00EA4C43">
        <w:trPr>
          <w:trHeight w:val="319"/>
        </w:trPr>
        <w:tc>
          <w:tcPr>
            <w:tcW w:w="5008" w:type="dxa"/>
            <w:tcBorders>
              <w:top w:val="nil"/>
              <w:left w:val="single" w:sz="8" w:space="0" w:color="auto"/>
              <w:bottom w:val="nil"/>
              <w:right w:val="nil"/>
            </w:tcBorders>
            <w:shd w:val="clear" w:color="auto" w:fill="auto"/>
            <w:vAlign w:val="center"/>
            <w:hideMark/>
          </w:tcPr>
          <w:p w:rsidR="00EA4C43" w:rsidRPr="004458FD" w:rsidRDefault="00EA4C43" w:rsidP="005A5B65">
            <w:pPr>
              <w:spacing w:line="276" w:lineRule="auto"/>
              <w:rPr>
                <w:rFonts w:ascii="Times New Roman" w:hAnsi="Times New Roman" w:cs="Times New Roman"/>
                <w:color w:val="000000"/>
                <w:sz w:val="24"/>
                <w:szCs w:val="24"/>
              </w:rPr>
            </w:pPr>
            <w:r w:rsidRPr="004458FD">
              <w:rPr>
                <w:rFonts w:ascii="Times New Roman" w:hAnsi="Times New Roman" w:cs="Times New Roman"/>
                <w:color w:val="000000"/>
                <w:sz w:val="24"/>
                <w:szCs w:val="24"/>
              </w:rPr>
              <w:t xml:space="preserve">Saagikus; t/ha </w:t>
            </w:r>
          </w:p>
        </w:tc>
        <w:tc>
          <w:tcPr>
            <w:tcW w:w="1153" w:type="dxa"/>
            <w:tcBorders>
              <w:top w:val="nil"/>
              <w:left w:val="nil"/>
              <w:bottom w:val="nil"/>
              <w:right w:val="nil"/>
            </w:tcBorders>
            <w:shd w:val="clear" w:color="auto" w:fill="auto"/>
            <w:vAlign w:val="center"/>
          </w:tcPr>
          <w:p w:rsidR="00EA4C43" w:rsidRPr="004458FD" w:rsidRDefault="00EA4C43" w:rsidP="00926E6B">
            <w:pPr>
              <w:rPr>
                <w:rFonts w:ascii="Times New Roman" w:hAnsi="Times New Roman" w:cs="Times New Roman"/>
                <w:color w:val="000000"/>
                <w:sz w:val="24"/>
                <w:szCs w:val="24"/>
              </w:rPr>
            </w:pPr>
            <w:r w:rsidRPr="004458FD">
              <w:rPr>
                <w:rFonts w:ascii="Times New Roman" w:hAnsi="Times New Roman" w:cs="Times New Roman"/>
                <w:color w:val="000000"/>
                <w:sz w:val="24"/>
                <w:szCs w:val="24"/>
              </w:rPr>
              <w:t>Teravili</w:t>
            </w:r>
          </w:p>
        </w:tc>
        <w:tc>
          <w:tcPr>
            <w:tcW w:w="1843" w:type="dxa"/>
            <w:tcBorders>
              <w:top w:val="nil"/>
              <w:left w:val="single" w:sz="8" w:space="0" w:color="auto"/>
              <w:bottom w:val="nil"/>
              <w:right w:val="single" w:sz="8" w:space="0" w:color="auto"/>
            </w:tcBorders>
            <w:shd w:val="clear" w:color="auto" w:fill="auto"/>
            <w:vAlign w:val="center"/>
          </w:tcPr>
          <w:p w:rsidR="00EA4C43" w:rsidRPr="004458FD" w:rsidRDefault="00EA4C43" w:rsidP="00926E6B">
            <w:pPr>
              <w:jc w:val="center"/>
              <w:rPr>
                <w:rFonts w:ascii="Times New Roman" w:hAnsi="Times New Roman" w:cs="Times New Roman"/>
                <w:color w:val="000000"/>
                <w:sz w:val="24"/>
                <w:szCs w:val="24"/>
              </w:rPr>
            </w:pPr>
            <w:r w:rsidRPr="004458FD">
              <w:rPr>
                <w:rFonts w:ascii="Times New Roman" w:hAnsi="Times New Roman" w:cs="Times New Roman"/>
                <w:color w:val="000000"/>
                <w:sz w:val="24"/>
                <w:szCs w:val="24"/>
              </w:rPr>
              <w:t>2,9</w:t>
            </w:r>
          </w:p>
        </w:tc>
        <w:tc>
          <w:tcPr>
            <w:tcW w:w="1690" w:type="dxa"/>
            <w:tcBorders>
              <w:top w:val="nil"/>
              <w:left w:val="single" w:sz="8" w:space="0" w:color="auto"/>
              <w:bottom w:val="nil"/>
              <w:right w:val="single" w:sz="8" w:space="0" w:color="auto"/>
            </w:tcBorders>
            <w:shd w:val="clear" w:color="auto" w:fill="auto"/>
            <w:vAlign w:val="center"/>
          </w:tcPr>
          <w:p w:rsidR="00EA4C43" w:rsidRPr="004458FD" w:rsidRDefault="00EA4C43" w:rsidP="00926E6B">
            <w:pPr>
              <w:jc w:val="center"/>
              <w:rPr>
                <w:rFonts w:ascii="Times New Roman" w:hAnsi="Times New Roman" w:cs="Times New Roman"/>
                <w:color w:val="000000"/>
                <w:sz w:val="24"/>
                <w:szCs w:val="24"/>
              </w:rPr>
            </w:pPr>
            <w:r w:rsidRPr="004458FD">
              <w:rPr>
                <w:rFonts w:ascii="Times New Roman" w:hAnsi="Times New Roman" w:cs="Times New Roman"/>
                <w:color w:val="000000"/>
                <w:sz w:val="24"/>
                <w:szCs w:val="24"/>
              </w:rPr>
              <w:t>4,5</w:t>
            </w:r>
          </w:p>
        </w:tc>
      </w:tr>
      <w:tr w:rsidR="00EA4C43" w:rsidRPr="00BC7A5C" w:rsidTr="00EA4C43">
        <w:trPr>
          <w:trHeight w:val="295"/>
        </w:trPr>
        <w:tc>
          <w:tcPr>
            <w:tcW w:w="5008" w:type="dxa"/>
            <w:tcBorders>
              <w:top w:val="nil"/>
              <w:left w:val="single" w:sz="8" w:space="0" w:color="auto"/>
              <w:bottom w:val="single" w:sz="4" w:space="0" w:color="auto"/>
              <w:right w:val="nil"/>
            </w:tcBorders>
            <w:shd w:val="clear" w:color="auto" w:fill="auto"/>
            <w:vAlign w:val="center"/>
          </w:tcPr>
          <w:p w:rsidR="00EA4C43" w:rsidRPr="004458FD" w:rsidRDefault="00EA4C43" w:rsidP="005A5B65">
            <w:pPr>
              <w:spacing w:line="276" w:lineRule="auto"/>
              <w:rPr>
                <w:rFonts w:ascii="Times New Roman" w:hAnsi="Times New Roman" w:cs="Times New Roman"/>
                <w:color w:val="000000"/>
                <w:sz w:val="24"/>
                <w:szCs w:val="24"/>
              </w:rPr>
            </w:pPr>
            <w:r w:rsidRPr="004458FD">
              <w:rPr>
                <w:rFonts w:ascii="Times New Roman" w:hAnsi="Times New Roman" w:cs="Times New Roman"/>
                <w:color w:val="000000"/>
                <w:sz w:val="24"/>
                <w:szCs w:val="24"/>
              </w:rPr>
              <w:t>(Allikas: Statistikaamet)</w:t>
            </w:r>
          </w:p>
        </w:tc>
        <w:tc>
          <w:tcPr>
            <w:tcW w:w="1153" w:type="dxa"/>
            <w:tcBorders>
              <w:top w:val="nil"/>
              <w:left w:val="nil"/>
              <w:bottom w:val="single" w:sz="4" w:space="0" w:color="auto"/>
              <w:right w:val="nil"/>
            </w:tcBorders>
            <w:shd w:val="clear" w:color="auto" w:fill="auto"/>
            <w:vAlign w:val="center"/>
          </w:tcPr>
          <w:p w:rsidR="00EA4C43" w:rsidRPr="004458FD" w:rsidRDefault="00EA4C43" w:rsidP="00926E6B">
            <w:pPr>
              <w:rPr>
                <w:rFonts w:ascii="Times New Roman" w:hAnsi="Times New Roman" w:cs="Times New Roman"/>
                <w:color w:val="000000"/>
                <w:sz w:val="24"/>
                <w:szCs w:val="24"/>
              </w:rPr>
            </w:pPr>
            <w:r w:rsidRPr="004458FD">
              <w:rPr>
                <w:rFonts w:ascii="Times New Roman" w:hAnsi="Times New Roman" w:cs="Times New Roman"/>
                <w:color w:val="000000"/>
                <w:sz w:val="24"/>
                <w:szCs w:val="24"/>
              </w:rPr>
              <w:t>Raps</w:t>
            </w:r>
          </w:p>
        </w:tc>
        <w:tc>
          <w:tcPr>
            <w:tcW w:w="1843" w:type="dxa"/>
            <w:tcBorders>
              <w:top w:val="nil"/>
              <w:left w:val="single" w:sz="8" w:space="0" w:color="auto"/>
              <w:bottom w:val="single" w:sz="4" w:space="0" w:color="auto"/>
              <w:right w:val="single" w:sz="8" w:space="0" w:color="auto"/>
            </w:tcBorders>
            <w:shd w:val="clear" w:color="auto" w:fill="auto"/>
            <w:vAlign w:val="center"/>
          </w:tcPr>
          <w:p w:rsidR="00EA4C43" w:rsidRPr="004458FD" w:rsidRDefault="00EA4C43" w:rsidP="00926E6B">
            <w:pPr>
              <w:jc w:val="center"/>
              <w:rPr>
                <w:rFonts w:ascii="Times New Roman" w:hAnsi="Times New Roman" w:cs="Times New Roman"/>
                <w:color w:val="000000"/>
                <w:sz w:val="24"/>
                <w:szCs w:val="24"/>
              </w:rPr>
            </w:pPr>
            <w:r w:rsidRPr="004458FD">
              <w:rPr>
                <w:rFonts w:ascii="Times New Roman" w:hAnsi="Times New Roman" w:cs="Times New Roman"/>
                <w:color w:val="000000"/>
                <w:sz w:val="24"/>
                <w:szCs w:val="24"/>
              </w:rPr>
              <w:t>1,7</w:t>
            </w:r>
          </w:p>
        </w:tc>
        <w:tc>
          <w:tcPr>
            <w:tcW w:w="1690" w:type="dxa"/>
            <w:tcBorders>
              <w:top w:val="nil"/>
              <w:left w:val="single" w:sz="8" w:space="0" w:color="auto"/>
              <w:bottom w:val="single" w:sz="4" w:space="0" w:color="auto"/>
              <w:right w:val="single" w:sz="8" w:space="0" w:color="auto"/>
            </w:tcBorders>
            <w:shd w:val="clear" w:color="auto" w:fill="auto"/>
            <w:vAlign w:val="center"/>
          </w:tcPr>
          <w:p w:rsidR="00EA4C43" w:rsidRPr="004458FD" w:rsidRDefault="00EA4C43" w:rsidP="00926E6B">
            <w:pPr>
              <w:jc w:val="center"/>
              <w:rPr>
                <w:rFonts w:ascii="Times New Roman" w:hAnsi="Times New Roman" w:cs="Times New Roman"/>
                <w:color w:val="000000"/>
                <w:sz w:val="24"/>
                <w:szCs w:val="24"/>
              </w:rPr>
            </w:pPr>
            <w:r w:rsidRPr="004458FD">
              <w:rPr>
                <w:rFonts w:ascii="Times New Roman" w:hAnsi="Times New Roman" w:cs="Times New Roman"/>
                <w:color w:val="000000"/>
                <w:sz w:val="24"/>
                <w:szCs w:val="24"/>
              </w:rPr>
              <w:t>2,5</w:t>
            </w:r>
          </w:p>
        </w:tc>
      </w:tr>
      <w:tr w:rsidR="00EA4C43" w:rsidRPr="00BC7A5C" w:rsidTr="00EA4C43">
        <w:trPr>
          <w:trHeight w:val="403"/>
        </w:trPr>
        <w:tc>
          <w:tcPr>
            <w:tcW w:w="5008" w:type="dxa"/>
            <w:tcBorders>
              <w:top w:val="single" w:sz="4" w:space="0" w:color="auto"/>
              <w:left w:val="single" w:sz="4" w:space="0" w:color="auto"/>
              <w:bottom w:val="nil"/>
            </w:tcBorders>
            <w:shd w:val="clear" w:color="auto" w:fill="FEBCBC" w:themeFill="accent1" w:themeFillTint="33"/>
            <w:vAlign w:val="center"/>
            <w:hideMark/>
          </w:tcPr>
          <w:p w:rsidR="00EA4C43" w:rsidRPr="004458FD" w:rsidRDefault="00EA4C43" w:rsidP="005A5B65">
            <w:pPr>
              <w:spacing w:line="276" w:lineRule="auto"/>
              <w:rPr>
                <w:rFonts w:ascii="Times New Roman" w:hAnsi="Times New Roman" w:cs="Times New Roman"/>
                <w:b/>
                <w:bCs/>
                <w:color w:val="000000"/>
                <w:sz w:val="24"/>
                <w:szCs w:val="24"/>
                <w:u w:val="single"/>
              </w:rPr>
            </w:pPr>
            <w:r w:rsidRPr="004458FD">
              <w:rPr>
                <w:rFonts w:ascii="Times New Roman" w:hAnsi="Times New Roman" w:cs="Times New Roman"/>
                <w:b/>
                <w:bCs/>
                <w:color w:val="000000"/>
                <w:sz w:val="24"/>
                <w:szCs w:val="24"/>
                <w:u w:val="single"/>
              </w:rPr>
              <w:t>Mõõdik 6</w:t>
            </w:r>
          </w:p>
        </w:tc>
        <w:tc>
          <w:tcPr>
            <w:tcW w:w="1153" w:type="dxa"/>
            <w:tcBorders>
              <w:top w:val="single" w:sz="4" w:space="0" w:color="auto"/>
              <w:bottom w:val="nil"/>
              <w:right w:val="single" w:sz="4" w:space="0" w:color="auto"/>
            </w:tcBorders>
            <w:shd w:val="clear" w:color="auto" w:fill="FEBCBC" w:themeFill="accent1" w:themeFillTint="33"/>
            <w:vAlign w:val="center"/>
          </w:tcPr>
          <w:p w:rsidR="00EA4C43" w:rsidRPr="004458FD" w:rsidRDefault="00EA4C43" w:rsidP="00EB51B4">
            <w:pPr>
              <w:rPr>
                <w:rFonts w:ascii="Times New Roman" w:hAnsi="Times New Roman" w:cs="Times New Roman"/>
                <w:color w:val="000000"/>
                <w:sz w:val="24"/>
                <w:szCs w:val="24"/>
              </w:rPr>
            </w:pPr>
          </w:p>
        </w:tc>
        <w:tc>
          <w:tcPr>
            <w:tcW w:w="1843" w:type="dxa"/>
            <w:tcBorders>
              <w:top w:val="single" w:sz="4" w:space="0" w:color="auto"/>
              <w:left w:val="single" w:sz="4" w:space="0" w:color="auto"/>
              <w:bottom w:val="nil"/>
              <w:right w:val="single" w:sz="4" w:space="0" w:color="auto"/>
            </w:tcBorders>
            <w:shd w:val="clear" w:color="auto" w:fill="FEBCBC" w:themeFill="accent1" w:themeFillTint="33"/>
            <w:noWrap/>
            <w:vAlign w:val="center"/>
          </w:tcPr>
          <w:p w:rsidR="00EA4C43" w:rsidRPr="004458FD" w:rsidRDefault="00EA4C43" w:rsidP="00EB51B4">
            <w:pPr>
              <w:jc w:val="center"/>
              <w:rPr>
                <w:rFonts w:ascii="Times New Roman" w:hAnsi="Times New Roman" w:cs="Times New Roman"/>
                <w:color w:val="000000"/>
                <w:sz w:val="24"/>
                <w:szCs w:val="24"/>
              </w:rPr>
            </w:pPr>
          </w:p>
        </w:tc>
        <w:tc>
          <w:tcPr>
            <w:tcW w:w="1690" w:type="dxa"/>
            <w:tcBorders>
              <w:top w:val="single" w:sz="4" w:space="0" w:color="auto"/>
              <w:left w:val="single" w:sz="4" w:space="0" w:color="auto"/>
              <w:bottom w:val="nil"/>
              <w:right w:val="single" w:sz="4" w:space="0" w:color="auto"/>
            </w:tcBorders>
            <w:shd w:val="clear" w:color="auto" w:fill="FEBCBC" w:themeFill="accent1" w:themeFillTint="33"/>
            <w:noWrap/>
            <w:vAlign w:val="center"/>
          </w:tcPr>
          <w:p w:rsidR="00EA4C43" w:rsidRPr="004458FD" w:rsidRDefault="00EA4C43" w:rsidP="00EB51B4">
            <w:pPr>
              <w:jc w:val="center"/>
              <w:rPr>
                <w:rFonts w:ascii="Times New Roman" w:hAnsi="Times New Roman" w:cs="Times New Roman"/>
                <w:color w:val="000000"/>
                <w:sz w:val="24"/>
                <w:szCs w:val="24"/>
              </w:rPr>
            </w:pPr>
          </w:p>
        </w:tc>
      </w:tr>
      <w:tr w:rsidR="00EA4C43" w:rsidRPr="00BC7A5C" w:rsidTr="00EA4C43">
        <w:trPr>
          <w:trHeight w:val="263"/>
        </w:trPr>
        <w:tc>
          <w:tcPr>
            <w:tcW w:w="5008" w:type="dxa"/>
            <w:tcBorders>
              <w:top w:val="nil"/>
              <w:left w:val="single" w:sz="4" w:space="0" w:color="auto"/>
            </w:tcBorders>
            <w:shd w:val="clear" w:color="auto" w:fill="FEBCBC" w:themeFill="accent1" w:themeFillTint="33"/>
            <w:vAlign w:val="center"/>
            <w:hideMark/>
          </w:tcPr>
          <w:p w:rsidR="00EA4C43" w:rsidRPr="004458FD" w:rsidRDefault="00EA4C43" w:rsidP="005A5B65">
            <w:pPr>
              <w:spacing w:line="276" w:lineRule="auto"/>
              <w:rPr>
                <w:rFonts w:ascii="Times New Roman" w:hAnsi="Times New Roman" w:cs="Times New Roman"/>
                <w:color w:val="000000"/>
                <w:sz w:val="24"/>
                <w:szCs w:val="24"/>
              </w:rPr>
            </w:pPr>
            <w:r w:rsidRPr="004458FD">
              <w:rPr>
                <w:rFonts w:ascii="Times New Roman" w:hAnsi="Times New Roman" w:cs="Times New Roman"/>
                <w:color w:val="000000"/>
                <w:sz w:val="24"/>
                <w:szCs w:val="24"/>
              </w:rPr>
              <w:t xml:space="preserve">Saak; tuh t </w:t>
            </w:r>
          </w:p>
        </w:tc>
        <w:tc>
          <w:tcPr>
            <w:tcW w:w="1153" w:type="dxa"/>
            <w:tcBorders>
              <w:top w:val="nil"/>
              <w:right w:val="single" w:sz="4" w:space="0" w:color="auto"/>
            </w:tcBorders>
            <w:shd w:val="clear" w:color="auto" w:fill="FEBCBC" w:themeFill="accent1" w:themeFillTint="33"/>
            <w:vAlign w:val="center"/>
          </w:tcPr>
          <w:p w:rsidR="00EA4C43" w:rsidRPr="004458FD" w:rsidRDefault="00EA4C43" w:rsidP="00926E6B">
            <w:pPr>
              <w:rPr>
                <w:rFonts w:ascii="Times New Roman" w:hAnsi="Times New Roman" w:cs="Times New Roman"/>
                <w:color w:val="000000"/>
                <w:sz w:val="24"/>
                <w:szCs w:val="24"/>
              </w:rPr>
            </w:pPr>
            <w:r w:rsidRPr="004458FD">
              <w:rPr>
                <w:rFonts w:ascii="Times New Roman" w:hAnsi="Times New Roman" w:cs="Times New Roman"/>
                <w:color w:val="000000"/>
                <w:sz w:val="24"/>
                <w:szCs w:val="24"/>
              </w:rPr>
              <w:t>Teravili</w:t>
            </w:r>
          </w:p>
        </w:tc>
        <w:tc>
          <w:tcPr>
            <w:tcW w:w="1843" w:type="dxa"/>
            <w:tcBorders>
              <w:top w:val="nil"/>
              <w:left w:val="single" w:sz="4" w:space="0" w:color="auto"/>
              <w:right w:val="single" w:sz="4" w:space="0" w:color="auto"/>
            </w:tcBorders>
            <w:shd w:val="clear" w:color="auto" w:fill="FEBCBC" w:themeFill="accent1" w:themeFillTint="33"/>
            <w:vAlign w:val="center"/>
          </w:tcPr>
          <w:p w:rsidR="00EA4C43" w:rsidRPr="004458FD" w:rsidRDefault="00EA4C43" w:rsidP="00926E6B">
            <w:pPr>
              <w:jc w:val="center"/>
              <w:rPr>
                <w:rFonts w:ascii="Times New Roman" w:hAnsi="Times New Roman" w:cs="Times New Roman"/>
                <w:color w:val="000000"/>
                <w:sz w:val="24"/>
                <w:szCs w:val="24"/>
              </w:rPr>
            </w:pPr>
            <w:r w:rsidRPr="004458FD">
              <w:rPr>
                <w:rFonts w:ascii="Times New Roman" w:hAnsi="Times New Roman" w:cs="Times New Roman"/>
                <w:color w:val="000000"/>
                <w:sz w:val="24"/>
                <w:szCs w:val="24"/>
              </w:rPr>
              <w:t>855</w:t>
            </w:r>
          </w:p>
        </w:tc>
        <w:tc>
          <w:tcPr>
            <w:tcW w:w="1690" w:type="dxa"/>
            <w:tcBorders>
              <w:top w:val="nil"/>
              <w:left w:val="single" w:sz="4" w:space="0" w:color="auto"/>
              <w:right w:val="single" w:sz="4" w:space="0" w:color="auto"/>
            </w:tcBorders>
            <w:shd w:val="clear" w:color="auto" w:fill="FEBCBC" w:themeFill="accent1" w:themeFillTint="33"/>
            <w:vAlign w:val="center"/>
          </w:tcPr>
          <w:p w:rsidR="00EA4C43" w:rsidRPr="004458FD" w:rsidRDefault="00EA4C43" w:rsidP="00926E6B">
            <w:pPr>
              <w:jc w:val="center"/>
              <w:rPr>
                <w:rFonts w:ascii="Times New Roman" w:hAnsi="Times New Roman" w:cs="Times New Roman"/>
                <w:color w:val="000000"/>
                <w:sz w:val="24"/>
                <w:szCs w:val="24"/>
              </w:rPr>
            </w:pPr>
            <w:r w:rsidRPr="004458FD">
              <w:rPr>
                <w:rFonts w:ascii="Times New Roman" w:hAnsi="Times New Roman" w:cs="Times New Roman"/>
                <w:color w:val="000000"/>
                <w:sz w:val="24"/>
                <w:szCs w:val="24"/>
              </w:rPr>
              <w:t>1475</w:t>
            </w:r>
          </w:p>
        </w:tc>
      </w:tr>
      <w:tr w:rsidR="00EA4C43" w:rsidRPr="00BC7A5C" w:rsidTr="00EA4C43">
        <w:trPr>
          <w:trHeight w:val="344"/>
        </w:trPr>
        <w:tc>
          <w:tcPr>
            <w:tcW w:w="5008" w:type="dxa"/>
            <w:tcBorders>
              <w:top w:val="nil"/>
              <w:left w:val="single" w:sz="4" w:space="0" w:color="auto"/>
              <w:bottom w:val="single" w:sz="4" w:space="0" w:color="auto"/>
            </w:tcBorders>
            <w:shd w:val="clear" w:color="auto" w:fill="FEBCBC" w:themeFill="accent1" w:themeFillTint="33"/>
            <w:vAlign w:val="center"/>
          </w:tcPr>
          <w:p w:rsidR="00EA4C43" w:rsidRPr="004458FD" w:rsidRDefault="00EA4C43" w:rsidP="005A5B65">
            <w:pPr>
              <w:spacing w:line="276" w:lineRule="auto"/>
              <w:rPr>
                <w:rFonts w:ascii="Times New Roman" w:hAnsi="Times New Roman" w:cs="Times New Roman"/>
                <w:color w:val="000000"/>
                <w:sz w:val="24"/>
                <w:szCs w:val="24"/>
              </w:rPr>
            </w:pPr>
            <w:r w:rsidRPr="004458FD">
              <w:rPr>
                <w:rFonts w:ascii="Times New Roman" w:hAnsi="Times New Roman" w:cs="Times New Roman"/>
                <w:color w:val="000000"/>
                <w:sz w:val="24"/>
                <w:szCs w:val="24"/>
              </w:rPr>
              <w:t>(Allikas: Statistikaamet)</w:t>
            </w:r>
          </w:p>
        </w:tc>
        <w:tc>
          <w:tcPr>
            <w:tcW w:w="1153" w:type="dxa"/>
            <w:tcBorders>
              <w:top w:val="nil"/>
              <w:bottom w:val="single" w:sz="4" w:space="0" w:color="auto"/>
              <w:right w:val="single" w:sz="4" w:space="0" w:color="auto"/>
            </w:tcBorders>
            <w:shd w:val="clear" w:color="auto" w:fill="FEBCBC" w:themeFill="accent1" w:themeFillTint="33"/>
            <w:vAlign w:val="center"/>
          </w:tcPr>
          <w:p w:rsidR="00EA4C43" w:rsidRPr="004458FD" w:rsidRDefault="00EA4C43" w:rsidP="00926E6B">
            <w:pPr>
              <w:rPr>
                <w:rFonts w:ascii="Times New Roman" w:hAnsi="Times New Roman" w:cs="Times New Roman"/>
                <w:color w:val="000000"/>
                <w:sz w:val="24"/>
                <w:szCs w:val="24"/>
              </w:rPr>
            </w:pPr>
            <w:r w:rsidRPr="004458FD">
              <w:rPr>
                <w:rFonts w:ascii="Times New Roman" w:hAnsi="Times New Roman" w:cs="Times New Roman"/>
                <w:color w:val="000000"/>
                <w:sz w:val="24"/>
                <w:szCs w:val="24"/>
              </w:rPr>
              <w:t>Raps</w:t>
            </w:r>
          </w:p>
        </w:tc>
        <w:tc>
          <w:tcPr>
            <w:tcW w:w="1843" w:type="dxa"/>
            <w:tcBorders>
              <w:top w:val="nil"/>
              <w:left w:val="single" w:sz="4" w:space="0" w:color="auto"/>
              <w:bottom w:val="single" w:sz="4" w:space="0" w:color="auto"/>
              <w:right w:val="single" w:sz="4" w:space="0" w:color="auto"/>
            </w:tcBorders>
            <w:shd w:val="clear" w:color="auto" w:fill="FEBCBC" w:themeFill="accent1" w:themeFillTint="33"/>
            <w:vAlign w:val="center"/>
          </w:tcPr>
          <w:p w:rsidR="00EA4C43" w:rsidRPr="004458FD" w:rsidRDefault="00EA4C43" w:rsidP="00926E6B">
            <w:pPr>
              <w:jc w:val="center"/>
              <w:rPr>
                <w:rFonts w:ascii="Times New Roman" w:hAnsi="Times New Roman" w:cs="Times New Roman"/>
                <w:color w:val="000000"/>
                <w:sz w:val="24"/>
                <w:szCs w:val="24"/>
              </w:rPr>
            </w:pPr>
            <w:r w:rsidRPr="004458FD">
              <w:rPr>
                <w:rFonts w:ascii="Times New Roman" w:hAnsi="Times New Roman" w:cs="Times New Roman"/>
                <w:color w:val="000000"/>
                <w:sz w:val="24"/>
                <w:szCs w:val="24"/>
              </w:rPr>
              <w:t>149</w:t>
            </w:r>
          </w:p>
        </w:tc>
        <w:tc>
          <w:tcPr>
            <w:tcW w:w="1690" w:type="dxa"/>
            <w:tcBorders>
              <w:top w:val="nil"/>
              <w:left w:val="single" w:sz="4" w:space="0" w:color="auto"/>
              <w:bottom w:val="single" w:sz="4" w:space="0" w:color="auto"/>
              <w:right w:val="single" w:sz="4" w:space="0" w:color="auto"/>
            </w:tcBorders>
            <w:shd w:val="clear" w:color="auto" w:fill="FEBCBC" w:themeFill="accent1" w:themeFillTint="33"/>
            <w:vAlign w:val="center"/>
          </w:tcPr>
          <w:p w:rsidR="00EA4C43" w:rsidRPr="004458FD" w:rsidRDefault="00EA4C43" w:rsidP="00926E6B">
            <w:pPr>
              <w:jc w:val="center"/>
              <w:rPr>
                <w:rFonts w:ascii="Times New Roman" w:hAnsi="Times New Roman" w:cs="Times New Roman"/>
                <w:color w:val="000000"/>
                <w:sz w:val="24"/>
                <w:szCs w:val="24"/>
              </w:rPr>
            </w:pPr>
            <w:r w:rsidRPr="004458FD">
              <w:rPr>
                <w:rFonts w:ascii="Times New Roman" w:hAnsi="Times New Roman" w:cs="Times New Roman"/>
                <w:color w:val="000000"/>
                <w:sz w:val="24"/>
                <w:szCs w:val="24"/>
              </w:rPr>
              <w:t>240</w:t>
            </w:r>
          </w:p>
        </w:tc>
      </w:tr>
      <w:tr w:rsidR="00EA4C43" w:rsidRPr="00BC7A5C" w:rsidTr="00EA4C43">
        <w:trPr>
          <w:trHeight w:val="347"/>
        </w:trPr>
        <w:tc>
          <w:tcPr>
            <w:tcW w:w="5008" w:type="dxa"/>
            <w:tcBorders>
              <w:top w:val="single" w:sz="4" w:space="0" w:color="auto"/>
              <w:left w:val="single" w:sz="4" w:space="0" w:color="auto"/>
            </w:tcBorders>
            <w:shd w:val="clear" w:color="auto" w:fill="FFFFFF" w:themeFill="background1"/>
            <w:vAlign w:val="center"/>
            <w:hideMark/>
          </w:tcPr>
          <w:p w:rsidR="00EA4C43" w:rsidRPr="004458FD" w:rsidRDefault="00EA4C43" w:rsidP="005A5B65">
            <w:pPr>
              <w:spacing w:line="276" w:lineRule="auto"/>
              <w:rPr>
                <w:rFonts w:ascii="Times New Roman" w:hAnsi="Times New Roman" w:cs="Times New Roman"/>
                <w:color w:val="000000"/>
                <w:sz w:val="24"/>
                <w:szCs w:val="24"/>
              </w:rPr>
            </w:pPr>
            <w:r w:rsidRPr="00DF7591">
              <w:rPr>
                <w:rFonts w:ascii="Times New Roman" w:hAnsi="Times New Roman" w:cs="Times New Roman"/>
                <w:b/>
                <w:color w:val="000000"/>
                <w:sz w:val="24"/>
                <w:szCs w:val="24"/>
                <w:u w:val="single"/>
              </w:rPr>
              <w:t>Mõõdik 7</w:t>
            </w:r>
          </w:p>
        </w:tc>
        <w:tc>
          <w:tcPr>
            <w:tcW w:w="1153" w:type="dxa"/>
            <w:tcBorders>
              <w:top w:val="single" w:sz="4" w:space="0" w:color="auto"/>
              <w:right w:val="single" w:sz="4" w:space="0" w:color="auto"/>
            </w:tcBorders>
            <w:shd w:val="clear" w:color="auto" w:fill="FFFFFF" w:themeFill="background1"/>
            <w:vAlign w:val="center"/>
          </w:tcPr>
          <w:p w:rsidR="00EA4C43" w:rsidRPr="004458FD" w:rsidRDefault="00EA4C43" w:rsidP="0050571B">
            <w:pPr>
              <w:rPr>
                <w:rFonts w:ascii="Times New Roman" w:hAnsi="Times New Roman" w:cs="Times New Roman"/>
                <w:color w:val="000000"/>
                <w:sz w:val="24"/>
                <w:szCs w:val="24"/>
              </w:rPr>
            </w:pPr>
          </w:p>
        </w:tc>
        <w:tc>
          <w:tcPr>
            <w:tcW w:w="1843" w:type="dxa"/>
            <w:tcBorders>
              <w:top w:val="single" w:sz="4" w:space="0" w:color="auto"/>
              <w:left w:val="single" w:sz="4" w:space="0" w:color="auto"/>
              <w:right w:val="single" w:sz="4" w:space="0" w:color="auto"/>
            </w:tcBorders>
            <w:shd w:val="clear" w:color="auto" w:fill="FFFFFF" w:themeFill="background1"/>
            <w:vAlign w:val="center"/>
          </w:tcPr>
          <w:p w:rsidR="00EA4C43" w:rsidRPr="004458FD" w:rsidRDefault="00EA4C43" w:rsidP="0050571B">
            <w:pPr>
              <w:jc w:val="center"/>
              <w:rPr>
                <w:rFonts w:ascii="Times New Roman" w:hAnsi="Times New Roman" w:cs="Times New Roman"/>
                <w:color w:val="000000"/>
                <w:sz w:val="24"/>
                <w:szCs w:val="24"/>
              </w:rPr>
            </w:pPr>
          </w:p>
        </w:tc>
        <w:tc>
          <w:tcPr>
            <w:tcW w:w="1690" w:type="dxa"/>
            <w:tcBorders>
              <w:top w:val="single" w:sz="4" w:space="0" w:color="auto"/>
              <w:left w:val="single" w:sz="4" w:space="0" w:color="auto"/>
              <w:right w:val="single" w:sz="4" w:space="0" w:color="auto"/>
            </w:tcBorders>
            <w:shd w:val="clear" w:color="auto" w:fill="FFFFFF" w:themeFill="background1"/>
            <w:vAlign w:val="center"/>
          </w:tcPr>
          <w:p w:rsidR="00EA4C43" w:rsidRPr="004458FD" w:rsidRDefault="00EA4C43" w:rsidP="0050571B">
            <w:pPr>
              <w:jc w:val="center"/>
              <w:rPr>
                <w:rFonts w:ascii="Times New Roman" w:hAnsi="Times New Roman" w:cs="Times New Roman"/>
                <w:color w:val="000000"/>
                <w:sz w:val="24"/>
                <w:szCs w:val="24"/>
              </w:rPr>
            </w:pPr>
          </w:p>
        </w:tc>
      </w:tr>
      <w:tr w:rsidR="00EA4C43" w:rsidRPr="00BC7A5C" w:rsidTr="005A702C">
        <w:trPr>
          <w:trHeight w:val="735"/>
        </w:trPr>
        <w:tc>
          <w:tcPr>
            <w:tcW w:w="5008" w:type="dxa"/>
            <w:tcBorders>
              <w:left w:val="single" w:sz="4" w:space="0" w:color="auto"/>
              <w:bottom w:val="single" w:sz="4" w:space="0" w:color="auto"/>
            </w:tcBorders>
            <w:shd w:val="clear" w:color="auto" w:fill="FFFFFF" w:themeFill="background1"/>
            <w:vAlign w:val="center"/>
          </w:tcPr>
          <w:p w:rsidR="00EA4C43" w:rsidRPr="00DF7591" w:rsidRDefault="00EA4C43" w:rsidP="005A5B65">
            <w:pPr>
              <w:spacing w:line="276" w:lineRule="auto"/>
              <w:rPr>
                <w:rFonts w:ascii="Times New Roman" w:hAnsi="Times New Roman" w:cs="Times New Roman"/>
                <w:b/>
                <w:color w:val="000000"/>
                <w:sz w:val="24"/>
                <w:szCs w:val="24"/>
                <w:u w:val="single"/>
              </w:rPr>
            </w:pPr>
            <w:r w:rsidRPr="004458FD">
              <w:rPr>
                <w:rFonts w:ascii="Times New Roman" w:hAnsi="Times New Roman" w:cs="Times New Roman"/>
                <w:color w:val="000000"/>
                <w:sz w:val="24"/>
                <w:szCs w:val="24"/>
              </w:rPr>
              <w:t>Positiivse ettevõtjatuluga ettevõtete osatähtsus</w:t>
            </w:r>
            <w:r w:rsidRPr="004458FD">
              <w:rPr>
                <w:rStyle w:val="FootnoteReference"/>
                <w:rFonts w:ascii="Times New Roman" w:hAnsi="Times New Roman" w:cs="Times New Roman"/>
                <w:color w:val="000000"/>
                <w:sz w:val="24"/>
                <w:szCs w:val="24"/>
              </w:rPr>
              <w:footnoteReference w:id="5"/>
            </w:r>
            <w:r w:rsidRPr="004458FD">
              <w:rPr>
                <w:rFonts w:ascii="Times New Roman" w:hAnsi="Times New Roman" w:cs="Times New Roman"/>
                <w:color w:val="000000"/>
                <w:sz w:val="24"/>
                <w:szCs w:val="24"/>
              </w:rPr>
              <w:t>; % (Allikas FADN)</w:t>
            </w:r>
          </w:p>
        </w:tc>
        <w:tc>
          <w:tcPr>
            <w:tcW w:w="1153" w:type="dxa"/>
            <w:tcBorders>
              <w:bottom w:val="single" w:sz="4" w:space="0" w:color="auto"/>
              <w:right w:val="single" w:sz="4" w:space="0" w:color="auto"/>
            </w:tcBorders>
            <w:shd w:val="clear" w:color="auto" w:fill="FFFFFF" w:themeFill="background1"/>
            <w:vAlign w:val="center"/>
          </w:tcPr>
          <w:p w:rsidR="00EA4C43" w:rsidRPr="004458FD" w:rsidRDefault="00EA4C43" w:rsidP="0050571B">
            <w:pPr>
              <w:rPr>
                <w:rFonts w:ascii="Times New Roman" w:hAnsi="Times New Roman" w:cs="Times New Roman"/>
                <w:color w:val="000000"/>
                <w:sz w:val="24"/>
                <w:szCs w:val="24"/>
              </w:rPr>
            </w:pPr>
          </w:p>
        </w:tc>
        <w:tc>
          <w:tcPr>
            <w:tcW w:w="1843" w:type="dxa"/>
            <w:tcBorders>
              <w:left w:val="single" w:sz="4" w:space="0" w:color="auto"/>
              <w:bottom w:val="single" w:sz="4" w:space="0" w:color="auto"/>
              <w:right w:val="single" w:sz="4" w:space="0" w:color="auto"/>
            </w:tcBorders>
            <w:shd w:val="clear" w:color="auto" w:fill="FFFFFF" w:themeFill="background1"/>
          </w:tcPr>
          <w:p w:rsidR="00EA4C43" w:rsidRPr="004458FD" w:rsidRDefault="00EA4C43" w:rsidP="005A702C">
            <w:pPr>
              <w:jc w:val="center"/>
              <w:rPr>
                <w:rFonts w:ascii="Times New Roman" w:hAnsi="Times New Roman" w:cs="Times New Roman"/>
                <w:color w:val="000000"/>
                <w:sz w:val="24"/>
                <w:szCs w:val="24"/>
              </w:rPr>
            </w:pPr>
            <w:r w:rsidRPr="004458FD">
              <w:rPr>
                <w:rFonts w:ascii="Times New Roman" w:hAnsi="Times New Roman" w:cs="Times New Roman"/>
                <w:color w:val="000000"/>
                <w:sz w:val="24"/>
                <w:szCs w:val="24"/>
              </w:rPr>
              <w:t>84</w:t>
            </w:r>
          </w:p>
        </w:tc>
        <w:tc>
          <w:tcPr>
            <w:tcW w:w="1690" w:type="dxa"/>
            <w:tcBorders>
              <w:left w:val="single" w:sz="4" w:space="0" w:color="auto"/>
              <w:bottom w:val="single" w:sz="4" w:space="0" w:color="auto"/>
              <w:right w:val="single" w:sz="4" w:space="0" w:color="auto"/>
            </w:tcBorders>
            <w:shd w:val="clear" w:color="auto" w:fill="FFFFFF" w:themeFill="background1"/>
          </w:tcPr>
          <w:p w:rsidR="00EA4C43" w:rsidRPr="004458FD" w:rsidRDefault="00EA4C43" w:rsidP="005A702C">
            <w:pPr>
              <w:jc w:val="center"/>
              <w:rPr>
                <w:rFonts w:ascii="Times New Roman" w:hAnsi="Times New Roman" w:cs="Times New Roman"/>
                <w:color w:val="000000"/>
                <w:sz w:val="24"/>
                <w:szCs w:val="24"/>
              </w:rPr>
            </w:pPr>
            <w:r w:rsidRPr="004458FD">
              <w:rPr>
                <w:rFonts w:ascii="Times New Roman" w:hAnsi="Times New Roman" w:cs="Times New Roman"/>
                <w:color w:val="000000"/>
                <w:sz w:val="24"/>
                <w:szCs w:val="24"/>
              </w:rPr>
              <w:t>90</w:t>
            </w:r>
          </w:p>
        </w:tc>
      </w:tr>
      <w:tr w:rsidR="00EA4C43" w:rsidRPr="00BC7A5C" w:rsidTr="00847393">
        <w:trPr>
          <w:trHeight w:val="391"/>
        </w:trPr>
        <w:tc>
          <w:tcPr>
            <w:tcW w:w="5008" w:type="dxa"/>
            <w:tcBorders>
              <w:top w:val="single" w:sz="4" w:space="0" w:color="auto"/>
              <w:left w:val="single" w:sz="4" w:space="0" w:color="auto"/>
            </w:tcBorders>
            <w:shd w:val="clear" w:color="auto" w:fill="FEBCBC" w:themeFill="accent1" w:themeFillTint="33"/>
            <w:vAlign w:val="center"/>
            <w:hideMark/>
          </w:tcPr>
          <w:p w:rsidR="00EA4C43" w:rsidRPr="004458FD" w:rsidRDefault="00EA4C43" w:rsidP="005A5B65">
            <w:pPr>
              <w:spacing w:line="276" w:lineRule="auto"/>
              <w:rPr>
                <w:rFonts w:ascii="Times New Roman" w:hAnsi="Times New Roman" w:cs="Times New Roman"/>
                <w:color w:val="000000"/>
                <w:sz w:val="24"/>
                <w:szCs w:val="24"/>
              </w:rPr>
            </w:pPr>
            <w:r w:rsidRPr="00DF7591">
              <w:rPr>
                <w:rFonts w:ascii="Times New Roman" w:hAnsi="Times New Roman" w:cs="Times New Roman"/>
                <w:b/>
                <w:color w:val="000000"/>
                <w:sz w:val="24"/>
                <w:szCs w:val="24"/>
                <w:u w:val="single"/>
              </w:rPr>
              <w:t>Mõõdik 8</w:t>
            </w:r>
          </w:p>
        </w:tc>
        <w:tc>
          <w:tcPr>
            <w:tcW w:w="1153" w:type="dxa"/>
            <w:tcBorders>
              <w:top w:val="single" w:sz="4" w:space="0" w:color="auto"/>
              <w:right w:val="single" w:sz="4" w:space="0" w:color="auto"/>
            </w:tcBorders>
            <w:shd w:val="clear" w:color="auto" w:fill="FEBCBC" w:themeFill="accent1" w:themeFillTint="33"/>
            <w:vAlign w:val="center"/>
          </w:tcPr>
          <w:p w:rsidR="00EA4C43" w:rsidRPr="004458FD" w:rsidRDefault="00EA4C43" w:rsidP="0050571B">
            <w:pPr>
              <w:rPr>
                <w:rFonts w:ascii="Times New Roman" w:hAnsi="Times New Roman" w:cs="Times New Roman"/>
                <w:color w:val="000000"/>
                <w:sz w:val="24"/>
                <w:szCs w:val="24"/>
              </w:rPr>
            </w:pPr>
          </w:p>
        </w:tc>
        <w:tc>
          <w:tcPr>
            <w:tcW w:w="1843" w:type="dxa"/>
            <w:tcBorders>
              <w:top w:val="single" w:sz="4" w:space="0" w:color="auto"/>
              <w:left w:val="single" w:sz="4" w:space="0" w:color="auto"/>
              <w:right w:val="single" w:sz="4" w:space="0" w:color="auto"/>
            </w:tcBorders>
            <w:shd w:val="clear" w:color="auto" w:fill="FEBCBC" w:themeFill="accent1" w:themeFillTint="33"/>
            <w:vAlign w:val="center"/>
          </w:tcPr>
          <w:p w:rsidR="00EA4C43" w:rsidRPr="004458FD" w:rsidRDefault="00EA4C43" w:rsidP="0050571B">
            <w:pPr>
              <w:jc w:val="center"/>
              <w:rPr>
                <w:rFonts w:ascii="Times New Roman" w:hAnsi="Times New Roman" w:cs="Times New Roman"/>
                <w:color w:val="000000"/>
                <w:sz w:val="24"/>
                <w:szCs w:val="24"/>
              </w:rPr>
            </w:pPr>
          </w:p>
        </w:tc>
        <w:tc>
          <w:tcPr>
            <w:tcW w:w="1690" w:type="dxa"/>
            <w:tcBorders>
              <w:top w:val="single" w:sz="4" w:space="0" w:color="auto"/>
              <w:left w:val="single" w:sz="4" w:space="0" w:color="auto"/>
              <w:right w:val="single" w:sz="4" w:space="0" w:color="auto"/>
            </w:tcBorders>
            <w:shd w:val="clear" w:color="auto" w:fill="FEBCBC" w:themeFill="accent1" w:themeFillTint="33"/>
            <w:vAlign w:val="center"/>
          </w:tcPr>
          <w:p w:rsidR="00EA4C43" w:rsidRPr="004458FD" w:rsidRDefault="00EA4C43" w:rsidP="0050571B">
            <w:pPr>
              <w:jc w:val="center"/>
              <w:rPr>
                <w:rFonts w:ascii="Times New Roman" w:hAnsi="Times New Roman" w:cs="Times New Roman"/>
                <w:color w:val="000000"/>
                <w:sz w:val="24"/>
                <w:szCs w:val="24"/>
              </w:rPr>
            </w:pPr>
          </w:p>
        </w:tc>
      </w:tr>
      <w:tr w:rsidR="00EA4C43" w:rsidRPr="00BC7A5C" w:rsidTr="005A702C">
        <w:trPr>
          <w:trHeight w:val="735"/>
        </w:trPr>
        <w:tc>
          <w:tcPr>
            <w:tcW w:w="5008" w:type="dxa"/>
            <w:tcBorders>
              <w:left w:val="single" w:sz="4" w:space="0" w:color="auto"/>
              <w:bottom w:val="single" w:sz="4" w:space="0" w:color="auto"/>
            </w:tcBorders>
            <w:shd w:val="clear" w:color="auto" w:fill="FEBCBC" w:themeFill="accent1" w:themeFillTint="33"/>
            <w:vAlign w:val="center"/>
          </w:tcPr>
          <w:p w:rsidR="00EA4C43" w:rsidRDefault="00EA4C43" w:rsidP="005A5B65">
            <w:pPr>
              <w:spacing w:line="276" w:lineRule="auto"/>
              <w:rPr>
                <w:rFonts w:ascii="Times New Roman" w:hAnsi="Times New Roman" w:cs="Times New Roman"/>
                <w:color w:val="000000"/>
                <w:sz w:val="24"/>
                <w:szCs w:val="24"/>
              </w:rPr>
            </w:pPr>
            <w:r w:rsidRPr="004458FD">
              <w:rPr>
                <w:rFonts w:ascii="Times New Roman" w:hAnsi="Times New Roman" w:cs="Times New Roman"/>
                <w:color w:val="000000"/>
                <w:sz w:val="24"/>
                <w:szCs w:val="24"/>
              </w:rPr>
              <w:t>Jätkusuutlike ettevõtete osatähtsus</w:t>
            </w:r>
            <w:r w:rsidRPr="004458FD">
              <w:rPr>
                <w:rStyle w:val="FootnoteReference"/>
                <w:rFonts w:ascii="Times New Roman" w:hAnsi="Times New Roman" w:cs="Times New Roman"/>
                <w:color w:val="000000"/>
                <w:sz w:val="24"/>
                <w:szCs w:val="24"/>
              </w:rPr>
              <w:footnoteReference w:id="6"/>
            </w:r>
            <w:r w:rsidRPr="004458FD">
              <w:rPr>
                <w:rFonts w:ascii="Times New Roman" w:hAnsi="Times New Roman" w:cs="Times New Roman"/>
                <w:color w:val="000000"/>
                <w:sz w:val="24"/>
                <w:szCs w:val="24"/>
              </w:rPr>
              <w:t xml:space="preserve">; % </w:t>
            </w:r>
          </w:p>
          <w:p w:rsidR="00EA4C43" w:rsidRPr="00DF7591" w:rsidRDefault="00EA4C43" w:rsidP="005A5B65">
            <w:pPr>
              <w:spacing w:line="276" w:lineRule="auto"/>
              <w:rPr>
                <w:rFonts w:ascii="Times New Roman" w:hAnsi="Times New Roman" w:cs="Times New Roman"/>
                <w:b/>
                <w:color w:val="000000"/>
                <w:sz w:val="24"/>
                <w:szCs w:val="24"/>
                <w:u w:val="single"/>
              </w:rPr>
            </w:pPr>
            <w:r w:rsidRPr="004458FD">
              <w:rPr>
                <w:rFonts w:ascii="Times New Roman" w:hAnsi="Times New Roman" w:cs="Times New Roman"/>
                <w:color w:val="000000"/>
                <w:sz w:val="24"/>
                <w:szCs w:val="24"/>
              </w:rPr>
              <w:t>(Allikas FADN)</w:t>
            </w:r>
          </w:p>
        </w:tc>
        <w:tc>
          <w:tcPr>
            <w:tcW w:w="1153" w:type="dxa"/>
            <w:tcBorders>
              <w:bottom w:val="single" w:sz="4" w:space="0" w:color="auto"/>
              <w:right w:val="single" w:sz="4" w:space="0" w:color="auto"/>
            </w:tcBorders>
            <w:shd w:val="clear" w:color="auto" w:fill="FEBCBC" w:themeFill="accent1" w:themeFillTint="33"/>
            <w:vAlign w:val="center"/>
          </w:tcPr>
          <w:p w:rsidR="00EA4C43" w:rsidRPr="004458FD" w:rsidRDefault="00EA4C43" w:rsidP="0050571B">
            <w:pPr>
              <w:rPr>
                <w:rFonts w:ascii="Times New Roman" w:hAnsi="Times New Roman" w:cs="Times New Roman"/>
                <w:color w:val="000000"/>
                <w:sz w:val="24"/>
                <w:szCs w:val="24"/>
              </w:rPr>
            </w:pPr>
          </w:p>
        </w:tc>
        <w:tc>
          <w:tcPr>
            <w:tcW w:w="1843" w:type="dxa"/>
            <w:tcBorders>
              <w:left w:val="single" w:sz="4" w:space="0" w:color="auto"/>
              <w:bottom w:val="single" w:sz="4" w:space="0" w:color="auto"/>
              <w:right w:val="single" w:sz="4" w:space="0" w:color="auto"/>
            </w:tcBorders>
            <w:shd w:val="clear" w:color="auto" w:fill="FEBCBC" w:themeFill="accent1" w:themeFillTint="33"/>
          </w:tcPr>
          <w:p w:rsidR="00EA4C43" w:rsidRPr="004458FD" w:rsidRDefault="00EA4C43" w:rsidP="005A702C">
            <w:pPr>
              <w:jc w:val="center"/>
              <w:rPr>
                <w:rFonts w:ascii="Times New Roman" w:hAnsi="Times New Roman" w:cs="Times New Roman"/>
                <w:color w:val="000000"/>
                <w:sz w:val="24"/>
                <w:szCs w:val="24"/>
              </w:rPr>
            </w:pPr>
            <w:r w:rsidRPr="004458FD">
              <w:rPr>
                <w:rFonts w:ascii="Times New Roman" w:hAnsi="Times New Roman" w:cs="Times New Roman"/>
                <w:color w:val="000000"/>
                <w:sz w:val="24"/>
                <w:szCs w:val="24"/>
              </w:rPr>
              <w:t>43</w:t>
            </w:r>
          </w:p>
        </w:tc>
        <w:tc>
          <w:tcPr>
            <w:tcW w:w="1690" w:type="dxa"/>
            <w:tcBorders>
              <w:left w:val="single" w:sz="4" w:space="0" w:color="auto"/>
              <w:bottom w:val="single" w:sz="4" w:space="0" w:color="auto"/>
              <w:right w:val="single" w:sz="4" w:space="0" w:color="auto"/>
            </w:tcBorders>
            <w:shd w:val="clear" w:color="auto" w:fill="FEBCBC" w:themeFill="accent1" w:themeFillTint="33"/>
          </w:tcPr>
          <w:p w:rsidR="00EA4C43" w:rsidRPr="004458FD" w:rsidRDefault="00EA4C43" w:rsidP="005A702C">
            <w:pPr>
              <w:jc w:val="center"/>
              <w:rPr>
                <w:rFonts w:ascii="Times New Roman" w:hAnsi="Times New Roman" w:cs="Times New Roman"/>
                <w:color w:val="000000"/>
                <w:sz w:val="24"/>
                <w:szCs w:val="24"/>
              </w:rPr>
            </w:pPr>
            <w:r w:rsidRPr="004458FD">
              <w:rPr>
                <w:rFonts w:ascii="Times New Roman" w:hAnsi="Times New Roman" w:cs="Times New Roman"/>
                <w:color w:val="000000"/>
                <w:sz w:val="24"/>
                <w:szCs w:val="24"/>
              </w:rPr>
              <w:t>53</w:t>
            </w:r>
          </w:p>
        </w:tc>
      </w:tr>
    </w:tbl>
    <w:p w:rsidR="002E5AFC" w:rsidRDefault="002E5AFC" w:rsidP="002E5AFC">
      <w:pPr>
        <w:spacing w:line="276" w:lineRule="auto"/>
        <w:jc w:val="both"/>
        <w:rPr>
          <w:rFonts w:ascii="Times New Roman" w:eastAsia="Calibri" w:hAnsi="Times New Roman" w:cs="Times New Roman"/>
          <w:b/>
          <w:sz w:val="24"/>
          <w:szCs w:val="24"/>
        </w:rPr>
      </w:pPr>
      <w:bookmarkStart w:id="123" w:name="_Toc372294684"/>
      <w:bookmarkStart w:id="124" w:name="_Toc374457357"/>
      <w:bookmarkStart w:id="125" w:name="_Toc378697808"/>
      <w:bookmarkStart w:id="126" w:name="_Toc378773255"/>
      <w:bookmarkStart w:id="127" w:name="_Toc379197436"/>
      <w:bookmarkStart w:id="128" w:name="_Toc379205474"/>
      <w:bookmarkStart w:id="129" w:name="_Toc379268170"/>
      <w:bookmarkStart w:id="130" w:name="_Toc379296745"/>
      <w:bookmarkStart w:id="131" w:name="_Toc379373454"/>
      <w:bookmarkStart w:id="132" w:name="_Toc379799838"/>
      <w:bookmarkStart w:id="133" w:name="_Toc381633580"/>
      <w:bookmarkStart w:id="134" w:name="_Toc381633725"/>
      <w:bookmarkStart w:id="135" w:name="_Toc384050893"/>
      <w:bookmarkStart w:id="136" w:name="_Toc371429802"/>
      <w:bookmarkStart w:id="137" w:name="_Toc371430305"/>
      <w:bookmarkStart w:id="138" w:name="_Toc371952746"/>
      <w:bookmarkStart w:id="139" w:name="_Toc372023089"/>
      <w:bookmarkEnd w:id="120"/>
      <w:bookmarkEnd w:id="121"/>
    </w:p>
    <w:p w:rsidR="004458FD" w:rsidRDefault="004458FD">
      <w:pPr>
        <w:rPr>
          <w:rFonts w:ascii="Times New Roman" w:hAnsi="Times New Roman" w:cs="Times New Roman"/>
          <w:b/>
          <w:bCs/>
          <w:caps/>
          <w:color w:val="FFFFFF" w:themeColor="background1"/>
          <w:spacing w:val="15"/>
          <w:sz w:val="32"/>
          <w:szCs w:val="32"/>
        </w:rPr>
      </w:pPr>
      <w:r>
        <w:rPr>
          <w:rFonts w:ascii="Times New Roman" w:hAnsi="Times New Roman" w:cs="Times New Roman"/>
          <w:sz w:val="32"/>
          <w:szCs w:val="32"/>
        </w:rPr>
        <w:br w:type="page"/>
      </w:r>
    </w:p>
    <w:p w:rsidR="002E5AFC" w:rsidRPr="002E5AFC" w:rsidRDefault="002E5AFC" w:rsidP="00477D22">
      <w:pPr>
        <w:pStyle w:val="Heading1"/>
        <w:numPr>
          <w:ilvl w:val="0"/>
          <w:numId w:val="44"/>
        </w:numPr>
        <w:spacing w:line="276" w:lineRule="auto"/>
        <w:ind w:left="567" w:hanging="567"/>
        <w:jc w:val="both"/>
        <w:rPr>
          <w:rFonts w:ascii="Times New Roman" w:hAnsi="Times New Roman" w:cs="Times New Roman"/>
          <w:b w:val="0"/>
          <w:sz w:val="32"/>
          <w:szCs w:val="32"/>
        </w:rPr>
      </w:pPr>
      <w:bookmarkStart w:id="140" w:name="_Toc389128791"/>
      <w:bookmarkStart w:id="141" w:name="_Toc389131338"/>
      <w:bookmarkStart w:id="142" w:name="_Toc389223873"/>
      <w:bookmarkStart w:id="143" w:name="_Toc389223935"/>
      <w:bookmarkStart w:id="144" w:name="_Toc391908866"/>
      <w:bookmarkStart w:id="145" w:name="_Toc391991800"/>
      <w:bookmarkStart w:id="146" w:name="_Toc397593020"/>
      <w:bookmarkStart w:id="147" w:name="_Toc398896316"/>
      <w:bookmarkStart w:id="148" w:name="_Toc398896456"/>
      <w:bookmarkStart w:id="149" w:name="_Toc400972828"/>
      <w:r w:rsidRPr="002E5AFC">
        <w:rPr>
          <w:rFonts w:ascii="Times New Roman" w:hAnsi="Times New Roman" w:cs="Times New Roman"/>
          <w:sz w:val="32"/>
          <w:szCs w:val="32"/>
        </w:rPr>
        <w:lastRenderedPageBreak/>
        <w:t>Sektori tugevuste, nõrkuste, ohtude ja võimaluste analüüs (SWOT)</w:t>
      </w:r>
      <w:bookmarkEnd w:id="140"/>
      <w:bookmarkEnd w:id="141"/>
      <w:bookmarkEnd w:id="142"/>
      <w:bookmarkEnd w:id="143"/>
      <w:bookmarkEnd w:id="144"/>
      <w:bookmarkEnd w:id="145"/>
      <w:bookmarkEnd w:id="146"/>
      <w:bookmarkEnd w:id="147"/>
      <w:bookmarkEnd w:id="148"/>
      <w:bookmarkEnd w:id="149"/>
    </w:p>
    <w:p w:rsidR="002E5AFC" w:rsidRPr="00E958CE" w:rsidRDefault="002E5AFC" w:rsidP="002E5AFC">
      <w:pPr>
        <w:adjustRightInd w:val="0"/>
        <w:spacing w:line="276" w:lineRule="auto"/>
        <w:jc w:val="both"/>
        <w:rPr>
          <w:rFonts w:ascii="Times New Roman" w:hAnsi="Times New Roman" w:cs="Times New Roman"/>
          <w:sz w:val="24"/>
          <w:szCs w:val="24"/>
        </w:rPr>
      </w:pPr>
    </w:p>
    <w:tbl>
      <w:tblPr>
        <w:tblStyle w:val="TableGrid1"/>
        <w:tblW w:w="9639" w:type="dxa"/>
        <w:tblInd w:w="108" w:type="dxa"/>
        <w:tblLook w:val="04A0" w:firstRow="1" w:lastRow="0" w:firstColumn="1" w:lastColumn="0" w:noHBand="0" w:noVBand="1"/>
      </w:tblPr>
      <w:tblGrid>
        <w:gridCol w:w="4820"/>
        <w:gridCol w:w="4819"/>
      </w:tblGrid>
      <w:tr w:rsidR="002E5AFC" w:rsidRPr="00E958CE" w:rsidTr="002E5AFC">
        <w:tc>
          <w:tcPr>
            <w:tcW w:w="4820" w:type="dxa"/>
            <w:shd w:val="clear" w:color="auto" w:fill="FEBCBC" w:themeFill="accent1" w:themeFillTint="33"/>
          </w:tcPr>
          <w:p w:rsidR="002E5AFC" w:rsidRPr="00E958CE" w:rsidRDefault="002E5AFC" w:rsidP="002E5AFC">
            <w:pPr>
              <w:spacing w:line="276" w:lineRule="auto"/>
              <w:rPr>
                <w:rFonts w:cs="Times New Roman"/>
                <w:b/>
                <w:color w:val="000000" w:themeColor="text1"/>
                <w:sz w:val="24"/>
                <w:szCs w:val="24"/>
              </w:rPr>
            </w:pPr>
            <w:r w:rsidRPr="00E958CE">
              <w:rPr>
                <w:rFonts w:cs="Times New Roman"/>
                <w:b/>
                <w:color w:val="000000" w:themeColor="text1"/>
                <w:sz w:val="24"/>
                <w:szCs w:val="24"/>
              </w:rPr>
              <w:t>Tugevused</w:t>
            </w:r>
          </w:p>
        </w:tc>
        <w:tc>
          <w:tcPr>
            <w:tcW w:w="4819" w:type="dxa"/>
            <w:shd w:val="clear" w:color="auto" w:fill="FEBCBC" w:themeFill="accent1" w:themeFillTint="33"/>
          </w:tcPr>
          <w:p w:rsidR="002E5AFC" w:rsidRPr="00E958CE" w:rsidRDefault="002E5AFC" w:rsidP="002E5AFC">
            <w:pPr>
              <w:spacing w:line="276" w:lineRule="auto"/>
              <w:rPr>
                <w:rFonts w:cs="Times New Roman"/>
                <w:b/>
                <w:color w:val="000000" w:themeColor="text1"/>
                <w:sz w:val="24"/>
                <w:szCs w:val="24"/>
              </w:rPr>
            </w:pPr>
            <w:r w:rsidRPr="00E958CE">
              <w:rPr>
                <w:rFonts w:cs="Times New Roman"/>
                <w:b/>
                <w:color w:val="000000" w:themeColor="text1"/>
                <w:sz w:val="24"/>
                <w:szCs w:val="24"/>
              </w:rPr>
              <w:t>Nõrkused</w:t>
            </w:r>
          </w:p>
        </w:tc>
      </w:tr>
      <w:tr w:rsidR="002E5AFC" w:rsidRPr="00E958CE" w:rsidTr="002E5AFC">
        <w:trPr>
          <w:trHeight w:val="5778"/>
        </w:trPr>
        <w:tc>
          <w:tcPr>
            <w:tcW w:w="4820" w:type="dxa"/>
          </w:tcPr>
          <w:p w:rsidR="002E5AFC" w:rsidRPr="00E958CE" w:rsidRDefault="002E5AFC" w:rsidP="002E5AFC">
            <w:pPr>
              <w:numPr>
                <w:ilvl w:val="0"/>
                <w:numId w:val="4"/>
              </w:numPr>
              <w:spacing w:line="276" w:lineRule="auto"/>
              <w:ind w:left="459" w:hanging="426"/>
              <w:contextualSpacing/>
              <w:rPr>
                <w:rFonts w:cs="Times New Roman"/>
                <w:color w:val="000000" w:themeColor="text1"/>
                <w:sz w:val="24"/>
                <w:szCs w:val="24"/>
              </w:rPr>
            </w:pPr>
            <w:r w:rsidRPr="00E958CE">
              <w:rPr>
                <w:rFonts w:cs="Times New Roman"/>
                <w:color w:val="000000" w:themeColor="text1"/>
                <w:sz w:val="24"/>
                <w:szCs w:val="24"/>
              </w:rPr>
              <w:t>Tootmis-tarbimisahela olemasolu</w:t>
            </w:r>
          </w:p>
          <w:p w:rsidR="002E5AFC" w:rsidRPr="00E958CE" w:rsidRDefault="002E5AFC" w:rsidP="002E5AFC">
            <w:pPr>
              <w:numPr>
                <w:ilvl w:val="0"/>
                <w:numId w:val="4"/>
              </w:numPr>
              <w:spacing w:line="276" w:lineRule="auto"/>
              <w:ind w:left="459" w:hanging="426"/>
              <w:contextualSpacing/>
              <w:rPr>
                <w:rFonts w:cs="Times New Roman"/>
                <w:color w:val="000000" w:themeColor="text1"/>
                <w:sz w:val="24"/>
                <w:szCs w:val="24"/>
              </w:rPr>
            </w:pPr>
            <w:r w:rsidRPr="00E958CE">
              <w:rPr>
                <w:rFonts w:cs="Times New Roman"/>
                <w:color w:val="000000" w:themeColor="text1"/>
                <w:sz w:val="24"/>
                <w:szCs w:val="24"/>
              </w:rPr>
              <w:t>Infrastruktuuri olemasolu (sadamad, elevaatorid jne)</w:t>
            </w:r>
          </w:p>
          <w:p w:rsidR="002E5AFC" w:rsidRPr="00E958CE" w:rsidRDefault="002E5AFC" w:rsidP="002E5AFC">
            <w:pPr>
              <w:numPr>
                <w:ilvl w:val="0"/>
                <w:numId w:val="4"/>
              </w:numPr>
              <w:spacing w:line="276" w:lineRule="auto"/>
              <w:ind w:left="459" w:hanging="426"/>
              <w:contextualSpacing/>
              <w:rPr>
                <w:rFonts w:cs="Times New Roman"/>
                <w:color w:val="000000" w:themeColor="text1"/>
                <w:sz w:val="24"/>
                <w:szCs w:val="24"/>
              </w:rPr>
            </w:pPr>
            <w:r w:rsidRPr="00E958CE">
              <w:rPr>
                <w:rFonts w:cs="Times New Roman"/>
                <w:color w:val="000000" w:themeColor="text1"/>
                <w:sz w:val="24"/>
                <w:szCs w:val="24"/>
              </w:rPr>
              <w:t xml:space="preserve">Euroopa efektiivseimaid teraviljakasvatusi ühe aktiivse põllumajandustootja kohta </w:t>
            </w:r>
          </w:p>
          <w:p w:rsidR="002E5AFC" w:rsidRPr="00E958CE" w:rsidRDefault="00D73F96" w:rsidP="002E5AFC">
            <w:pPr>
              <w:numPr>
                <w:ilvl w:val="0"/>
                <w:numId w:val="4"/>
              </w:numPr>
              <w:spacing w:line="276" w:lineRule="auto"/>
              <w:ind w:left="459" w:hanging="426"/>
              <w:contextualSpacing/>
              <w:rPr>
                <w:rFonts w:cs="Times New Roman"/>
                <w:color w:val="000000" w:themeColor="text1"/>
                <w:sz w:val="24"/>
                <w:szCs w:val="24"/>
              </w:rPr>
            </w:pPr>
            <w:r>
              <w:rPr>
                <w:rFonts w:cs="Times New Roman"/>
                <w:color w:val="000000" w:themeColor="text1"/>
                <w:sz w:val="24"/>
                <w:szCs w:val="24"/>
              </w:rPr>
              <w:t>Kaasaegne tootmine –</w:t>
            </w:r>
            <w:r w:rsidR="002E5AFC" w:rsidRPr="00E958CE">
              <w:rPr>
                <w:rFonts w:cs="Times New Roman"/>
                <w:color w:val="000000" w:themeColor="text1"/>
                <w:sz w:val="24"/>
                <w:szCs w:val="24"/>
              </w:rPr>
              <w:t xml:space="preserve"> kõrge tehnoloogiline varustatus </w:t>
            </w:r>
          </w:p>
          <w:p w:rsidR="002E5AFC" w:rsidRPr="00E958CE" w:rsidRDefault="002E5AFC" w:rsidP="002E5AFC">
            <w:pPr>
              <w:numPr>
                <w:ilvl w:val="0"/>
                <w:numId w:val="4"/>
              </w:numPr>
              <w:spacing w:line="276" w:lineRule="auto"/>
              <w:ind w:left="459" w:hanging="426"/>
              <w:contextualSpacing/>
              <w:rPr>
                <w:rFonts w:cs="Times New Roman"/>
                <w:color w:val="000000" w:themeColor="text1"/>
                <w:sz w:val="24"/>
                <w:szCs w:val="24"/>
              </w:rPr>
            </w:pPr>
            <w:r w:rsidRPr="00E958CE">
              <w:rPr>
                <w:rFonts w:cs="Times New Roman"/>
                <w:color w:val="000000" w:themeColor="text1"/>
                <w:sz w:val="24"/>
                <w:szCs w:val="24"/>
              </w:rPr>
              <w:t>Ajaloolised viljakasvatustraditsioonid ja oskused</w:t>
            </w:r>
          </w:p>
          <w:p w:rsidR="002E5AFC" w:rsidRPr="00E958CE" w:rsidRDefault="002E5AFC" w:rsidP="002E5AFC">
            <w:pPr>
              <w:numPr>
                <w:ilvl w:val="0"/>
                <w:numId w:val="4"/>
              </w:numPr>
              <w:spacing w:line="276" w:lineRule="auto"/>
              <w:ind w:left="459" w:hanging="426"/>
              <w:contextualSpacing/>
              <w:rPr>
                <w:rFonts w:cs="Times New Roman"/>
                <w:color w:val="000000" w:themeColor="text1"/>
                <w:sz w:val="24"/>
                <w:szCs w:val="24"/>
              </w:rPr>
            </w:pPr>
            <w:r w:rsidRPr="00E958CE">
              <w:rPr>
                <w:rFonts w:cs="Times New Roman"/>
                <w:color w:val="000000" w:themeColor="text1"/>
                <w:sz w:val="24"/>
                <w:szCs w:val="24"/>
              </w:rPr>
              <w:t>Segatootmise olemasolu</w:t>
            </w:r>
          </w:p>
          <w:p w:rsidR="002E5AFC" w:rsidRPr="00E958CE" w:rsidRDefault="002E5AFC" w:rsidP="002E5AFC">
            <w:pPr>
              <w:numPr>
                <w:ilvl w:val="0"/>
                <w:numId w:val="4"/>
              </w:numPr>
              <w:spacing w:line="276" w:lineRule="auto"/>
              <w:ind w:left="459" w:hanging="426"/>
              <w:contextualSpacing/>
              <w:rPr>
                <w:rFonts w:cs="Times New Roman"/>
                <w:color w:val="000000" w:themeColor="text1"/>
                <w:sz w:val="24"/>
                <w:szCs w:val="24"/>
              </w:rPr>
            </w:pPr>
            <w:r w:rsidRPr="00E958CE">
              <w:rPr>
                <w:rFonts w:cs="Times New Roman"/>
                <w:color w:val="000000" w:themeColor="text1"/>
                <w:sz w:val="24"/>
                <w:szCs w:val="24"/>
              </w:rPr>
              <w:t>Teraviljade liigiline mitmekesisus, lisaks nisule ja odrale ka soodne piirkond kaerale, rukkile, kaunviljadele ja rapsile</w:t>
            </w:r>
          </w:p>
          <w:p w:rsidR="002E5AFC" w:rsidRPr="00E958CE" w:rsidRDefault="002E5AFC" w:rsidP="002E5AFC">
            <w:pPr>
              <w:numPr>
                <w:ilvl w:val="0"/>
                <w:numId w:val="4"/>
              </w:numPr>
              <w:spacing w:line="276" w:lineRule="auto"/>
              <w:ind w:left="459" w:hanging="426"/>
              <w:contextualSpacing/>
              <w:rPr>
                <w:rFonts w:cs="Times New Roman"/>
                <w:color w:val="000000" w:themeColor="text1"/>
                <w:sz w:val="24"/>
                <w:szCs w:val="24"/>
              </w:rPr>
            </w:pPr>
            <w:r w:rsidRPr="00E958CE">
              <w:rPr>
                <w:rFonts w:cs="Times New Roman"/>
                <w:color w:val="000000" w:themeColor="text1"/>
                <w:sz w:val="24"/>
                <w:szCs w:val="24"/>
              </w:rPr>
              <w:t>Sisendite kättesaadavus ja pakkumise mitmekesisus</w:t>
            </w:r>
          </w:p>
          <w:p w:rsidR="002E5AFC" w:rsidRPr="00E958CE" w:rsidRDefault="002E5AFC" w:rsidP="002E5AFC">
            <w:pPr>
              <w:numPr>
                <w:ilvl w:val="0"/>
                <w:numId w:val="4"/>
              </w:numPr>
              <w:spacing w:line="276" w:lineRule="auto"/>
              <w:ind w:left="459" w:hanging="426"/>
              <w:contextualSpacing/>
              <w:rPr>
                <w:rFonts w:cs="Times New Roman"/>
                <w:color w:val="000000" w:themeColor="text1"/>
                <w:sz w:val="24"/>
                <w:szCs w:val="24"/>
              </w:rPr>
            </w:pPr>
            <w:r w:rsidRPr="00E958CE">
              <w:rPr>
                <w:rFonts w:cs="Times New Roman"/>
                <w:color w:val="000000" w:themeColor="text1"/>
                <w:sz w:val="24"/>
                <w:szCs w:val="24"/>
              </w:rPr>
              <w:t xml:space="preserve">Ostu- ja müügikanalid avatud </w:t>
            </w:r>
          </w:p>
          <w:p w:rsidR="002E5AFC" w:rsidRPr="00E958CE" w:rsidRDefault="002E5AFC" w:rsidP="002E5AFC">
            <w:pPr>
              <w:numPr>
                <w:ilvl w:val="0"/>
                <w:numId w:val="4"/>
              </w:numPr>
              <w:spacing w:line="276" w:lineRule="auto"/>
              <w:ind w:left="459" w:hanging="426"/>
              <w:contextualSpacing/>
              <w:rPr>
                <w:rFonts w:cs="Times New Roman"/>
                <w:color w:val="000000" w:themeColor="text1"/>
                <w:sz w:val="24"/>
                <w:szCs w:val="24"/>
              </w:rPr>
            </w:pPr>
            <w:r w:rsidRPr="00E958CE">
              <w:rPr>
                <w:rFonts w:cs="Times New Roman"/>
                <w:color w:val="000000" w:themeColor="text1"/>
                <w:sz w:val="24"/>
                <w:szCs w:val="24"/>
              </w:rPr>
              <w:t>Tugev</w:t>
            </w:r>
            <w:r w:rsidR="002C224E">
              <w:rPr>
                <w:rFonts w:cs="Times New Roman"/>
                <w:color w:val="000000" w:themeColor="text1"/>
                <w:sz w:val="24"/>
                <w:szCs w:val="24"/>
              </w:rPr>
              <w:t>a</w:t>
            </w:r>
            <w:r w:rsidRPr="00E958CE">
              <w:rPr>
                <w:rFonts w:cs="Times New Roman"/>
                <w:color w:val="000000" w:themeColor="text1"/>
                <w:sz w:val="24"/>
                <w:szCs w:val="24"/>
              </w:rPr>
              <w:t xml:space="preserve"> ja konkurentsivõimelise töötleva tööstuse olemasolu</w:t>
            </w:r>
          </w:p>
          <w:p w:rsidR="002E5AFC" w:rsidRPr="00E958CE" w:rsidRDefault="002E5AFC" w:rsidP="002E5AFC">
            <w:pPr>
              <w:spacing w:line="276" w:lineRule="auto"/>
              <w:ind w:left="33"/>
              <w:contextualSpacing/>
              <w:rPr>
                <w:rFonts w:cs="Times New Roman"/>
                <w:color w:val="000000" w:themeColor="text1"/>
                <w:sz w:val="24"/>
                <w:szCs w:val="24"/>
              </w:rPr>
            </w:pPr>
          </w:p>
        </w:tc>
        <w:tc>
          <w:tcPr>
            <w:tcW w:w="4819" w:type="dxa"/>
          </w:tcPr>
          <w:p w:rsidR="002E5AFC" w:rsidRPr="002834D8" w:rsidRDefault="002834D8" w:rsidP="002E5AFC">
            <w:pPr>
              <w:numPr>
                <w:ilvl w:val="0"/>
                <w:numId w:val="3"/>
              </w:numPr>
              <w:tabs>
                <w:tab w:val="num" w:pos="493"/>
              </w:tabs>
              <w:spacing w:line="276" w:lineRule="auto"/>
              <w:ind w:left="493" w:hanging="426"/>
              <w:rPr>
                <w:rFonts w:cs="Times New Roman"/>
                <w:color w:val="000000" w:themeColor="text1"/>
                <w:sz w:val="24"/>
                <w:szCs w:val="24"/>
              </w:rPr>
            </w:pPr>
            <w:r w:rsidRPr="002834D8">
              <w:rPr>
                <w:rFonts w:cs="Times New Roman"/>
                <w:color w:val="000000" w:themeColor="text1"/>
                <w:sz w:val="24"/>
                <w:szCs w:val="24"/>
              </w:rPr>
              <w:t>I</w:t>
            </w:r>
            <w:r w:rsidR="002E5AFC" w:rsidRPr="002834D8">
              <w:rPr>
                <w:rFonts w:cs="Times New Roman"/>
                <w:color w:val="000000" w:themeColor="text1"/>
                <w:sz w:val="24"/>
                <w:szCs w:val="24"/>
              </w:rPr>
              <w:t>nvesteerimisvõime</w:t>
            </w:r>
            <w:r w:rsidRPr="002834D8">
              <w:rPr>
                <w:rFonts w:cs="Times New Roman"/>
                <w:color w:val="000000" w:themeColor="text1"/>
                <w:sz w:val="24"/>
                <w:szCs w:val="24"/>
              </w:rPr>
              <w:t xml:space="preserve"> muutlikkus</w:t>
            </w:r>
          </w:p>
          <w:p w:rsidR="002E5AFC" w:rsidRPr="00E958CE" w:rsidRDefault="002E5AFC" w:rsidP="002E5AFC">
            <w:pPr>
              <w:numPr>
                <w:ilvl w:val="0"/>
                <w:numId w:val="3"/>
              </w:numPr>
              <w:tabs>
                <w:tab w:val="num" w:pos="493"/>
              </w:tabs>
              <w:spacing w:line="276" w:lineRule="auto"/>
              <w:ind w:left="493" w:hanging="426"/>
              <w:rPr>
                <w:rFonts w:cs="Times New Roman"/>
                <w:b/>
                <w:color w:val="000000" w:themeColor="text1"/>
                <w:sz w:val="24"/>
                <w:szCs w:val="24"/>
              </w:rPr>
            </w:pPr>
            <w:r w:rsidRPr="00E958CE">
              <w:rPr>
                <w:rFonts w:cs="Times New Roman"/>
                <w:color w:val="000000" w:themeColor="text1"/>
                <w:sz w:val="24"/>
                <w:szCs w:val="24"/>
              </w:rPr>
              <w:t xml:space="preserve">Madal keskmine saagikus </w:t>
            </w:r>
          </w:p>
          <w:p w:rsidR="002E5AFC" w:rsidRPr="00E958CE" w:rsidRDefault="002E5AFC" w:rsidP="002E5AFC">
            <w:pPr>
              <w:numPr>
                <w:ilvl w:val="0"/>
                <w:numId w:val="3"/>
              </w:numPr>
              <w:tabs>
                <w:tab w:val="num" w:pos="493"/>
              </w:tabs>
              <w:spacing w:line="276" w:lineRule="auto"/>
              <w:ind w:left="493" w:hanging="426"/>
              <w:rPr>
                <w:rFonts w:cs="Times New Roman"/>
                <w:b/>
                <w:color w:val="000000" w:themeColor="text1"/>
                <w:sz w:val="24"/>
                <w:szCs w:val="24"/>
              </w:rPr>
            </w:pPr>
            <w:r w:rsidRPr="00E958CE">
              <w:rPr>
                <w:rFonts w:cs="Times New Roman"/>
                <w:color w:val="000000" w:themeColor="text1"/>
                <w:sz w:val="24"/>
                <w:szCs w:val="24"/>
              </w:rPr>
              <w:t>Kõikuv tarnekindlus</w:t>
            </w:r>
          </w:p>
          <w:p w:rsidR="002E5AFC" w:rsidRPr="00E958CE" w:rsidRDefault="002E5AFC" w:rsidP="002E5AFC">
            <w:pPr>
              <w:numPr>
                <w:ilvl w:val="0"/>
                <w:numId w:val="3"/>
              </w:numPr>
              <w:tabs>
                <w:tab w:val="num" w:pos="493"/>
              </w:tabs>
              <w:spacing w:line="276" w:lineRule="auto"/>
              <w:ind w:left="493" w:hanging="426"/>
              <w:rPr>
                <w:rFonts w:cs="Times New Roman"/>
                <w:color w:val="000000" w:themeColor="text1"/>
                <w:sz w:val="24"/>
                <w:szCs w:val="24"/>
              </w:rPr>
            </w:pPr>
            <w:r w:rsidRPr="00E958CE">
              <w:rPr>
                <w:rFonts w:cs="Times New Roman"/>
                <w:color w:val="000000" w:themeColor="text1"/>
                <w:sz w:val="24"/>
                <w:szCs w:val="24"/>
              </w:rPr>
              <w:t>Kvalifitseeritud ja motiveeritud tööjõu vähesus</w:t>
            </w:r>
          </w:p>
          <w:p w:rsidR="002E5AFC" w:rsidRPr="00E958CE" w:rsidRDefault="002E5AFC" w:rsidP="002E5AFC">
            <w:pPr>
              <w:numPr>
                <w:ilvl w:val="0"/>
                <w:numId w:val="3"/>
              </w:numPr>
              <w:tabs>
                <w:tab w:val="num" w:pos="493"/>
              </w:tabs>
              <w:spacing w:line="276" w:lineRule="auto"/>
              <w:ind w:left="493" w:hanging="426"/>
              <w:rPr>
                <w:rFonts w:cs="Times New Roman"/>
                <w:color w:val="000000" w:themeColor="text1"/>
                <w:sz w:val="24"/>
                <w:szCs w:val="24"/>
              </w:rPr>
            </w:pPr>
            <w:r w:rsidRPr="00E958CE">
              <w:rPr>
                <w:rFonts w:cs="Times New Roman"/>
                <w:color w:val="000000" w:themeColor="text1"/>
                <w:sz w:val="24"/>
                <w:szCs w:val="24"/>
              </w:rPr>
              <w:t xml:space="preserve">Paiguti maa madal boniteet </w:t>
            </w:r>
          </w:p>
          <w:p w:rsidR="002E5AFC" w:rsidRPr="00E958CE" w:rsidRDefault="002E5AFC" w:rsidP="002E5AFC">
            <w:pPr>
              <w:numPr>
                <w:ilvl w:val="0"/>
                <w:numId w:val="3"/>
              </w:numPr>
              <w:tabs>
                <w:tab w:val="num" w:pos="493"/>
              </w:tabs>
              <w:spacing w:line="276" w:lineRule="auto"/>
              <w:ind w:left="493" w:hanging="426"/>
              <w:rPr>
                <w:rFonts w:cs="Times New Roman"/>
                <w:color w:val="000000" w:themeColor="text1"/>
                <w:sz w:val="24"/>
                <w:szCs w:val="24"/>
              </w:rPr>
            </w:pPr>
            <w:r w:rsidRPr="00E958CE">
              <w:rPr>
                <w:rFonts w:cs="Times New Roman"/>
                <w:color w:val="000000" w:themeColor="text1"/>
                <w:sz w:val="24"/>
                <w:szCs w:val="24"/>
              </w:rPr>
              <w:t>Renditud maa suur osakaal</w:t>
            </w:r>
          </w:p>
          <w:p w:rsidR="002E5AFC" w:rsidRPr="00E958CE" w:rsidRDefault="002E5AFC" w:rsidP="002E5AFC">
            <w:pPr>
              <w:numPr>
                <w:ilvl w:val="0"/>
                <w:numId w:val="3"/>
              </w:numPr>
              <w:tabs>
                <w:tab w:val="num" w:pos="493"/>
              </w:tabs>
              <w:spacing w:line="276" w:lineRule="auto"/>
              <w:ind w:left="493" w:hanging="426"/>
              <w:rPr>
                <w:rFonts w:cs="Times New Roman"/>
                <w:color w:val="000000" w:themeColor="text1"/>
                <w:sz w:val="24"/>
                <w:szCs w:val="24"/>
              </w:rPr>
            </w:pPr>
            <w:r w:rsidRPr="00E958CE">
              <w:rPr>
                <w:rFonts w:cs="Times New Roman"/>
                <w:color w:val="000000" w:themeColor="text1"/>
                <w:sz w:val="24"/>
                <w:szCs w:val="24"/>
              </w:rPr>
              <w:t>Vähene lisandväärtuse andmine</w:t>
            </w:r>
          </w:p>
          <w:p w:rsidR="002E5AFC" w:rsidRPr="00E958CE" w:rsidRDefault="002E5AFC" w:rsidP="002E5AFC">
            <w:pPr>
              <w:numPr>
                <w:ilvl w:val="0"/>
                <w:numId w:val="3"/>
              </w:numPr>
              <w:tabs>
                <w:tab w:val="num" w:pos="493"/>
              </w:tabs>
              <w:spacing w:line="276" w:lineRule="auto"/>
              <w:ind w:left="493" w:hanging="426"/>
              <w:rPr>
                <w:rFonts w:cs="Times New Roman"/>
                <w:color w:val="000000" w:themeColor="text1"/>
                <w:sz w:val="24"/>
                <w:szCs w:val="24"/>
              </w:rPr>
            </w:pPr>
            <w:r w:rsidRPr="00E958CE">
              <w:rPr>
                <w:rFonts w:cs="Times New Roman"/>
                <w:color w:val="000000" w:themeColor="text1"/>
                <w:sz w:val="24"/>
                <w:szCs w:val="24"/>
              </w:rPr>
              <w:t>Põllumeeste nõrk omavaheline koostöö</w:t>
            </w:r>
          </w:p>
          <w:p w:rsidR="002A66B7" w:rsidRDefault="002A66B7" w:rsidP="002E5AFC">
            <w:pPr>
              <w:numPr>
                <w:ilvl w:val="0"/>
                <w:numId w:val="3"/>
              </w:numPr>
              <w:tabs>
                <w:tab w:val="num" w:pos="493"/>
              </w:tabs>
              <w:spacing w:line="276" w:lineRule="auto"/>
              <w:ind w:left="493" w:hanging="426"/>
              <w:rPr>
                <w:rFonts w:cs="Times New Roman"/>
                <w:color w:val="000000" w:themeColor="text1"/>
                <w:sz w:val="24"/>
                <w:szCs w:val="24"/>
              </w:rPr>
            </w:pPr>
            <w:r w:rsidRPr="002A66B7">
              <w:rPr>
                <w:rFonts w:cs="Times New Roman"/>
                <w:color w:val="000000" w:themeColor="text1"/>
                <w:sz w:val="24"/>
                <w:szCs w:val="24"/>
              </w:rPr>
              <w:t>Erialase teaduse ja nõuandet</w:t>
            </w:r>
            <w:r w:rsidR="00245A6B">
              <w:rPr>
                <w:rFonts w:cs="Times New Roman"/>
                <w:color w:val="000000" w:themeColor="text1"/>
                <w:sz w:val="24"/>
                <w:szCs w:val="24"/>
              </w:rPr>
              <w:t>eenuse</w:t>
            </w:r>
            <w:r w:rsidRPr="002A66B7">
              <w:rPr>
                <w:rFonts w:cs="Times New Roman"/>
                <w:color w:val="000000" w:themeColor="text1"/>
                <w:sz w:val="24"/>
                <w:szCs w:val="24"/>
              </w:rPr>
              <w:t xml:space="preserve"> </w:t>
            </w:r>
            <w:r>
              <w:rPr>
                <w:rFonts w:cs="Times New Roman"/>
                <w:color w:val="000000" w:themeColor="text1"/>
                <w:sz w:val="24"/>
                <w:szCs w:val="24"/>
              </w:rPr>
              <w:t>aeglane</w:t>
            </w:r>
            <w:r w:rsidRPr="002A66B7">
              <w:rPr>
                <w:rFonts w:cs="Times New Roman"/>
                <w:color w:val="000000" w:themeColor="text1"/>
                <w:sz w:val="24"/>
                <w:szCs w:val="24"/>
              </w:rPr>
              <w:t xml:space="preserve"> arengutempo </w:t>
            </w:r>
          </w:p>
          <w:p w:rsidR="002E5AFC" w:rsidRPr="00E958CE" w:rsidRDefault="00E54E39" w:rsidP="002E5AFC">
            <w:pPr>
              <w:numPr>
                <w:ilvl w:val="0"/>
                <w:numId w:val="3"/>
              </w:numPr>
              <w:tabs>
                <w:tab w:val="num" w:pos="493"/>
              </w:tabs>
              <w:spacing w:line="276" w:lineRule="auto"/>
              <w:ind w:left="493" w:hanging="426"/>
              <w:rPr>
                <w:rFonts w:cs="Times New Roman"/>
                <w:color w:val="000000" w:themeColor="text1"/>
                <w:sz w:val="24"/>
                <w:szCs w:val="24"/>
              </w:rPr>
            </w:pPr>
            <w:r>
              <w:rPr>
                <w:rFonts w:cs="Times New Roman"/>
                <w:color w:val="000000" w:themeColor="text1"/>
                <w:sz w:val="24"/>
                <w:szCs w:val="24"/>
              </w:rPr>
              <w:t>Toiduviljale m</w:t>
            </w:r>
            <w:r w:rsidR="002E5AFC" w:rsidRPr="00E958CE">
              <w:rPr>
                <w:rFonts w:cs="Times New Roman"/>
                <w:color w:val="000000" w:themeColor="text1"/>
                <w:sz w:val="24"/>
                <w:szCs w:val="24"/>
              </w:rPr>
              <w:t>ittevastav ja kõikuv teravilja kvaliteet paljudel juhtudel</w:t>
            </w:r>
          </w:p>
          <w:p w:rsidR="002E5AFC" w:rsidRPr="00E958CE" w:rsidRDefault="002E5AFC" w:rsidP="002E5AFC">
            <w:pPr>
              <w:numPr>
                <w:ilvl w:val="0"/>
                <w:numId w:val="3"/>
              </w:numPr>
              <w:tabs>
                <w:tab w:val="num" w:pos="493"/>
              </w:tabs>
              <w:spacing w:line="276" w:lineRule="auto"/>
              <w:ind w:left="493" w:hanging="426"/>
              <w:rPr>
                <w:rFonts w:cs="Times New Roman"/>
                <w:color w:val="000000" w:themeColor="text1"/>
                <w:sz w:val="24"/>
                <w:szCs w:val="24"/>
              </w:rPr>
            </w:pPr>
            <w:r w:rsidRPr="00E958CE">
              <w:rPr>
                <w:rFonts w:cs="Times New Roman"/>
                <w:color w:val="000000" w:themeColor="text1"/>
                <w:sz w:val="24"/>
                <w:szCs w:val="24"/>
              </w:rPr>
              <w:t xml:space="preserve">Suured tootmiskulud võrreldes </w:t>
            </w:r>
            <w:r w:rsidR="001B1D47">
              <w:rPr>
                <w:rFonts w:cs="Times New Roman"/>
                <w:color w:val="000000" w:themeColor="text1"/>
                <w:sz w:val="24"/>
                <w:szCs w:val="24"/>
              </w:rPr>
              <w:t>ELi lõunapoolsete liikmesriikidega</w:t>
            </w:r>
          </w:p>
          <w:p w:rsidR="002E5AFC" w:rsidRPr="00E958CE" w:rsidRDefault="002E5AFC" w:rsidP="002E5AFC">
            <w:pPr>
              <w:numPr>
                <w:ilvl w:val="0"/>
                <w:numId w:val="3"/>
              </w:numPr>
              <w:tabs>
                <w:tab w:val="num" w:pos="493"/>
              </w:tabs>
              <w:spacing w:line="276" w:lineRule="auto"/>
              <w:ind w:left="493" w:hanging="426"/>
              <w:rPr>
                <w:rFonts w:cs="Times New Roman"/>
                <w:color w:val="000000" w:themeColor="text1"/>
                <w:sz w:val="24"/>
                <w:szCs w:val="24"/>
              </w:rPr>
            </w:pPr>
            <w:r w:rsidRPr="00E958CE">
              <w:rPr>
                <w:rFonts w:cs="Times New Roman"/>
                <w:color w:val="000000" w:themeColor="text1"/>
                <w:sz w:val="24"/>
                <w:szCs w:val="24"/>
              </w:rPr>
              <w:t>Vananenud maaparandussüsteemid</w:t>
            </w:r>
          </w:p>
          <w:p w:rsidR="002E5AFC" w:rsidRPr="00E958CE" w:rsidRDefault="002E5AFC" w:rsidP="002E5AFC">
            <w:pPr>
              <w:spacing w:line="276" w:lineRule="auto"/>
              <w:ind w:left="597"/>
              <w:rPr>
                <w:rFonts w:cs="Times New Roman"/>
                <w:color w:val="000000" w:themeColor="text1"/>
                <w:sz w:val="24"/>
                <w:szCs w:val="24"/>
              </w:rPr>
            </w:pPr>
          </w:p>
        </w:tc>
      </w:tr>
      <w:tr w:rsidR="002E5AFC" w:rsidRPr="00E958CE" w:rsidTr="002E5AFC">
        <w:tc>
          <w:tcPr>
            <w:tcW w:w="4820" w:type="dxa"/>
            <w:shd w:val="clear" w:color="auto" w:fill="FEBCBC" w:themeFill="accent1" w:themeFillTint="33"/>
          </w:tcPr>
          <w:p w:rsidR="002E5AFC" w:rsidRPr="00E958CE" w:rsidRDefault="002E5AFC" w:rsidP="002E5AFC">
            <w:pPr>
              <w:spacing w:line="276" w:lineRule="auto"/>
              <w:rPr>
                <w:rFonts w:cs="Times New Roman"/>
                <w:b/>
                <w:color w:val="000000" w:themeColor="text1"/>
                <w:sz w:val="24"/>
                <w:szCs w:val="24"/>
              </w:rPr>
            </w:pPr>
            <w:r w:rsidRPr="00E958CE">
              <w:rPr>
                <w:rFonts w:cs="Times New Roman"/>
                <w:b/>
                <w:color w:val="000000" w:themeColor="text1"/>
                <w:sz w:val="24"/>
                <w:szCs w:val="24"/>
              </w:rPr>
              <w:t>Võimalused</w:t>
            </w:r>
          </w:p>
        </w:tc>
        <w:tc>
          <w:tcPr>
            <w:tcW w:w="4819" w:type="dxa"/>
            <w:shd w:val="clear" w:color="auto" w:fill="FEBCBC" w:themeFill="accent1" w:themeFillTint="33"/>
          </w:tcPr>
          <w:p w:rsidR="002E5AFC" w:rsidRPr="00E958CE" w:rsidRDefault="002E5AFC" w:rsidP="002E5AFC">
            <w:pPr>
              <w:spacing w:line="276" w:lineRule="auto"/>
              <w:rPr>
                <w:rFonts w:cs="Times New Roman"/>
                <w:b/>
                <w:color w:val="000000" w:themeColor="text1"/>
                <w:sz w:val="24"/>
                <w:szCs w:val="24"/>
              </w:rPr>
            </w:pPr>
            <w:r w:rsidRPr="00E958CE">
              <w:rPr>
                <w:rFonts w:cs="Times New Roman"/>
                <w:b/>
                <w:color w:val="000000" w:themeColor="text1"/>
                <w:sz w:val="24"/>
                <w:szCs w:val="24"/>
              </w:rPr>
              <w:t>Ohud</w:t>
            </w:r>
          </w:p>
        </w:tc>
      </w:tr>
      <w:tr w:rsidR="002E5AFC" w:rsidRPr="00E958CE" w:rsidTr="002E5AFC">
        <w:tc>
          <w:tcPr>
            <w:tcW w:w="4820" w:type="dxa"/>
          </w:tcPr>
          <w:p w:rsidR="002E5AFC" w:rsidRPr="00E958CE" w:rsidRDefault="002E5AFC" w:rsidP="002E5AFC">
            <w:pPr>
              <w:numPr>
                <w:ilvl w:val="0"/>
                <w:numId w:val="5"/>
              </w:numPr>
              <w:tabs>
                <w:tab w:val="num" w:pos="459"/>
              </w:tabs>
              <w:spacing w:line="276" w:lineRule="auto"/>
              <w:ind w:left="459" w:hanging="426"/>
              <w:rPr>
                <w:rFonts w:cs="Times New Roman"/>
                <w:color w:val="000000" w:themeColor="text1"/>
                <w:sz w:val="24"/>
                <w:szCs w:val="24"/>
              </w:rPr>
            </w:pPr>
            <w:r w:rsidRPr="00E958CE">
              <w:rPr>
                <w:rFonts w:cs="Times New Roman"/>
                <w:color w:val="000000" w:themeColor="text1"/>
                <w:sz w:val="24"/>
                <w:szCs w:val="24"/>
              </w:rPr>
              <w:t>Ressurss seni kasutamata maa ja puhta mageda vee kujul</w:t>
            </w:r>
          </w:p>
          <w:p w:rsidR="002E5AFC" w:rsidRPr="00E958CE" w:rsidRDefault="002E5AFC" w:rsidP="002E5AFC">
            <w:pPr>
              <w:numPr>
                <w:ilvl w:val="0"/>
                <w:numId w:val="5"/>
              </w:numPr>
              <w:tabs>
                <w:tab w:val="num" w:pos="459"/>
              </w:tabs>
              <w:spacing w:line="276" w:lineRule="auto"/>
              <w:ind w:left="459" w:hanging="426"/>
              <w:rPr>
                <w:rFonts w:cs="Times New Roman"/>
                <w:color w:val="000000" w:themeColor="text1"/>
                <w:sz w:val="24"/>
                <w:szCs w:val="24"/>
              </w:rPr>
            </w:pPr>
            <w:r w:rsidRPr="00E958CE">
              <w:rPr>
                <w:rFonts w:cs="Times New Roman"/>
                <w:color w:val="000000" w:themeColor="text1"/>
                <w:sz w:val="24"/>
                <w:szCs w:val="24"/>
              </w:rPr>
              <w:t>Kasvav maailmaturu nõudlus (toit + bioenergia) – ekspordi suurendamine</w:t>
            </w:r>
          </w:p>
          <w:p w:rsidR="002E5AFC" w:rsidRPr="00E958CE" w:rsidRDefault="002E5AFC" w:rsidP="002E5AFC">
            <w:pPr>
              <w:numPr>
                <w:ilvl w:val="0"/>
                <w:numId w:val="5"/>
              </w:numPr>
              <w:tabs>
                <w:tab w:val="num" w:pos="459"/>
              </w:tabs>
              <w:spacing w:line="276" w:lineRule="auto"/>
              <w:ind w:left="459" w:hanging="426"/>
              <w:rPr>
                <w:rFonts w:cs="Times New Roman"/>
                <w:color w:val="000000" w:themeColor="text1"/>
                <w:sz w:val="24"/>
                <w:szCs w:val="24"/>
              </w:rPr>
            </w:pPr>
            <w:r w:rsidRPr="00E958CE">
              <w:rPr>
                <w:rFonts w:cs="Times New Roman"/>
                <w:color w:val="000000" w:themeColor="text1"/>
                <w:sz w:val="24"/>
                <w:szCs w:val="24"/>
              </w:rPr>
              <w:t>Konkurentsivõime tõus ja tuntuse laienemine maailmaturul (ühised kauplemisvõimalused ja infovahetus teiste teraviljakasvatusmaadega)</w:t>
            </w:r>
          </w:p>
          <w:p w:rsidR="002E5AFC" w:rsidRPr="00E958CE" w:rsidRDefault="002E5AFC" w:rsidP="002E5AFC">
            <w:pPr>
              <w:numPr>
                <w:ilvl w:val="0"/>
                <w:numId w:val="5"/>
              </w:numPr>
              <w:tabs>
                <w:tab w:val="num" w:pos="459"/>
              </w:tabs>
              <w:spacing w:line="276" w:lineRule="auto"/>
              <w:ind w:left="459" w:hanging="426"/>
              <w:rPr>
                <w:rFonts w:cs="Times New Roman"/>
                <w:color w:val="000000" w:themeColor="text1"/>
                <w:sz w:val="24"/>
                <w:szCs w:val="24"/>
              </w:rPr>
            </w:pPr>
            <w:r w:rsidRPr="00E958CE">
              <w:rPr>
                <w:rFonts w:cs="Times New Roman"/>
                <w:color w:val="000000" w:themeColor="text1"/>
                <w:sz w:val="24"/>
                <w:szCs w:val="24"/>
              </w:rPr>
              <w:t>Uute regioo</w:t>
            </w:r>
            <w:r w:rsidR="007B6CD7">
              <w:rPr>
                <w:rFonts w:cs="Times New Roman"/>
                <w:color w:val="000000" w:themeColor="text1"/>
                <w:sz w:val="24"/>
                <w:szCs w:val="24"/>
              </w:rPr>
              <w:t>ni sobivate sortide turule toomine</w:t>
            </w:r>
          </w:p>
          <w:p w:rsidR="002E5AFC" w:rsidRPr="00E958CE" w:rsidRDefault="002E5AFC" w:rsidP="002E5AFC">
            <w:pPr>
              <w:numPr>
                <w:ilvl w:val="0"/>
                <w:numId w:val="5"/>
              </w:numPr>
              <w:tabs>
                <w:tab w:val="num" w:pos="459"/>
              </w:tabs>
              <w:spacing w:line="276" w:lineRule="auto"/>
              <w:ind w:left="459" w:hanging="426"/>
              <w:rPr>
                <w:rFonts w:cs="Times New Roman"/>
                <w:color w:val="000000" w:themeColor="text1"/>
                <w:sz w:val="24"/>
                <w:szCs w:val="24"/>
              </w:rPr>
            </w:pPr>
            <w:r w:rsidRPr="00E958CE">
              <w:rPr>
                <w:rFonts w:cs="Times New Roman"/>
                <w:color w:val="000000" w:themeColor="text1"/>
                <w:sz w:val="24"/>
                <w:szCs w:val="24"/>
              </w:rPr>
              <w:t>Kodumaise toidu väärtustamine (eelista Eestimaist)</w:t>
            </w:r>
          </w:p>
          <w:p w:rsidR="002E5AFC" w:rsidRPr="00E958CE" w:rsidRDefault="002E5AFC" w:rsidP="002E5AFC">
            <w:pPr>
              <w:numPr>
                <w:ilvl w:val="0"/>
                <w:numId w:val="5"/>
              </w:numPr>
              <w:tabs>
                <w:tab w:val="num" w:pos="459"/>
              </w:tabs>
              <w:spacing w:line="276" w:lineRule="auto"/>
              <w:ind w:left="459" w:hanging="426"/>
              <w:rPr>
                <w:rFonts w:cs="Times New Roman"/>
                <w:color w:val="000000" w:themeColor="text1"/>
                <w:sz w:val="24"/>
                <w:szCs w:val="24"/>
              </w:rPr>
            </w:pPr>
            <w:r w:rsidRPr="00E958CE">
              <w:rPr>
                <w:rFonts w:cs="Times New Roman"/>
                <w:color w:val="000000" w:themeColor="text1"/>
                <w:sz w:val="24"/>
                <w:szCs w:val="24"/>
              </w:rPr>
              <w:t xml:space="preserve">Võrdsem ja selgem põllumajanduspoliitika </w:t>
            </w:r>
          </w:p>
          <w:p w:rsidR="002E5AFC" w:rsidRPr="00E958CE" w:rsidRDefault="002E5AFC" w:rsidP="002E5AFC">
            <w:pPr>
              <w:numPr>
                <w:ilvl w:val="0"/>
                <w:numId w:val="5"/>
              </w:numPr>
              <w:tabs>
                <w:tab w:val="num" w:pos="459"/>
              </w:tabs>
              <w:spacing w:line="276" w:lineRule="auto"/>
              <w:ind w:left="459" w:hanging="426"/>
              <w:rPr>
                <w:rFonts w:cs="Times New Roman"/>
                <w:color w:val="000000" w:themeColor="text1"/>
                <w:sz w:val="24"/>
                <w:szCs w:val="24"/>
              </w:rPr>
            </w:pPr>
            <w:r w:rsidRPr="00E958CE">
              <w:rPr>
                <w:rFonts w:cs="Times New Roman"/>
                <w:color w:val="000000" w:themeColor="text1"/>
                <w:sz w:val="24"/>
                <w:szCs w:val="24"/>
              </w:rPr>
              <w:t>Erinevate nišitoodete  (nt õlleoder, mahevili) nõudluse ja ekspordi  kasv</w:t>
            </w:r>
          </w:p>
          <w:p w:rsidR="002E5AFC" w:rsidRPr="00E958CE" w:rsidRDefault="002E5AFC" w:rsidP="002E5AFC">
            <w:pPr>
              <w:numPr>
                <w:ilvl w:val="0"/>
                <w:numId w:val="5"/>
              </w:numPr>
              <w:tabs>
                <w:tab w:val="num" w:pos="459"/>
              </w:tabs>
              <w:spacing w:line="276" w:lineRule="auto"/>
              <w:ind w:left="459" w:hanging="426"/>
              <w:rPr>
                <w:rFonts w:cs="Times New Roman"/>
                <w:color w:val="000000" w:themeColor="text1"/>
                <w:sz w:val="24"/>
                <w:szCs w:val="24"/>
              </w:rPr>
            </w:pPr>
            <w:r w:rsidRPr="00E958CE">
              <w:rPr>
                <w:rFonts w:cs="Times New Roman"/>
                <w:color w:val="000000" w:themeColor="text1"/>
                <w:sz w:val="24"/>
                <w:szCs w:val="24"/>
              </w:rPr>
              <w:t>Loomakasvatussektori areng teravilja tarbijana ja orgaanilise väetise andjana</w:t>
            </w:r>
          </w:p>
          <w:p w:rsidR="002E5AFC" w:rsidRPr="00E958CE" w:rsidRDefault="002E5AFC" w:rsidP="002E5AFC">
            <w:pPr>
              <w:numPr>
                <w:ilvl w:val="0"/>
                <w:numId w:val="5"/>
              </w:numPr>
              <w:tabs>
                <w:tab w:val="num" w:pos="459"/>
              </w:tabs>
              <w:spacing w:line="276" w:lineRule="auto"/>
              <w:ind w:left="459" w:hanging="426"/>
              <w:rPr>
                <w:rFonts w:cs="Times New Roman"/>
                <w:color w:val="000000" w:themeColor="text1"/>
                <w:sz w:val="24"/>
                <w:szCs w:val="24"/>
              </w:rPr>
            </w:pPr>
            <w:r w:rsidRPr="00E958CE">
              <w:rPr>
                <w:rFonts w:cs="Times New Roman"/>
                <w:bCs/>
                <w:color w:val="000000" w:themeColor="text1"/>
                <w:sz w:val="24"/>
                <w:szCs w:val="24"/>
              </w:rPr>
              <w:t xml:space="preserve">Kogu teravilja tarneahela koostöö kasvava </w:t>
            </w:r>
            <w:r w:rsidRPr="00814B78">
              <w:rPr>
                <w:rFonts w:cs="Times New Roman"/>
                <w:bCs/>
                <w:sz w:val="24"/>
                <w:szCs w:val="24"/>
              </w:rPr>
              <w:t>nõudluse rahuldamiseks</w:t>
            </w:r>
          </w:p>
        </w:tc>
        <w:tc>
          <w:tcPr>
            <w:tcW w:w="4819" w:type="dxa"/>
          </w:tcPr>
          <w:p w:rsidR="002E5AFC" w:rsidRPr="00E958CE" w:rsidRDefault="002E5AFC" w:rsidP="002E5AFC">
            <w:pPr>
              <w:numPr>
                <w:ilvl w:val="0"/>
                <w:numId w:val="6"/>
              </w:numPr>
              <w:tabs>
                <w:tab w:val="num" w:pos="493"/>
              </w:tabs>
              <w:spacing w:line="276" w:lineRule="auto"/>
              <w:ind w:left="493" w:hanging="426"/>
              <w:contextualSpacing/>
              <w:rPr>
                <w:rFonts w:eastAsia="Calibri" w:cs="Times New Roman"/>
                <w:color w:val="000000" w:themeColor="text1"/>
                <w:sz w:val="24"/>
                <w:szCs w:val="24"/>
              </w:rPr>
            </w:pPr>
            <w:r w:rsidRPr="00E958CE">
              <w:rPr>
                <w:rFonts w:eastAsia="Calibri" w:cs="Times New Roman"/>
                <w:color w:val="000000" w:themeColor="text1"/>
                <w:sz w:val="24"/>
                <w:szCs w:val="24"/>
              </w:rPr>
              <w:t>Sisendite hinnad ebastabiilsed</w:t>
            </w:r>
          </w:p>
          <w:p w:rsidR="002E5AFC" w:rsidRPr="00E958CE" w:rsidRDefault="002E5AFC" w:rsidP="002E5AFC">
            <w:pPr>
              <w:numPr>
                <w:ilvl w:val="0"/>
                <w:numId w:val="6"/>
              </w:numPr>
              <w:tabs>
                <w:tab w:val="num" w:pos="493"/>
              </w:tabs>
              <w:spacing w:line="276" w:lineRule="auto"/>
              <w:ind w:left="493" w:hanging="426"/>
              <w:contextualSpacing/>
              <w:rPr>
                <w:rFonts w:eastAsia="Calibri" w:cs="Times New Roman"/>
                <w:color w:val="000000" w:themeColor="text1"/>
                <w:sz w:val="24"/>
                <w:szCs w:val="24"/>
              </w:rPr>
            </w:pPr>
            <w:r w:rsidRPr="00E958CE">
              <w:rPr>
                <w:rFonts w:eastAsia="Calibri" w:cs="Times New Roman"/>
                <w:color w:val="000000" w:themeColor="text1"/>
                <w:sz w:val="24"/>
                <w:szCs w:val="24"/>
              </w:rPr>
              <w:t xml:space="preserve">Spekulatiivsus, mis mõjutab teravilja hindade stabiilsust </w:t>
            </w:r>
          </w:p>
          <w:p w:rsidR="002E5AFC" w:rsidRPr="00E958CE" w:rsidRDefault="002E5AFC" w:rsidP="002E5AFC">
            <w:pPr>
              <w:numPr>
                <w:ilvl w:val="0"/>
                <w:numId w:val="6"/>
              </w:numPr>
              <w:tabs>
                <w:tab w:val="num" w:pos="493"/>
              </w:tabs>
              <w:spacing w:line="276" w:lineRule="auto"/>
              <w:ind w:left="493" w:hanging="426"/>
              <w:contextualSpacing/>
              <w:rPr>
                <w:rFonts w:eastAsia="Calibri" w:cs="Times New Roman"/>
                <w:color w:val="000000" w:themeColor="text1"/>
                <w:sz w:val="24"/>
                <w:szCs w:val="24"/>
              </w:rPr>
            </w:pPr>
            <w:r w:rsidRPr="00E958CE">
              <w:rPr>
                <w:rFonts w:eastAsia="Calibri" w:cs="Times New Roman"/>
                <w:color w:val="000000" w:themeColor="text1"/>
                <w:sz w:val="24"/>
                <w:szCs w:val="24"/>
              </w:rPr>
              <w:t>Ebaratsionaalse tootmisega oht jätkusuutlikkusele (maa väljakurnamine)</w:t>
            </w:r>
          </w:p>
          <w:p w:rsidR="002E5AFC" w:rsidRPr="00E958CE" w:rsidRDefault="002E5AFC" w:rsidP="002E5AFC">
            <w:pPr>
              <w:numPr>
                <w:ilvl w:val="0"/>
                <w:numId w:val="6"/>
              </w:numPr>
              <w:tabs>
                <w:tab w:val="num" w:pos="493"/>
              </w:tabs>
              <w:spacing w:line="276" w:lineRule="auto"/>
              <w:ind w:left="493" w:hanging="426"/>
              <w:contextualSpacing/>
              <w:rPr>
                <w:rFonts w:eastAsia="Calibri" w:cs="Times New Roman"/>
                <w:color w:val="000000" w:themeColor="text1"/>
                <w:sz w:val="24"/>
                <w:szCs w:val="24"/>
              </w:rPr>
            </w:pPr>
            <w:r w:rsidRPr="00E958CE">
              <w:rPr>
                <w:rFonts w:eastAsia="Calibri" w:cs="Times New Roman"/>
                <w:color w:val="000000" w:themeColor="text1"/>
                <w:sz w:val="24"/>
                <w:szCs w:val="24"/>
              </w:rPr>
              <w:t>Maa hinna jätkuv tõus</w:t>
            </w:r>
          </w:p>
          <w:p w:rsidR="009229BB" w:rsidRDefault="009229BB" w:rsidP="002E5AFC">
            <w:pPr>
              <w:numPr>
                <w:ilvl w:val="0"/>
                <w:numId w:val="6"/>
              </w:numPr>
              <w:tabs>
                <w:tab w:val="num" w:pos="493"/>
              </w:tabs>
              <w:spacing w:line="276" w:lineRule="auto"/>
              <w:ind w:left="493" w:hanging="426"/>
              <w:contextualSpacing/>
              <w:rPr>
                <w:rFonts w:eastAsia="Calibri" w:cs="Times New Roman"/>
                <w:color w:val="000000" w:themeColor="text1"/>
                <w:sz w:val="24"/>
                <w:szCs w:val="24"/>
              </w:rPr>
            </w:pPr>
            <w:r w:rsidRPr="009229BB">
              <w:rPr>
                <w:rFonts w:eastAsia="Calibri" w:cs="Times New Roman"/>
                <w:color w:val="000000" w:themeColor="text1"/>
                <w:sz w:val="24"/>
                <w:szCs w:val="24"/>
              </w:rPr>
              <w:t>Maa siirdumine välisettevõtete ja omanike omandusse, mille puhul ei ole tagatud toidujulgeolek ja maa kasutamine põllumajandustootmiseks</w:t>
            </w:r>
          </w:p>
          <w:p w:rsidR="002E5AFC" w:rsidRPr="00E958CE" w:rsidRDefault="002E5AFC" w:rsidP="002E5AFC">
            <w:pPr>
              <w:numPr>
                <w:ilvl w:val="0"/>
                <w:numId w:val="6"/>
              </w:numPr>
              <w:tabs>
                <w:tab w:val="num" w:pos="493"/>
              </w:tabs>
              <w:spacing w:line="276" w:lineRule="auto"/>
              <w:ind w:left="493" w:hanging="426"/>
              <w:contextualSpacing/>
              <w:rPr>
                <w:rFonts w:eastAsia="Calibri" w:cs="Times New Roman"/>
                <w:color w:val="000000" w:themeColor="text1"/>
                <w:sz w:val="24"/>
                <w:szCs w:val="24"/>
              </w:rPr>
            </w:pPr>
            <w:r w:rsidRPr="00E958CE">
              <w:rPr>
                <w:rFonts w:eastAsia="Calibri" w:cs="Times New Roman"/>
                <w:color w:val="000000" w:themeColor="text1"/>
                <w:sz w:val="24"/>
                <w:szCs w:val="24"/>
              </w:rPr>
              <w:t>Senini mitte esinenud taimehaiguste, -kahjurite  ja umbrohtude levik</w:t>
            </w:r>
          </w:p>
          <w:p w:rsidR="002E5AFC" w:rsidRPr="00E958CE" w:rsidRDefault="002E5AFC" w:rsidP="002E5AFC">
            <w:pPr>
              <w:numPr>
                <w:ilvl w:val="0"/>
                <w:numId w:val="6"/>
              </w:numPr>
              <w:tabs>
                <w:tab w:val="num" w:pos="493"/>
              </w:tabs>
              <w:spacing w:line="276" w:lineRule="auto"/>
              <w:ind w:left="493" w:hanging="426"/>
              <w:contextualSpacing/>
              <w:rPr>
                <w:rFonts w:eastAsia="Calibri" w:cs="Times New Roman"/>
                <w:color w:val="000000" w:themeColor="text1"/>
                <w:sz w:val="24"/>
                <w:szCs w:val="24"/>
              </w:rPr>
            </w:pPr>
            <w:r w:rsidRPr="00E958CE">
              <w:rPr>
                <w:rFonts w:eastAsia="Calibri" w:cs="Times New Roman"/>
                <w:color w:val="000000" w:themeColor="text1"/>
                <w:sz w:val="24"/>
                <w:szCs w:val="24"/>
              </w:rPr>
              <w:t xml:space="preserve">Piiravad regulatsioonid ja bürokraatia </w:t>
            </w:r>
          </w:p>
          <w:p w:rsidR="002E5AFC" w:rsidRPr="00E958CE" w:rsidRDefault="001E2031" w:rsidP="002E5AFC">
            <w:pPr>
              <w:numPr>
                <w:ilvl w:val="0"/>
                <w:numId w:val="6"/>
              </w:numPr>
              <w:tabs>
                <w:tab w:val="num" w:pos="493"/>
              </w:tabs>
              <w:spacing w:line="276" w:lineRule="auto"/>
              <w:ind w:left="493" w:hanging="426"/>
              <w:contextualSpacing/>
              <w:rPr>
                <w:rFonts w:eastAsia="Calibri" w:cs="Times New Roman"/>
                <w:color w:val="000000" w:themeColor="text1"/>
                <w:sz w:val="24"/>
                <w:szCs w:val="24"/>
              </w:rPr>
            </w:pPr>
            <w:r>
              <w:rPr>
                <w:rFonts w:eastAsia="Calibri" w:cs="Times New Roman"/>
                <w:color w:val="000000" w:themeColor="text1"/>
                <w:sz w:val="24"/>
                <w:szCs w:val="24"/>
              </w:rPr>
              <w:t>Võimalikust keskkonnakoormusest n</w:t>
            </w:r>
            <w:r w:rsidR="009D5533">
              <w:rPr>
                <w:rFonts w:eastAsia="Calibri" w:cs="Times New Roman"/>
                <w:color w:val="000000" w:themeColor="text1"/>
                <w:sz w:val="24"/>
                <w:szCs w:val="24"/>
              </w:rPr>
              <w:t>egatiivsed</w:t>
            </w:r>
            <w:r w:rsidR="002E5AFC" w:rsidRPr="00E958CE">
              <w:rPr>
                <w:rFonts w:eastAsia="Calibri" w:cs="Times New Roman"/>
                <w:color w:val="000000" w:themeColor="text1"/>
                <w:sz w:val="24"/>
                <w:szCs w:val="24"/>
              </w:rPr>
              <w:t xml:space="preserve"> hinnangud põllumajandustootmise mõjule</w:t>
            </w:r>
          </w:p>
          <w:p w:rsidR="002E5AFC" w:rsidRPr="00E958CE" w:rsidRDefault="002E5AFC" w:rsidP="002E5AFC">
            <w:pPr>
              <w:numPr>
                <w:ilvl w:val="0"/>
                <w:numId w:val="6"/>
              </w:numPr>
              <w:tabs>
                <w:tab w:val="num" w:pos="493"/>
              </w:tabs>
              <w:spacing w:line="276" w:lineRule="auto"/>
              <w:ind w:left="493" w:hanging="426"/>
              <w:rPr>
                <w:rFonts w:cs="Times New Roman"/>
                <w:color w:val="000000" w:themeColor="text1"/>
                <w:sz w:val="24"/>
                <w:szCs w:val="24"/>
              </w:rPr>
            </w:pPr>
            <w:r w:rsidRPr="00E958CE">
              <w:rPr>
                <w:rFonts w:cs="Times New Roman"/>
                <w:color w:val="000000" w:themeColor="text1"/>
                <w:sz w:val="24"/>
                <w:szCs w:val="24"/>
              </w:rPr>
              <w:t>Äärmuslike ilmastikunähtuste sagedam esinemine</w:t>
            </w:r>
          </w:p>
          <w:p w:rsidR="002E5AFC" w:rsidRPr="00E958CE" w:rsidRDefault="002E5AFC" w:rsidP="002E5AFC">
            <w:pPr>
              <w:numPr>
                <w:ilvl w:val="0"/>
                <w:numId w:val="6"/>
              </w:numPr>
              <w:tabs>
                <w:tab w:val="num" w:pos="493"/>
              </w:tabs>
              <w:spacing w:line="276" w:lineRule="auto"/>
              <w:ind w:left="493" w:hanging="426"/>
              <w:rPr>
                <w:rFonts w:cs="Times New Roman"/>
                <w:color w:val="000000" w:themeColor="text1"/>
                <w:sz w:val="24"/>
                <w:szCs w:val="24"/>
              </w:rPr>
            </w:pPr>
            <w:r w:rsidRPr="00814B78">
              <w:rPr>
                <w:rFonts w:cs="Times New Roman"/>
                <w:sz w:val="24"/>
                <w:szCs w:val="24"/>
              </w:rPr>
              <w:t>Tarbijate ostuvõime piiratus</w:t>
            </w:r>
          </w:p>
        </w:tc>
      </w:tr>
    </w:tbl>
    <w:p w:rsidR="002E5AFC" w:rsidRPr="00E958CE" w:rsidRDefault="002E5AFC" w:rsidP="00477D22">
      <w:pPr>
        <w:pStyle w:val="Heading1"/>
        <w:numPr>
          <w:ilvl w:val="0"/>
          <w:numId w:val="44"/>
        </w:numPr>
        <w:spacing w:line="276" w:lineRule="auto"/>
        <w:ind w:left="567" w:hanging="567"/>
        <w:jc w:val="both"/>
        <w:rPr>
          <w:rFonts w:ascii="Times New Roman" w:hAnsi="Times New Roman" w:cs="Times New Roman"/>
          <w:b w:val="0"/>
          <w:sz w:val="32"/>
          <w:szCs w:val="32"/>
        </w:rPr>
      </w:pPr>
      <w:bookmarkStart w:id="150" w:name="_Toc389128792"/>
      <w:bookmarkStart w:id="151" w:name="_Toc389131339"/>
      <w:bookmarkStart w:id="152" w:name="_Toc389223874"/>
      <w:bookmarkStart w:id="153" w:name="_Toc389223936"/>
      <w:bookmarkStart w:id="154" w:name="_Toc391908867"/>
      <w:bookmarkStart w:id="155" w:name="_Toc391991801"/>
      <w:bookmarkStart w:id="156" w:name="_Toc397593021"/>
      <w:bookmarkStart w:id="157" w:name="_Toc398896317"/>
      <w:bookmarkStart w:id="158" w:name="_Toc398896457"/>
      <w:bookmarkStart w:id="159" w:name="_Toc400972829"/>
      <w:r w:rsidRPr="00E958CE">
        <w:rPr>
          <w:rFonts w:ascii="Times New Roman" w:hAnsi="Times New Roman" w:cs="Times New Roman"/>
          <w:sz w:val="32"/>
          <w:szCs w:val="32"/>
        </w:rPr>
        <w:lastRenderedPageBreak/>
        <w:t>Meetmed ja tegevused strateegiliste eesmärkide täitmiseks</w:t>
      </w:r>
      <w:bookmarkEnd w:id="150"/>
      <w:bookmarkEnd w:id="151"/>
      <w:bookmarkEnd w:id="152"/>
      <w:bookmarkEnd w:id="153"/>
      <w:bookmarkEnd w:id="154"/>
      <w:bookmarkEnd w:id="155"/>
      <w:bookmarkEnd w:id="156"/>
      <w:bookmarkEnd w:id="157"/>
      <w:bookmarkEnd w:id="158"/>
      <w:bookmarkEnd w:id="159"/>
    </w:p>
    <w:p w:rsidR="00985BF9" w:rsidRDefault="00985BF9" w:rsidP="002E5AFC">
      <w:pPr>
        <w:autoSpaceDE w:val="0"/>
        <w:autoSpaceDN w:val="0"/>
        <w:spacing w:line="276" w:lineRule="auto"/>
        <w:contextualSpacing/>
        <w:jc w:val="both"/>
        <w:rPr>
          <w:rFonts w:ascii="Times New Roman" w:hAnsi="Times New Roman" w:cs="Times New Roman"/>
          <w:sz w:val="24"/>
          <w:szCs w:val="24"/>
        </w:rPr>
      </w:pPr>
    </w:p>
    <w:p w:rsidR="007B2085" w:rsidRPr="007B2085" w:rsidRDefault="007B2085" w:rsidP="007B2085">
      <w:pPr>
        <w:keepNext/>
        <w:framePr w:dropCap="drop" w:lines="3" w:wrap="around" w:vAnchor="text" w:hAnchor="text"/>
        <w:spacing w:line="793" w:lineRule="exact"/>
        <w:jc w:val="both"/>
        <w:textAlignment w:val="baseline"/>
        <w:rPr>
          <w:rStyle w:val="IntenseReference"/>
          <w:i w:val="0"/>
          <w:position w:val="-8"/>
          <w:sz w:val="104"/>
        </w:rPr>
      </w:pPr>
      <w:r w:rsidRPr="007B2085">
        <w:rPr>
          <w:rStyle w:val="IntenseReference"/>
          <w:i w:val="0"/>
          <w:position w:val="-8"/>
          <w:sz w:val="104"/>
        </w:rPr>
        <w:t>e</w:t>
      </w:r>
    </w:p>
    <w:p w:rsidR="00D4502A" w:rsidRPr="002E28E2" w:rsidRDefault="00AF388B" w:rsidP="00D4502A">
      <w:pPr>
        <w:spacing w:line="276" w:lineRule="auto"/>
        <w:jc w:val="both"/>
        <w:rPr>
          <w:rStyle w:val="IntenseReference"/>
          <w:i w:val="0"/>
        </w:rPr>
      </w:pPr>
      <w:r>
        <w:rPr>
          <w:rStyle w:val="IntenseReference"/>
          <w:i w:val="0"/>
        </w:rPr>
        <w:t>esti</w:t>
      </w:r>
      <w:r w:rsidR="00985BF9">
        <w:rPr>
          <w:rStyle w:val="IntenseReference"/>
          <w:i w:val="0"/>
        </w:rPr>
        <w:t xml:space="preserve"> </w:t>
      </w:r>
      <w:r w:rsidR="00136CA0">
        <w:rPr>
          <w:rStyle w:val="IntenseReference"/>
          <w:i w:val="0"/>
        </w:rPr>
        <w:t>teravilja ja</w:t>
      </w:r>
      <w:r w:rsidR="00985BF9" w:rsidRPr="00B9113E">
        <w:rPr>
          <w:rStyle w:val="IntenseReference"/>
          <w:i w:val="0"/>
        </w:rPr>
        <w:t xml:space="preserve"> </w:t>
      </w:r>
      <w:r w:rsidR="00136CA0">
        <w:rPr>
          <w:rStyle w:val="IntenseReference"/>
          <w:i w:val="0"/>
        </w:rPr>
        <w:t>rapsi</w:t>
      </w:r>
      <w:r w:rsidR="00985BF9" w:rsidRPr="00B9113E">
        <w:rPr>
          <w:rStyle w:val="IntenseReference"/>
          <w:i w:val="0"/>
        </w:rPr>
        <w:t xml:space="preserve"> </w:t>
      </w:r>
      <w:r w:rsidR="00985BF9">
        <w:rPr>
          <w:rStyle w:val="IntenseReference"/>
          <w:i w:val="0"/>
        </w:rPr>
        <w:t>saagikus on üks madalamaid euroopa</w:t>
      </w:r>
      <w:r w:rsidR="00985BF9" w:rsidRPr="00B9113E">
        <w:rPr>
          <w:rStyle w:val="IntenseReference"/>
          <w:i w:val="0"/>
        </w:rPr>
        <w:t xml:space="preserve"> </w:t>
      </w:r>
      <w:r w:rsidR="00985BF9">
        <w:rPr>
          <w:rStyle w:val="IntenseReference"/>
          <w:i w:val="0"/>
        </w:rPr>
        <w:t xml:space="preserve">liidus. </w:t>
      </w:r>
      <w:r w:rsidR="00D4502A" w:rsidRPr="002E28E2">
        <w:rPr>
          <w:rStyle w:val="IntenseReference"/>
          <w:i w:val="0"/>
        </w:rPr>
        <w:t>Põllumajandustootmisel on suured tootmiskulud, mis väikese saagitaseme juur</w:t>
      </w:r>
      <w:r w:rsidR="00193B4E">
        <w:rPr>
          <w:rStyle w:val="IntenseReference"/>
          <w:i w:val="0"/>
        </w:rPr>
        <w:t xml:space="preserve">es ületavad realiseerimishinda, millest </w:t>
      </w:r>
      <w:r w:rsidR="00D4502A" w:rsidRPr="002E28E2">
        <w:rPr>
          <w:rStyle w:val="IntenseReference"/>
          <w:i w:val="0"/>
        </w:rPr>
        <w:t xml:space="preserve">tulenevalt ei jätku paljudel põllumajandustootjatel piisavalt vahendeid </w:t>
      </w:r>
      <w:r w:rsidR="00764831">
        <w:rPr>
          <w:rStyle w:val="IntenseReference"/>
          <w:i w:val="0"/>
        </w:rPr>
        <w:t xml:space="preserve">vajalike </w:t>
      </w:r>
      <w:r w:rsidR="00D4502A" w:rsidRPr="002E28E2">
        <w:rPr>
          <w:rStyle w:val="IntenseReference"/>
          <w:i w:val="0"/>
        </w:rPr>
        <w:t>investeeringute tegemiseks.</w:t>
      </w:r>
    </w:p>
    <w:p w:rsidR="00985BF9" w:rsidRDefault="00985BF9">
      <w:pPr>
        <w:rPr>
          <w:rStyle w:val="IntenseReference"/>
          <w:i w:val="0"/>
        </w:rPr>
      </w:pPr>
    </w:p>
    <w:p w:rsidR="00985BF9" w:rsidRPr="00E958CE" w:rsidRDefault="00985BF9" w:rsidP="00985BF9">
      <w:pPr>
        <w:autoSpaceDE w:val="0"/>
        <w:autoSpaceDN w:val="0"/>
        <w:spacing w:line="276" w:lineRule="auto"/>
        <w:contextualSpacing/>
        <w:jc w:val="both"/>
        <w:rPr>
          <w:rFonts w:ascii="Times New Roman" w:eastAsia="Calibri" w:hAnsi="Times New Roman" w:cs="Times New Roman"/>
          <w:sz w:val="24"/>
          <w:szCs w:val="24"/>
        </w:rPr>
      </w:pPr>
      <w:r w:rsidRPr="00E958CE">
        <w:rPr>
          <w:rFonts w:ascii="Times New Roman" w:eastAsia="Calibri" w:hAnsi="Times New Roman" w:cs="Times New Roman"/>
          <w:b/>
          <w:sz w:val="24"/>
          <w:szCs w:val="24"/>
        </w:rPr>
        <w:t>Teravilja</w:t>
      </w:r>
      <w:r w:rsidR="00136CA0">
        <w:rPr>
          <w:rFonts w:ascii="Times New Roman" w:eastAsia="Calibri" w:hAnsi="Times New Roman" w:cs="Times New Roman"/>
          <w:b/>
          <w:sz w:val="24"/>
          <w:szCs w:val="24"/>
        </w:rPr>
        <w:t xml:space="preserve"> ja rapsi</w:t>
      </w:r>
      <w:r w:rsidRPr="00E958CE">
        <w:rPr>
          <w:rFonts w:ascii="Times New Roman" w:eastAsia="Calibri" w:hAnsi="Times New Roman" w:cs="Times New Roman"/>
          <w:b/>
          <w:sz w:val="24"/>
          <w:szCs w:val="24"/>
        </w:rPr>
        <w:t xml:space="preserve"> tootmise suurendamise ja keskmise saagikuse tõstmise</w:t>
      </w:r>
      <w:r w:rsidRPr="00E958CE">
        <w:rPr>
          <w:rFonts w:ascii="Times New Roman" w:eastAsia="Calibri" w:hAnsi="Times New Roman" w:cs="Times New Roman"/>
          <w:sz w:val="24"/>
          <w:szCs w:val="24"/>
        </w:rPr>
        <w:t xml:space="preserve"> üheks eelduseks on tihe koostöö teadus- ja arendusasutuste ning põlluma</w:t>
      </w:r>
      <w:r w:rsidR="00C427F4">
        <w:rPr>
          <w:rFonts w:ascii="Times New Roman" w:eastAsia="Calibri" w:hAnsi="Times New Roman" w:cs="Times New Roman"/>
          <w:sz w:val="24"/>
          <w:szCs w:val="24"/>
        </w:rPr>
        <w:t>jandustootjate vahel ning</w:t>
      </w:r>
      <w:r w:rsidRPr="00E958CE">
        <w:rPr>
          <w:rFonts w:ascii="Times New Roman" w:eastAsia="Calibri" w:hAnsi="Times New Roman" w:cs="Times New Roman"/>
          <w:sz w:val="24"/>
          <w:szCs w:val="24"/>
        </w:rPr>
        <w:t xml:space="preserve"> ka toimiv nõuandetegevus. Teadmiste otsene rakendamine praktikas tagab kvaliteetse teravilja </w:t>
      </w:r>
      <w:r w:rsidR="00136CA0">
        <w:rPr>
          <w:rFonts w:ascii="Times New Roman" w:eastAsia="Calibri" w:hAnsi="Times New Roman" w:cs="Times New Roman"/>
          <w:sz w:val="24"/>
          <w:szCs w:val="24"/>
        </w:rPr>
        <w:t xml:space="preserve">ja rapsi </w:t>
      </w:r>
      <w:r w:rsidRPr="00E958CE">
        <w:rPr>
          <w:rFonts w:ascii="Times New Roman" w:eastAsia="Calibri" w:hAnsi="Times New Roman" w:cs="Times New Roman"/>
          <w:sz w:val="24"/>
          <w:szCs w:val="24"/>
        </w:rPr>
        <w:t>tootmise Eesti tööstustele, misläbi tagatakse lisandväärtuse kasv ja sektori jätkusuutlikkus. Järjest enam loeb teravilja</w:t>
      </w:r>
      <w:r w:rsidR="00136CA0">
        <w:rPr>
          <w:rFonts w:ascii="Times New Roman" w:eastAsia="Calibri" w:hAnsi="Times New Roman" w:cs="Times New Roman"/>
          <w:sz w:val="24"/>
          <w:szCs w:val="24"/>
        </w:rPr>
        <w:t xml:space="preserve"> ja rapsi</w:t>
      </w:r>
      <w:r w:rsidRPr="00E958CE">
        <w:rPr>
          <w:rFonts w:ascii="Times New Roman" w:eastAsia="Calibri" w:hAnsi="Times New Roman" w:cs="Times New Roman"/>
          <w:sz w:val="24"/>
          <w:szCs w:val="24"/>
        </w:rPr>
        <w:t xml:space="preserve"> kasvatamisel õige (Eesti oludesse sobiva) sordi valik ja sertifitseeritud seemne kasutamine, millega luuakse e</w:t>
      </w:r>
      <w:r>
        <w:rPr>
          <w:rFonts w:ascii="Times New Roman" w:eastAsia="Calibri" w:hAnsi="Times New Roman" w:cs="Times New Roman"/>
          <w:sz w:val="24"/>
          <w:szCs w:val="24"/>
        </w:rPr>
        <w:t xml:space="preserve">smased alused kvaliteetse </w:t>
      </w:r>
      <w:r w:rsidRPr="00E958CE">
        <w:rPr>
          <w:rFonts w:ascii="Times New Roman" w:eastAsia="Calibri" w:hAnsi="Times New Roman" w:cs="Times New Roman"/>
          <w:sz w:val="24"/>
          <w:szCs w:val="24"/>
        </w:rPr>
        <w:t>teravilja</w:t>
      </w:r>
      <w:r w:rsidR="00136CA0">
        <w:rPr>
          <w:rFonts w:ascii="Times New Roman" w:eastAsia="Calibri" w:hAnsi="Times New Roman" w:cs="Times New Roman"/>
          <w:sz w:val="24"/>
          <w:szCs w:val="24"/>
        </w:rPr>
        <w:t xml:space="preserve"> ja rapsi</w:t>
      </w:r>
      <w:r w:rsidRPr="00E958CE">
        <w:rPr>
          <w:rFonts w:ascii="Times New Roman" w:eastAsia="Calibri" w:hAnsi="Times New Roman" w:cs="Times New Roman"/>
          <w:sz w:val="24"/>
          <w:szCs w:val="24"/>
        </w:rPr>
        <w:t xml:space="preserve"> saagikuse tõstmiseks. </w:t>
      </w:r>
    </w:p>
    <w:p w:rsidR="00985BF9" w:rsidRDefault="00985BF9">
      <w:pPr>
        <w:rPr>
          <w:rStyle w:val="IntenseReference"/>
          <w:i w:val="0"/>
        </w:rPr>
      </w:pPr>
    </w:p>
    <w:p w:rsidR="00985BF9" w:rsidRPr="00E958CE" w:rsidRDefault="00985BF9" w:rsidP="00985BF9">
      <w:pPr>
        <w:autoSpaceDE w:val="0"/>
        <w:autoSpaceDN w:val="0"/>
        <w:spacing w:line="276" w:lineRule="auto"/>
        <w:contextualSpacing/>
        <w:jc w:val="both"/>
        <w:rPr>
          <w:rFonts w:ascii="Times New Roman" w:eastAsia="Calibri" w:hAnsi="Times New Roman" w:cs="Times New Roman"/>
          <w:sz w:val="24"/>
          <w:szCs w:val="24"/>
        </w:rPr>
      </w:pPr>
      <w:r w:rsidRPr="00E958CE">
        <w:rPr>
          <w:rFonts w:ascii="Times New Roman" w:eastAsia="Calibri" w:hAnsi="Times New Roman" w:cs="Times New Roman"/>
          <w:sz w:val="24"/>
          <w:szCs w:val="24"/>
        </w:rPr>
        <w:t xml:space="preserve">Tootmise efektiivsuse tõstmiseks ja kaasajastamiseks on vajalik jätkata investeerimist tootmistehnoloogiasse ja rakendada innovaatilisi lahendusi. Eesti väiksust arvestades on tähtis ühistegevuse soodustamine. </w:t>
      </w:r>
      <w:r w:rsidRPr="00E958CE">
        <w:rPr>
          <w:rFonts w:ascii="Times New Roman" w:hAnsi="Times New Roman" w:cs="Times New Roman"/>
          <w:color w:val="000000"/>
          <w:sz w:val="24"/>
          <w:szCs w:val="24"/>
        </w:rPr>
        <w:t>Tugevad tootjate ühistud on teravilja</w:t>
      </w:r>
      <w:r w:rsidR="00136CA0">
        <w:rPr>
          <w:rFonts w:ascii="Times New Roman" w:hAnsi="Times New Roman" w:cs="Times New Roman"/>
          <w:color w:val="000000"/>
          <w:sz w:val="24"/>
          <w:szCs w:val="24"/>
        </w:rPr>
        <w:t>- ja rapsi</w:t>
      </w:r>
      <w:r w:rsidRPr="00E958CE">
        <w:rPr>
          <w:rFonts w:ascii="Times New Roman" w:hAnsi="Times New Roman" w:cs="Times New Roman"/>
          <w:color w:val="000000"/>
          <w:sz w:val="24"/>
          <w:szCs w:val="24"/>
        </w:rPr>
        <w:t>kasvat</w:t>
      </w:r>
      <w:r w:rsidR="00926E6B">
        <w:rPr>
          <w:rFonts w:ascii="Times New Roman" w:hAnsi="Times New Roman" w:cs="Times New Roman"/>
          <w:color w:val="000000"/>
          <w:sz w:val="24"/>
          <w:szCs w:val="24"/>
        </w:rPr>
        <w:t>ajate</w:t>
      </w:r>
      <w:r w:rsidRPr="00E958CE">
        <w:rPr>
          <w:rFonts w:ascii="Times New Roman" w:hAnsi="Times New Roman" w:cs="Times New Roman"/>
          <w:color w:val="000000"/>
          <w:sz w:val="24"/>
          <w:szCs w:val="24"/>
        </w:rPr>
        <w:t xml:space="preserve"> üks konkurentsi</w:t>
      </w:r>
      <w:r w:rsidR="008F15E7">
        <w:rPr>
          <w:rFonts w:ascii="Times New Roman" w:hAnsi="Times New Roman" w:cs="Times New Roman"/>
          <w:color w:val="000000"/>
          <w:sz w:val="24"/>
          <w:szCs w:val="24"/>
        </w:rPr>
        <w:t>võime</w:t>
      </w:r>
      <w:r w:rsidRPr="00E958CE">
        <w:rPr>
          <w:rFonts w:ascii="Times New Roman" w:hAnsi="Times New Roman" w:cs="Times New Roman"/>
          <w:color w:val="000000"/>
          <w:sz w:val="24"/>
          <w:szCs w:val="24"/>
        </w:rPr>
        <w:t xml:space="preserve"> tõstmise võimalusi. </w:t>
      </w:r>
      <w:r w:rsidRPr="00E958CE">
        <w:rPr>
          <w:rFonts w:ascii="Times New Roman" w:hAnsi="Times New Roman" w:cs="Times New Roman"/>
          <w:sz w:val="24"/>
          <w:szCs w:val="24"/>
        </w:rPr>
        <w:t>Ühistegevuse edendamine soodustab kaasaegsete põllutöömasi</w:t>
      </w:r>
      <w:r w:rsidR="006A1A3D">
        <w:rPr>
          <w:rFonts w:ascii="Times New Roman" w:hAnsi="Times New Roman" w:cs="Times New Roman"/>
          <w:sz w:val="24"/>
          <w:szCs w:val="24"/>
        </w:rPr>
        <w:t>nate ja -</w:t>
      </w:r>
      <w:r w:rsidR="00764831">
        <w:rPr>
          <w:rFonts w:ascii="Times New Roman" w:hAnsi="Times New Roman" w:cs="Times New Roman"/>
          <w:sz w:val="24"/>
          <w:szCs w:val="24"/>
        </w:rPr>
        <w:t>seadmete soetamist,</w:t>
      </w:r>
      <w:r w:rsidRPr="00E958CE">
        <w:rPr>
          <w:rFonts w:ascii="Times New Roman" w:hAnsi="Times New Roman" w:cs="Times New Roman"/>
          <w:sz w:val="24"/>
          <w:szCs w:val="24"/>
        </w:rPr>
        <w:t xml:space="preserve"> </w:t>
      </w:r>
      <w:r w:rsidR="00615DED">
        <w:rPr>
          <w:rFonts w:ascii="Times New Roman" w:hAnsi="Times New Roman" w:cs="Times New Roman"/>
          <w:sz w:val="24"/>
          <w:szCs w:val="24"/>
        </w:rPr>
        <w:t xml:space="preserve">tootmiskulude vähenemist, </w:t>
      </w:r>
      <w:r w:rsidRPr="00E958CE">
        <w:rPr>
          <w:rFonts w:ascii="Times New Roman" w:hAnsi="Times New Roman" w:cs="Times New Roman"/>
          <w:sz w:val="24"/>
          <w:szCs w:val="24"/>
        </w:rPr>
        <w:t>aitab reageer</w:t>
      </w:r>
      <w:r w:rsidR="00764831">
        <w:rPr>
          <w:rFonts w:ascii="Times New Roman" w:hAnsi="Times New Roman" w:cs="Times New Roman"/>
          <w:sz w:val="24"/>
          <w:szCs w:val="24"/>
        </w:rPr>
        <w:t>ida turusituatsiooni muutustele ning tõstab</w:t>
      </w:r>
      <w:r w:rsidRPr="00E958CE">
        <w:rPr>
          <w:rFonts w:ascii="Times New Roman" w:hAnsi="Times New Roman" w:cs="Times New Roman"/>
          <w:sz w:val="24"/>
          <w:szCs w:val="24"/>
        </w:rPr>
        <w:t xml:space="preserve"> Eesti </w:t>
      </w:r>
      <w:r w:rsidR="00136CA0">
        <w:rPr>
          <w:rFonts w:ascii="Times New Roman" w:hAnsi="Times New Roman" w:cs="Times New Roman"/>
          <w:sz w:val="24"/>
          <w:szCs w:val="24"/>
        </w:rPr>
        <w:t>taime</w:t>
      </w:r>
      <w:r w:rsidRPr="00E958CE">
        <w:rPr>
          <w:rFonts w:ascii="Times New Roman" w:hAnsi="Times New Roman" w:cs="Times New Roman"/>
          <w:sz w:val="24"/>
          <w:szCs w:val="24"/>
        </w:rPr>
        <w:t xml:space="preserve">kasvatajate konkurentsivõimet Euroopas ja maailmas. Ühtlasi oleks see võimaluseks ekspordimahtude suurendamisel, arvestades jätkuvalt tõusvat nõudlust toidutoorme järele. </w:t>
      </w:r>
    </w:p>
    <w:p w:rsidR="00985BF9" w:rsidRDefault="00985BF9">
      <w:pPr>
        <w:rPr>
          <w:rStyle w:val="IntenseReference"/>
          <w:i w:val="0"/>
        </w:rPr>
      </w:pPr>
    </w:p>
    <w:p w:rsidR="00985BF9" w:rsidRDefault="00985BF9" w:rsidP="007B2085">
      <w:pPr>
        <w:pStyle w:val="IntenseQuote"/>
        <w:ind w:left="0" w:right="-2"/>
        <w:rPr>
          <w:rStyle w:val="IntenseReference"/>
        </w:rPr>
      </w:pPr>
      <w:r w:rsidRPr="007B2085">
        <w:rPr>
          <w:rStyle w:val="IntenseReference"/>
        </w:rPr>
        <w:t>Meetmed teravilja</w:t>
      </w:r>
      <w:r w:rsidR="00136CA0" w:rsidRPr="007B2085">
        <w:rPr>
          <w:rStyle w:val="IntenseReference"/>
        </w:rPr>
        <w:t xml:space="preserve"> ja rapsi</w:t>
      </w:r>
      <w:r w:rsidRPr="007B2085">
        <w:rPr>
          <w:rStyle w:val="IntenseReference"/>
        </w:rPr>
        <w:t xml:space="preserve"> tootmise suurendamiseks ja keskmise saagikuse tõstmiseks</w:t>
      </w:r>
      <w:r w:rsidR="007B2164" w:rsidRPr="007B2085">
        <w:rPr>
          <w:rStyle w:val="IntenseReference"/>
        </w:rPr>
        <w:t>:</w:t>
      </w:r>
    </w:p>
    <w:p w:rsidR="007B2085" w:rsidRPr="007B2085" w:rsidRDefault="007B2085" w:rsidP="007B2085"/>
    <w:p w:rsidR="00985BF9" w:rsidRPr="00E958CE" w:rsidRDefault="000A582B" w:rsidP="00985BF9">
      <w:pPr>
        <w:pStyle w:val="ListParagraph"/>
        <w:numPr>
          <w:ilvl w:val="0"/>
          <w:numId w:val="10"/>
        </w:numPr>
        <w:spacing w:line="276" w:lineRule="auto"/>
        <w:jc w:val="both"/>
        <w:rPr>
          <w:rFonts w:ascii="Times New Roman" w:hAnsi="Times New Roman" w:cs="Times New Roman"/>
          <w:sz w:val="24"/>
          <w:szCs w:val="24"/>
        </w:rPr>
      </w:pPr>
      <w:r>
        <w:rPr>
          <w:rFonts w:ascii="Times New Roman" w:hAnsi="Times New Roman" w:cs="Times New Roman"/>
          <w:sz w:val="24"/>
          <w:szCs w:val="24"/>
        </w:rPr>
        <w:t>t</w:t>
      </w:r>
      <w:r w:rsidR="00985BF9" w:rsidRPr="00E958CE">
        <w:rPr>
          <w:rFonts w:ascii="Times New Roman" w:hAnsi="Times New Roman" w:cs="Times New Roman"/>
          <w:sz w:val="24"/>
          <w:szCs w:val="24"/>
        </w:rPr>
        <w:t>eadus- ja arendusasutuste ning põllumajandustootjate vahelise koostöö edendamine</w:t>
      </w:r>
      <w:r w:rsidR="007B2164">
        <w:rPr>
          <w:rFonts w:ascii="Times New Roman" w:hAnsi="Times New Roman" w:cs="Times New Roman"/>
          <w:sz w:val="24"/>
          <w:szCs w:val="24"/>
        </w:rPr>
        <w:t>;</w:t>
      </w:r>
      <w:r w:rsidR="00985BF9" w:rsidRPr="00E958CE">
        <w:rPr>
          <w:rFonts w:ascii="Times New Roman" w:hAnsi="Times New Roman" w:cs="Times New Roman"/>
          <w:sz w:val="24"/>
          <w:szCs w:val="24"/>
        </w:rPr>
        <w:t xml:space="preserve"> </w:t>
      </w:r>
    </w:p>
    <w:p w:rsidR="00985BF9" w:rsidRPr="00E958CE" w:rsidRDefault="000A582B" w:rsidP="00985BF9">
      <w:pPr>
        <w:pStyle w:val="ListParagraph"/>
        <w:numPr>
          <w:ilvl w:val="0"/>
          <w:numId w:val="10"/>
        </w:numPr>
        <w:spacing w:line="276" w:lineRule="auto"/>
        <w:jc w:val="both"/>
        <w:rPr>
          <w:rFonts w:ascii="Times New Roman" w:hAnsi="Times New Roman" w:cs="Times New Roman"/>
          <w:sz w:val="24"/>
          <w:szCs w:val="24"/>
        </w:rPr>
      </w:pPr>
      <w:r>
        <w:rPr>
          <w:rFonts w:ascii="Times New Roman" w:hAnsi="Times New Roman" w:cs="Times New Roman"/>
          <w:sz w:val="24"/>
          <w:szCs w:val="24"/>
        </w:rPr>
        <w:t>n</w:t>
      </w:r>
      <w:r w:rsidR="00985BF9" w:rsidRPr="00E958CE">
        <w:rPr>
          <w:rFonts w:ascii="Times New Roman" w:hAnsi="Times New Roman" w:cs="Times New Roman"/>
          <w:sz w:val="24"/>
          <w:szCs w:val="24"/>
        </w:rPr>
        <w:t>õuandetegevuse edendamine</w:t>
      </w:r>
      <w:r w:rsidR="007B2164">
        <w:rPr>
          <w:rFonts w:ascii="Times New Roman" w:hAnsi="Times New Roman" w:cs="Times New Roman"/>
          <w:sz w:val="24"/>
          <w:szCs w:val="24"/>
        </w:rPr>
        <w:t>;</w:t>
      </w:r>
    </w:p>
    <w:p w:rsidR="00985BF9" w:rsidRPr="00E958CE" w:rsidRDefault="00985BF9" w:rsidP="00985BF9">
      <w:pPr>
        <w:pStyle w:val="ListParagraph"/>
        <w:numPr>
          <w:ilvl w:val="0"/>
          <w:numId w:val="10"/>
        </w:numPr>
        <w:spacing w:line="276" w:lineRule="auto"/>
        <w:jc w:val="both"/>
        <w:rPr>
          <w:rFonts w:ascii="Times New Roman" w:hAnsi="Times New Roman" w:cs="Times New Roman"/>
          <w:sz w:val="24"/>
          <w:szCs w:val="24"/>
        </w:rPr>
      </w:pPr>
      <w:r w:rsidRPr="00E958CE">
        <w:rPr>
          <w:rFonts w:ascii="Times New Roman" w:hAnsi="Times New Roman" w:cs="Times New Roman"/>
          <w:sz w:val="24"/>
          <w:szCs w:val="24"/>
        </w:rPr>
        <w:t xml:space="preserve">Eesti oludesse sobivate sortide ja liikide valik/aretamine ning </w:t>
      </w:r>
      <w:r w:rsidR="002C2EC9">
        <w:rPr>
          <w:rFonts w:ascii="Times New Roman" w:hAnsi="Times New Roman" w:cs="Times New Roman"/>
          <w:sz w:val="24"/>
          <w:szCs w:val="24"/>
        </w:rPr>
        <w:t>nende tutvustamine</w:t>
      </w:r>
      <w:r w:rsidR="007B2164">
        <w:rPr>
          <w:rFonts w:ascii="Times New Roman" w:hAnsi="Times New Roman" w:cs="Times New Roman"/>
          <w:sz w:val="24"/>
          <w:szCs w:val="24"/>
        </w:rPr>
        <w:t>;</w:t>
      </w:r>
    </w:p>
    <w:p w:rsidR="00985BF9" w:rsidRPr="00E958CE" w:rsidRDefault="000A582B" w:rsidP="00985BF9">
      <w:pPr>
        <w:pStyle w:val="ListParagraph"/>
        <w:numPr>
          <w:ilvl w:val="0"/>
          <w:numId w:val="10"/>
        </w:numPr>
        <w:spacing w:line="276" w:lineRule="auto"/>
        <w:jc w:val="both"/>
        <w:rPr>
          <w:rFonts w:ascii="Times New Roman" w:hAnsi="Times New Roman" w:cs="Times New Roman"/>
          <w:sz w:val="24"/>
          <w:szCs w:val="24"/>
        </w:rPr>
      </w:pPr>
      <w:r>
        <w:rPr>
          <w:rFonts w:ascii="Times New Roman" w:hAnsi="Times New Roman" w:cs="Times New Roman"/>
          <w:sz w:val="24"/>
          <w:szCs w:val="24"/>
        </w:rPr>
        <w:t>s</w:t>
      </w:r>
      <w:r w:rsidR="00985BF9" w:rsidRPr="00E958CE">
        <w:rPr>
          <w:rFonts w:ascii="Times New Roman" w:hAnsi="Times New Roman" w:cs="Times New Roman"/>
          <w:sz w:val="24"/>
          <w:szCs w:val="24"/>
        </w:rPr>
        <w:t>ertifitseeritud seemne kasutamise suurendamine, sordilise mitmekesisuse tagamine ja teadlikkuse suurendamine</w:t>
      </w:r>
      <w:r w:rsidR="007B2164">
        <w:rPr>
          <w:rFonts w:ascii="Times New Roman" w:hAnsi="Times New Roman" w:cs="Times New Roman"/>
          <w:sz w:val="24"/>
          <w:szCs w:val="24"/>
        </w:rPr>
        <w:t>;</w:t>
      </w:r>
    </w:p>
    <w:p w:rsidR="00985BF9" w:rsidRPr="00E958CE" w:rsidRDefault="000A582B" w:rsidP="00985BF9">
      <w:pPr>
        <w:pStyle w:val="ListParagraph"/>
        <w:numPr>
          <w:ilvl w:val="0"/>
          <w:numId w:val="10"/>
        </w:numPr>
        <w:spacing w:line="276" w:lineRule="auto"/>
        <w:jc w:val="both"/>
        <w:rPr>
          <w:rFonts w:ascii="Times New Roman" w:hAnsi="Times New Roman" w:cs="Times New Roman"/>
          <w:sz w:val="24"/>
          <w:szCs w:val="24"/>
        </w:rPr>
      </w:pPr>
      <w:r>
        <w:rPr>
          <w:rFonts w:ascii="Times New Roman" w:hAnsi="Times New Roman" w:cs="Times New Roman"/>
          <w:sz w:val="24"/>
          <w:szCs w:val="24"/>
        </w:rPr>
        <w:t>t</w:t>
      </w:r>
      <w:r w:rsidR="00985BF9" w:rsidRPr="00E958CE">
        <w:rPr>
          <w:rFonts w:ascii="Times New Roman" w:hAnsi="Times New Roman" w:cs="Times New Roman"/>
          <w:sz w:val="24"/>
          <w:szCs w:val="24"/>
        </w:rPr>
        <w:t>ootmise efektiivsuse tõstmiseks investeeringute tegemine</w:t>
      </w:r>
      <w:r w:rsidR="007B2164">
        <w:rPr>
          <w:rFonts w:ascii="Times New Roman" w:hAnsi="Times New Roman" w:cs="Times New Roman"/>
          <w:sz w:val="24"/>
          <w:szCs w:val="24"/>
        </w:rPr>
        <w:t>;</w:t>
      </w:r>
      <w:r w:rsidR="00985BF9" w:rsidRPr="00E958CE">
        <w:rPr>
          <w:rFonts w:ascii="Times New Roman" w:hAnsi="Times New Roman" w:cs="Times New Roman"/>
          <w:sz w:val="24"/>
          <w:szCs w:val="24"/>
        </w:rPr>
        <w:t xml:space="preserve"> </w:t>
      </w:r>
    </w:p>
    <w:p w:rsidR="00985BF9" w:rsidRPr="00E958CE" w:rsidRDefault="000A582B" w:rsidP="00985BF9">
      <w:pPr>
        <w:pStyle w:val="ListParagraph"/>
        <w:numPr>
          <w:ilvl w:val="0"/>
          <w:numId w:val="10"/>
        </w:numPr>
        <w:spacing w:line="276" w:lineRule="auto"/>
        <w:jc w:val="both"/>
        <w:rPr>
          <w:rFonts w:ascii="Times New Roman" w:hAnsi="Times New Roman" w:cs="Times New Roman"/>
          <w:sz w:val="24"/>
          <w:szCs w:val="24"/>
        </w:rPr>
      </w:pPr>
      <w:r>
        <w:rPr>
          <w:rFonts w:ascii="Times New Roman" w:hAnsi="Times New Roman" w:cs="Times New Roman"/>
          <w:sz w:val="24"/>
          <w:szCs w:val="24"/>
        </w:rPr>
        <w:t>m</w:t>
      </w:r>
      <w:r w:rsidR="00985BF9" w:rsidRPr="00E958CE">
        <w:rPr>
          <w:rFonts w:ascii="Times New Roman" w:hAnsi="Times New Roman" w:cs="Times New Roman"/>
          <w:sz w:val="24"/>
          <w:szCs w:val="24"/>
        </w:rPr>
        <w:t>aaparandussüsteemide korrastamine</w:t>
      </w:r>
      <w:r w:rsidR="007B2164">
        <w:rPr>
          <w:rFonts w:ascii="Times New Roman" w:hAnsi="Times New Roman" w:cs="Times New Roman"/>
          <w:sz w:val="24"/>
          <w:szCs w:val="24"/>
        </w:rPr>
        <w:t>;</w:t>
      </w:r>
    </w:p>
    <w:p w:rsidR="00985BF9" w:rsidRPr="00E958CE" w:rsidRDefault="000A582B" w:rsidP="00985BF9">
      <w:pPr>
        <w:pStyle w:val="ListParagraph"/>
        <w:numPr>
          <w:ilvl w:val="0"/>
          <w:numId w:val="10"/>
        </w:numPr>
        <w:spacing w:line="276" w:lineRule="auto"/>
        <w:jc w:val="both"/>
        <w:rPr>
          <w:rFonts w:ascii="Times New Roman" w:hAnsi="Times New Roman" w:cs="Times New Roman"/>
          <w:sz w:val="24"/>
          <w:szCs w:val="24"/>
        </w:rPr>
      </w:pPr>
      <w:r>
        <w:rPr>
          <w:rFonts w:ascii="Times New Roman" w:hAnsi="Times New Roman" w:cs="Times New Roman"/>
          <w:sz w:val="24"/>
          <w:szCs w:val="24"/>
        </w:rPr>
        <w:t>ü</w:t>
      </w:r>
      <w:r w:rsidR="00985BF9" w:rsidRPr="00E958CE">
        <w:rPr>
          <w:rFonts w:ascii="Times New Roman" w:hAnsi="Times New Roman" w:cs="Times New Roman"/>
          <w:sz w:val="24"/>
          <w:szCs w:val="24"/>
        </w:rPr>
        <w:t>histegevuse soodustamine</w:t>
      </w:r>
      <w:r w:rsidR="007B2164">
        <w:rPr>
          <w:rFonts w:ascii="Times New Roman" w:hAnsi="Times New Roman" w:cs="Times New Roman"/>
          <w:sz w:val="24"/>
          <w:szCs w:val="24"/>
        </w:rPr>
        <w:t>;</w:t>
      </w:r>
      <w:r w:rsidR="00985BF9" w:rsidRPr="00E958CE">
        <w:rPr>
          <w:rFonts w:ascii="Times New Roman" w:hAnsi="Times New Roman" w:cs="Times New Roman"/>
          <w:sz w:val="24"/>
          <w:szCs w:val="24"/>
        </w:rPr>
        <w:t xml:space="preserve"> </w:t>
      </w:r>
    </w:p>
    <w:p w:rsidR="00985BF9" w:rsidRPr="00E958CE" w:rsidRDefault="000A582B" w:rsidP="00985BF9">
      <w:pPr>
        <w:pStyle w:val="ListParagraph"/>
        <w:numPr>
          <w:ilvl w:val="0"/>
          <w:numId w:val="10"/>
        </w:numPr>
        <w:spacing w:line="276" w:lineRule="auto"/>
        <w:jc w:val="both"/>
        <w:rPr>
          <w:rFonts w:ascii="Times New Roman" w:hAnsi="Times New Roman" w:cs="Times New Roman"/>
          <w:sz w:val="24"/>
          <w:szCs w:val="24"/>
        </w:rPr>
      </w:pPr>
      <w:r>
        <w:rPr>
          <w:rFonts w:ascii="Times New Roman" w:hAnsi="Times New Roman" w:cs="Times New Roman"/>
          <w:sz w:val="24"/>
          <w:szCs w:val="24"/>
        </w:rPr>
        <w:t>i</w:t>
      </w:r>
      <w:r w:rsidR="00985BF9" w:rsidRPr="00E958CE">
        <w:rPr>
          <w:rFonts w:ascii="Times New Roman" w:hAnsi="Times New Roman" w:cs="Times New Roman"/>
          <w:sz w:val="24"/>
          <w:szCs w:val="24"/>
        </w:rPr>
        <w:t>nnovaatiliste lahenduste rakendamine</w:t>
      </w:r>
      <w:r w:rsidR="007B2164">
        <w:rPr>
          <w:rFonts w:ascii="Times New Roman" w:hAnsi="Times New Roman" w:cs="Times New Roman"/>
          <w:sz w:val="24"/>
          <w:szCs w:val="24"/>
        </w:rPr>
        <w:t>.</w:t>
      </w:r>
    </w:p>
    <w:p w:rsidR="00D4502A" w:rsidRDefault="00D4502A">
      <w:pPr>
        <w:rPr>
          <w:rStyle w:val="IntenseReference"/>
          <w:i w:val="0"/>
        </w:rPr>
      </w:pPr>
    </w:p>
    <w:p w:rsidR="007B2085" w:rsidRPr="007B2085" w:rsidRDefault="007B2085" w:rsidP="007B2085">
      <w:pPr>
        <w:keepNext/>
        <w:framePr w:dropCap="drop" w:lines="3" w:wrap="around" w:vAnchor="text" w:hAnchor="text"/>
        <w:spacing w:line="793" w:lineRule="exact"/>
        <w:jc w:val="both"/>
        <w:textAlignment w:val="baseline"/>
        <w:rPr>
          <w:rStyle w:val="IntenseReference"/>
          <w:i w:val="0"/>
          <w:position w:val="-8"/>
          <w:sz w:val="104"/>
        </w:rPr>
      </w:pPr>
      <w:r w:rsidRPr="007B2085">
        <w:rPr>
          <w:rStyle w:val="IntenseReference"/>
          <w:i w:val="0"/>
          <w:position w:val="-8"/>
          <w:sz w:val="104"/>
        </w:rPr>
        <w:t>t</w:t>
      </w:r>
    </w:p>
    <w:p w:rsidR="00D4502A" w:rsidRPr="002E28E2" w:rsidRDefault="00D4502A" w:rsidP="00D4502A">
      <w:pPr>
        <w:spacing w:line="276" w:lineRule="auto"/>
        <w:jc w:val="both"/>
        <w:rPr>
          <w:rStyle w:val="IntenseReference"/>
          <w:i w:val="0"/>
        </w:rPr>
      </w:pPr>
      <w:r w:rsidRPr="002E28E2">
        <w:rPr>
          <w:rStyle w:val="IntenseReference"/>
          <w:i w:val="0"/>
        </w:rPr>
        <w:t>eravilja</w:t>
      </w:r>
      <w:r w:rsidR="00896C32">
        <w:rPr>
          <w:rStyle w:val="IntenseReference"/>
          <w:i w:val="0"/>
        </w:rPr>
        <w:t xml:space="preserve"> ja</w:t>
      </w:r>
      <w:r w:rsidRPr="002E28E2">
        <w:rPr>
          <w:rStyle w:val="IntenseReference"/>
          <w:i w:val="0"/>
        </w:rPr>
        <w:t xml:space="preserve"> </w:t>
      </w:r>
      <w:r w:rsidR="00502BE1">
        <w:rPr>
          <w:rStyle w:val="IntenseReference"/>
          <w:i w:val="0"/>
        </w:rPr>
        <w:t>rapsi kvaliteet on</w:t>
      </w:r>
      <w:r w:rsidRPr="002E28E2">
        <w:rPr>
          <w:rStyle w:val="IntenseReference"/>
          <w:i w:val="0"/>
        </w:rPr>
        <w:t xml:space="preserve"> olenevalt aastast </w:t>
      </w:r>
      <w:r w:rsidR="00502BE1">
        <w:rPr>
          <w:rStyle w:val="IntenseReference"/>
          <w:i w:val="0"/>
        </w:rPr>
        <w:t>mUUTLIK ja paiguti madal</w:t>
      </w:r>
      <w:r w:rsidRPr="002E28E2">
        <w:rPr>
          <w:rStyle w:val="IntenseReference"/>
          <w:i w:val="0"/>
        </w:rPr>
        <w:t>. Kvaliteedinäitajaid iga-aastaselt koristatud viljast riiklikul tasemel ei koguta, mistõttu puudub ka terv</w:t>
      </w:r>
      <w:r w:rsidR="00896C32">
        <w:rPr>
          <w:rStyle w:val="IntenseReference"/>
          <w:i w:val="0"/>
        </w:rPr>
        <w:t>ikuna Eestis ülevaade teravilja ja</w:t>
      </w:r>
      <w:r w:rsidRPr="002E28E2">
        <w:rPr>
          <w:rStyle w:val="IntenseReference"/>
          <w:i w:val="0"/>
        </w:rPr>
        <w:t xml:space="preserve"> </w:t>
      </w:r>
      <w:r w:rsidR="00502BE1">
        <w:rPr>
          <w:rStyle w:val="IntenseReference"/>
          <w:i w:val="0"/>
        </w:rPr>
        <w:t>rapsi</w:t>
      </w:r>
      <w:r w:rsidRPr="002E28E2">
        <w:rPr>
          <w:rStyle w:val="IntenseReference"/>
          <w:i w:val="0"/>
        </w:rPr>
        <w:t xml:space="preserve"> kvaliteedist. </w:t>
      </w:r>
    </w:p>
    <w:p w:rsidR="00D4502A" w:rsidRPr="00E958CE" w:rsidRDefault="00D4502A" w:rsidP="00D4502A">
      <w:pPr>
        <w:autoSpaceDE w:val="0"/>
        <w:autoSpaceDN w:val="0"/>
        <w:spacing w:line="276" w:lineRule="auto"/>
        <w:contextualSpacing/>
        <w:jc w:val="both"/>
        <w:rPr>
          <w:rFonts w:ascii="Times New Roman" w:eastAsia="Calibri" w:hAnsi="Times New Roman" w:cs="Times New Roman"/>
          <w:sz w:val="24"/>
          <w:szCs w:val="24"/>
        </w:rPr>
      </w:pPr>
    </w:p>
    <w:p w:rsidR="00D4502A" w:rsidRPr="00E958CE" w:rsidRDefault="00D4502A" w:rsidP="00D4502A">
      <w:pPr>
        <w:autoSpaceDE w:val="0"/>
        <w:autoSpaceDN w:val="0"/>
        <w:spacing w:line="276" w:lineRule="auto"/>
        <w:contextualSpacing/>
        <w:jc w:val="both"/>
        <w:rPr>
          <w:rFonts w:ascii="Times New Roman" w:hAnsi="Times New Roman" w:cs="Times New Roman"/>
          <w:color w:val="000000"/>
          <w:sz w:val="24"/>
          <w:szCs w:val="24"/>
        </w:rPr>
      </w:pPr>
      <w:r w:rsidRPr="00E958CE">
        <w:rPr>
          <w:rFonts w:ascii="Times New Roman" w:hAnsi="Times New Roman" w:cs="Times New Roman"/>
          <w:sz w:val="24"/>
          <w:szCs w:val="24"/>
        </w:rPr>
        <w:t xml:space="preserve">Euroopa Liidu </w:t>
      </w:r>
      <w:r w:rsidR="007564C2">
        <w:rPr>
          <w:rFonts w:ascii="Times New Roman" w:hAnsi="Times New Roman" w:cs="Times New Roman"/>
          <w:sz w:val="24"/>
          <w:szCs w:val="24"/>
        </w:rPr>
        <w:t>ühis</w:t>
      </w:r>
      <w:r w:rsidRPr="00E958CE">
        <w:rPr>
          <w:rFonts w:ascii="Times New Roman" w:hAnsi="Times New Roman" w:cs="Times New Roman"/>
          <w:sz w:val="24"/>
          <w:szCs w:val="24"/>
        </w:rPr>
        <w:t>turu tingimustes on Eestis kasvatatud teravilja ja rapsi ning nendest valmistatud toodete turustamiseks äärmiselt oluline</w:t>
      </w:r>
      <w:r w:rsidRPr="00E958CE">
        <w:rPr>
          <w:rFonts w:ascii="Times New Roman" w:eastAsia="Calibri" w:hAnsi="Times New Roman" w:cs="Times New Roman"/>
          <w:b/>
          <w:sz w:val="24"/>
          <w:szCs w:val="24"/>
        </w:rPr>
        <w:t xml:space="preserve"> nende kvaliteedi tõstmine</w:t>
      </w:r>
      <w:r w:rsidRPr="00E958CE">
        <w:rPr>
          <w:rFonts w:ascii="Times New Roman" w:eastAsia="Calibri" w:hAnsi="Times New Roman" w:cs="Times New Roman"/>
          <w:sz w:val="24"/>
          <w:szCs w:val="24"/>
        </w:rPr>
        <w:t xml:space="preserve">. See on küll Eesti geograafilisest </w:t>
      </w:r>
      <w:r w:rsidR="007564C2">
        <w:rPr>
          <w:rFonts w:ascii="Times New Roman" w:eastAsia="Calibri" w:hAnsi="Times New Roman" w:cs="Times New Roman"/>
          <w:sz w:val="24"/>
          <w:szCs w:val="24"/>
        </w:rPr>
        <w:t>asendist</w:t>
      </w:r>
      <w:r w:rsidR="007564C2" w:rsidRPr="00E958CE">
        <w:rPr>
          <w:rFonts w:ascii="Times New Roman" w:eastAsia="Calibri" w:hAnsi="Times New Roman" w:cs="Times New Roman"/>
          <w:sz w:val="24"/>
          <w:szCs w:val="24"/>
        </w:rPr>
        <w:t xml:space="preserve"> </w:t>
      </w:r>
      <w:r w:rsidRPr="00E958CE">
        <w:rPr>
          <w:rFonts w:ascii="Times New Roman" w:eastAsia="Calibri" w:hAnsi="Times New Roman" w:cs="Times New Roman"/>
          <w:sz w:val="24"/>
          <w:szCs w:val="24"/>
        </w:rPr>
        <w:t xml:space="preserve">ja selle mõjust ilmastikule olenevalt aastast suuresti mõjutatud, kuid lisaks sertifitseeritud seemne kasutamise laiendamisega, koristus- ja kuivatusvõimekuse tõstmisega, on ka kaasaegse agrotehnika rakendamisega võimalik luua väga head eeldused kvaliteetse saagi saamiseks. </w:t>
      </w:r>
      <w:r w:rsidR="00AC5689" w:rsidRPr="00AC5689">
        <w:rPr>
          <w:rFonts w:ascii="Times New Roman" w:eastAsia="Calibri" w:hAnsi="Times New Roman" w:cs="Times New Roman"/>
          <w:sz w:val="24"/>
          <w:szCs w:val="24"/>
        </w:rPr>
        <w:t xml:space="preserve">Selleks </w:t>
      </w:r>
      <w:r w:rsidR="00AC5689" w:rsidRPr="00AC5689">
        <w:rPr>
          <w:rFonts w:ascii="Times New Roman" w:eastAsia="Calibri" w:hAnsi="Times New Roman" w:cs="Times New Roman"/>
          <w:sz w:val="24"/>
          <w:szCs w:val="24"/>
        </w:rPr>
        <w:lastRenderedPageBreak/>
        <w:t>on vaja teha vastavasisulisi teadusuuringuid, arendada nõuandetegevust ning tagada</w:t>
      </w:r>
      <w:r w:rsidR="00AC5689">
        <w:rPr>
          <w:rFonts w:ascii="Times New Roman" w:eastAsia="Calibri" w:hAnsi="Times New Roman" w:cs="Times New Roman"/>
          <w:sz w:val="24"/>
          <w:szCs w:val="24"/>
        </w:rPr>
        <w:t xml:space="preserve"> konsulentide kaudu teadustulemuste </w:t>
      </w:r>
      <w:r w:rsidR="00AC5689" w:rsidRPr="00AC5689">
        <w:rPr>
          <w:rFonts w:ascii="Times New Roman" w:eastAsia="Calibri" w:hAnsi="Times New Roman" w:cs="Times New Roman"/>
          <w:sz w:val="24"/>
          <w:szCs w:val="24"/>
        </w:rPr>
        <w:t>jõudmine sektorini.</w:t>
      </w:r>
      <w:r w:rsidRPr="00E958CE">
        <w:rPr>
          <w:rFonts w:ascii="Times New Roman" w:eastAsia="Calibri" w:hAnsi="Times New Roman" w:cs="Times New Roman"/>
          <w:sz w:val="24"/>
          <w:szCs w:val="24"/>
        </w:rPr>
        <w:t xml:space="preserve"> </w:t>
      </w:r>
      <w:r w:rsidRPr="00E958CE">
        <w:rPr>
          <w:rFonts w:ascii="Times New Roman" w:hAnsi="Times New Roman" w:cs="Times New Roman"/>
          <w:sz w:val="24"/>
          <w:szCs w:val="24"/>
        </w:rPr>
        <w:t xml:space="preserve">Ühtlasi on vaja  saavutada teravilja kvaliteedi stabiilsus, et </w:t>
      </w:r>
      <w:r w:rsidR="00C14DEE">
        <w:rPr>
          <w:rFonts w:ascii="Times New Roman" w:hAnsi="Times New Roman" w:cs="Times New Roman"/>
          <w:sz w:val="24"/>
          <w:szCs w:val="24"/>
        </w:rPr>
        <w:t>rahuldada siseriiklik tööstuse</w:t>
      </w:r>
      <w:r w:rsidRPr="00E958CE">
        <w:rPr>
          <w:rFonts w:ascii="Times New Roman" w:hAnsi="Times New Roman" w:cs="Times New Roman"/>
          <w:sz w:val="24"/>
          <w:szCs w:val="24"/>
        </w:rPr>
        <w:t xml:space="preserve"> vajadus vastava kvaliteediga toiduvilja järele. </w:t>
      </w:r>
      <w:r w:rsidRPr="00E958CE">
        <w:rPr>
          <w:rFonts w:ascii="Times New Roman" w:eastAsia="Calibri" w:hAnsi="Times New Roman" w:cs="Times New Roman"/>
          <w:sz w:val="24"/>
          <w:szCs w:val="24"/>
        </w:rPr>
        <w:t xml:space="preserve">Hetkel puudub riigil </w:t>
      </w:r>
      <w:r w:rsidRPr="00E958CE">
        <w:rPr>
          <w:rFonts w:ascii="Times New Roman" w:hAnsi="Times New Roman" w:cs="Times New Roman"/>
          <w:color w:val="000000"/>
          <w:sz w:val="24"/>
          <w:szCs w:val="24"/>
        </w:rPr>
        <w:t>süstemaatiline ülevaade Eestis kasvatatud teravilja ja õlikultuuride kvaliteedist ja ohutusest. Selleks oleks vajalik koondada nimetatud kultuuride proovid analüüsimiseks Põllumajandusuuringute Keskusesse, mis on ainuke</w:t>
      </w:r>
      <w:r>
        <w:rPr>
          <w:rFonts w:ascii="Times New Roman" w:hAnsi="Times New Roman" w:cs="Times New Roman"/>
          <w:color w:val="000000"/>
          <w:sz w:val="24"/>
          <w:szCs w:val="24"/>
        </w:rPr>
        <w:t xml:space="preserve"> selles valdkonnas</w:t>
      </w:r>
      <w:r w:rsidRPr="00E958CE">
        <w:rPr>
          <w:rFonts w:ascii="Times New Roman" w:hAnsi="Times New Roman" w:cs="Times New Roman"/>
          <w:color w:val="000000"/>
          <w:sz w:val="24"/>
          <w:szCs w:val="24"/>
        </w:rPr>
        <w:t xml:space="preserve"> akrediteeritud ja tunnustatud labor Eestis. Laborist saadud tulemused oleks vajalikud nii riigile, konsulentidele kui ka põllumajandustootjatele. </w:t>
      </w:r>
    </w:p>
    <w:p w:rsidR="00D4502A" w:rsidRDefault="00D4502A">
      <w:pPr>
        <w:rPr>
          <w:rStyle w:val="IntenseReference"/>
          <w:i w:val="0"/>
        </w:rPr>
      </w:pPr>
    </w:p>
    <w:p w:rsidR="00D4502A" w:rsidRDefault="00D4502A" w:rsidP="00FF3D8F">
      <w:pPr>
        <w:pStyle w:val="IntenseQuote"/>
        <w:ind w:left="0" w:right="-2"/>
        <w:rPr>
          <w:rStyle w:val="IntenseReference"/>
        </w:rPr>
      </w:pPr>
      <w:r w:rsidRPr="00FF3D8F">
        <w:rPr>
          <w:rStyle w:val="IntenseReference"/>
        </w:rPr>
        <w:t>Meetmed teravilja ja rapsi ning nendest valmistatud toodete kvaliteedi tõstmiseks</w:t>
      </w:r>
      <w:r w:rsidR="007B2164" w:rsidRPr="00FF3D8F">
        <w:rPr>
          <w:rStyle w:val="IntenseReference"/>
        </w:rPr>
        <w:t>:</w:t>
      </w:r>
      <w:r w:rsidRPr="00FF3D8F">
        <w:rPr>
          <w:rStyle w:val="IntenseReference"/>
        </w:rPr>
        <w:t xml:space="preserve"> </w:t>
      </w:r>
    </w:p>
    <w:p w:rsidR="00FF3D8F" w:rsidRPr="00FF3D8F" w:rsidRDefault="00FF3D8F" w:rsidP="00FF3D8F"/>
    <w:p w:rsidR="00D4502A" w:rsidRPr="00E958CE" w:rsidRDefault="0095704B" w:rsidP="00D4502A">
      <w:pPr>
        <w:pStyle w:val="ListParagraph"/>
        <w:numPr>
          <w:ilvl w:val="0"/>
          <w:numId w:val="9"/>
        </w:numPr>
        <w:spacing w:line="276" w:lineRule="auto"/>
        <w:jc w:val="both"/>
        <w:rPr>
          <w:rFonts w:ascii="Times New Roman" w:hAnsi="Times New Roman" w:cs="Times New Roman"/>
          <w:sz w:val="24"/>
          <w:szCs w:val="24"/>
        </w:rPr>
      </w:pPr>
      <w:r>
        <w:rPr>
          <w:rFonts w:ascii="Times New Roman" w:hAnsi="Times New Roman" w:cs="Times New Roman"/>
          <w:sz w:val="24"/>
          <w:szCs w:val="24"/>
        </w:rPr>
        <w:t>t</w:t>
      </w:r>
      <w:r w:rsidR="00D4502A" w:rsidRPr="00E958CE">
        <w:rPr>
          <w:rFonts w:ascii="Times New Roman" w:hAnsi="Times New Roman" w:cs="Times New Roman"/>
          <w:sz w:val="24"/>
          <w:szCs w:val="24"/>
        </w:rPr>
        <w:t>eraviljakvaliteedi andmebaasi loomine</w:t>
      </w:r>
      <w:r w:rsidR="007B2164">
        <w:rPr>
          <w:rFonts w:ascii="Times New Roman" w:hAnsi="Times New Roman" w:cs="Times New Roman"/>
          <w:sz w:val="24"/>
          <w:szCs w:val="24"/>
        </w:rPr>
        <w:t>;</w:t>
      </w:r>
      <w:r w:rsidR="00D4502A" w:rsidRPr="00E958CE">
        <w:rPr>
          <w:rFonts w:ascii="Times New Roman" w:hAnsi="Times New Roman" w:cs="Times New Roman"/>
          <w:sz w:val="24"/>
          <w:szCs w:val="24"/>
        </w:rPr>
        <w:t xml:space="preserve"> </w:t>
      </w:r>
    </w:p>
    <w:p w:rsidR="00D4502A" w:rsidRPr="00E958CE" w:rsidRDefault="0095704B" w:rsidP="00D4502A">
      <w:pPr>
        <w:pStyle w:val="ListParagraph"/>
        <w:numPr>
          <w:ilvl w:val="0"/>
          <w:numId w:val="9"/>
        </w:numPr>
        <w:spacing w:line="276" w:lineRule="auto"/>
        <w:jc w:val="both"/>
        <w:rPr>
          <w:rFonts w:ascii="Times New Roman" w:hAnsi="Times New Roman" w:cs="Times New Roman"/>
          <w:sz w:val="24"/>
          <w:szCs w:val="24"/>
        </w:rPr>
      </w:pPr>
      <w:r>
        <w:rPr>
          <w:rFonts w:ascii="Times New Roman" w:hAnsi="Times New Roman" w:cs="Times New Roman"/>
          <w:sz w:val="24"/>
          <w:szCs w:val="24"/>
        </w:rPr>
        <w:t>n</w:t>
      </w:r>
      <w:r w:rsidR="00D4502A" w:rsidRPr="00E958CE">
        <w:rPr>
          <w:rFonts w:ascii="Times New Roman" w:hAnsi="Times New Roman" w:cs="Times New Roman"/>
          <w:sz w:val="24"/>
          <w:szCs w:val="24"/>
        </w:rPr>
        <w:t>õuandetegevuse arendamine ning taimekasvatuse valdkonna teadusuuringute tulemuste tutvustamine sektorile</w:t>
      </w:r>
      <w:r w:rsidR="007B2164">
        <w:rPr>
          <w:rFonts w:ascii="Times New Roman" w:hAnsi="Times New Roman" w:cs="Times New Roman"/>
          <w:sz w:val="24"/>
          <w:szCs w:val="24"/>
        </w:rPr>
        <w:t>;</w:t>
      </w:r>
      <w:r w:rsidR="00D4502A" w:rsidRPr="00E958CE">
        <w:rPr>
          <w:rFonts w:ascii="Times New Roman" w:hAnsi="Times New Roman" w:cs="Times New Roman"/>
          <w:sz w:val="24"/>
          <w:szCs w:val="24"/>
        </w:rPr>
        <w:t xml:space="preserve"> </w:t>
      </w:r>
    </w:p>
    <w:p w:rsidR="00D4502A" w:rsidRPr="00E958CE" w:rsidRDefault="0095704B" w:rsidP="00D4502A">
      <w:pPr>
        <w:pStyle w:val="ListParagraph"/>
        <w:numPr>
          <w:ilvl w:val="0"/>
          <w:numId w:val="9"/>
        </w:numPr>
        <w:spacing w:line="276" w:lineRule="auto"/>
        <w:jc w:val="both"/>
        <w:rPr>
          <w:rFonts w:ascii="Times New Roman" w:hAnsi="Times New Roman" w:cs="Times New Roman"/>
          <w:sz w:val="24"/>
          <w:szCs w:val="24"/>
        </w:rPr>
      </w:pPr>
      <w:r>
        <w:rPr>
          <w:rFonts w:ascii="Times New Roman" w:hAnsi="Times New Roman" w:cs="Times New Roman"/>
          <w:sz w:val="24"/>
          <w:szCs w:val="24"/>
        </w:rPr>
        <w:t>ü</w:t>
      </w:r>
      <w:r w:rsidR="00D4502A" w:rsidRPr="00E958CE">
        <w:rPr>
          <w:rFonts w:ascii="Times New Roman" w:hAnsi="Times New Roman" w:cs="Times New Roman"/>
          <w:sz w:val="24"/>
          <w:szCs w:val="24"/>
        </w:rPr>
        <w:t>hisinvesteeringu</w:t>
      </w:r>
      <w:r w:rsidR="00D4502A">
        <w:rPr>
          <w:rFonts w:ascii="Times New Roman" w:hAnsi="Times New Roman" w:cs="Times New Roman"/>
          <w:sz w:val="24"/>
          <w:szCs w:val="24"/>
        </w:rPr>
        <w:t>te kaudu</w:t>
      </w:r>
      <w:r w:rsidR="00D4502A" w:rsidRPr="00E958CE">
        <w:rPr>
          <w:rFonts w:ascii="Times New Roman" w:hAnsi="Times New Roman" w:cs="Times New Roman"/>
          <w:sz w:val="24"/>
          <w:szCs w:val="24"/>
        </w:rPr>
        <w:t xml:space="preserve"> koristus- ja kuivatusvõimekuse tõstmi</w:t>
      </w:r>
      <w:r w:rsidR="00D4502A">
        <w:rPr>
          <w:rFonts w:ascii="Times New Roman" w:hAnsi="Times New Roman" w:cs="Times New Roman"/>
          <w:sz w:val="24"/>
          <w:szCs w:val="24"/>
        </w:rPr>
        <w:t>ne</w:t>
      </w:r>
      <w:r w:rsidR="007B2164">
        <w:rPr>
          <w:rFonts w:ascii="Times New Roman" w:hAnsi="Times New Roman" w:cs="Times New Roman"/>
          <w:sz w:val="24"/>
          <w:szCs w:val="24"/>
        </w:rPr>
        <w:t>;</w:t>
      </w:r>
    </w:p>
    <w:p w:rsidR="00D4502A" w:rsidRPr="00E958CE" w:rsidRDefault="0095704B" w:rsidP="00D4502A">
      <w:pPr>
        <w:pStyle w:val="ListParagraph"/>
        <w:numPr>
          <w:ilvl w:val="0"/>
          <w:numId w:val="9"/>
        </w:numPr>
        <w:spacing w:line="276" w:lineRule="auto"/>
        <w:jc w:val="both"/>
        <w:rPr>
          <w:rFonts w:ascii="Times New Roman" w:hAnsi="Times New Roman" w:cs="Times New Roman"/>
          <w:sz w:val="24"/>
          <w:szCs w:val="24"/>
        </w:rPr>
      </w:pPr>
      <w:r>
        <w:rPr>
          <w:rFonts w:ascii="Times New Roman" w:hAnsi="Times New Roman" w:cs="Times New Roman"/>
          <w:sz w:val="24"/>
          <w:szCs w:val="24"/>
        </w:rPr>
        <w:t>s</w:t>
      </w:r>
      <w:r w:rsidR="00D4502A" w:rsidRPr="00E958CE">
        <w:rPr>
          <w:rFonts w:ascii="Times New Roman" w:hAnsi="Times New Roman" w:cs="Times New Roman"/>
          <w:sz w:val="24"/>
          <w:szCs w:val="24"/>
        </w:rPr>
        <w:t>ertifitseeritud seemne kasutamise suurendamine</w:t>
      </w:r>
      <w:r w:rsidR="007B2164">
        <w:rPr>
          <w:rFonts w:ascii="Times New Roman" w:hAnsi="Times New Roman" w:cs="Times New Roman"/>
          <w:sz w:val="24"/>
          <w:szCs w:val="24"/>
        </w:rPr>
        <w:t>;</w:t>
      </w:r>
    </w:p>
    <w:p w:rsidR="00D4502A" w:rsidRPr="00E958CE" w:rsidRDefault="0095704B" w:rsidP="00D4502A">
      <w:pPr>
        <w:pStyle w:val="ListParagraph"/>
        <w:numPr>
          <w:ilvl w:val="0"/>
          <w:numId w:val="9"/>
        </w:numPr>
        <w:spacing w:line="276" w:lineRule="auto"/>
        <w:jc w:val="both"/>
        <w:rPr>
          <w:rFonts w:ascii="Times New Roman" w:hAnsi="Times New Roman" w:cs="Times New Roman"/>
          <w:sz w:val="24"/>
          <w:szCs w:val="24"/>
        </w:rPr>
      </w:pPr>
      <w:r>
        <w:rPr>
          <w:rFonts w:ascii="Times New Roman" w:hAnsi="Times New Roman" w:cs="Times New Roman"/>
          <w:sz w:val="24"/>
          <w:szCs w:val="24"/>
        </w:rPr>
        <w:t>t</w:t>
      </w:r>
      <w:r w:rsidR="00D4502A" w:rsidRPr="00E958CE">
        <w:rPr>
          <w:rFonts w:ascii="Times New Roman" w:hAnsi="Times New Roman" w:cs="Times New Roman"/>
          <w:sz w:val="24"/>
          <w:szCs w:val="24"/>
        </w:rPr>
        <w:t>eravilja puhtuse tagamine</w:t>
      </w:r>
      <w:r w:rsidR="007B2164">
        <w:rPr>
          <w:rFonts w:ascii="Times New Roman" w:hAnsi="Times New Roman" w:cs="Times New Roman"/>
          <w:sz w:val="24"/>
          <w:szCs w:val="24"/>
        </w:rPr>
        <w:t>.</w:t>
      </w:r>
    </w:p>
    <w:p w:rsidR="00896C32" w:rsidRDefault="00896C32">
      <w:pPr>
        <w:rPr>
          <w:rStyle w:val="IntenseReference"/>
          <w:i w:val="0"/>
        </w:rPr>
      </w:pPr>
    </w:p>
    <w:p w:rsidR="00FF3D8F" w:rsidRPr="00FF3D8F" w:rsidRDefault="00FF3D8F" w:rsidP="00FF3D8F">
      <w:pPr>
        <w:keepNext/>
        <w:framePr w:dropCap="drop" w:lines="3" w:wrap="around" w:vAnchor="text" w:hAnchor="text"/>
        <w:spacing w:line="793" w:lineRule="exact"/>
        <w:jc w:val="both"/>
        <w:textAlignment w:val="baseline"/>
        <w:rPr>
          <w:rStyle w:val="IntenseReference"/>
          <w:i w:val="0"/>
          <w:position w:val="-8"/>
          <w:sz w:val="104"/>
        </w:rPr>
      </w:pPr>
      <w:r w:rsidRPr="00FF3D8F">
        <w:rPr>
          <w:rStyle w:val="IntenseReference"/>
          <w:i w:val="0"/>
          <w:position w:val="-8"/>
          <w:sz w:val="104"/>
        </w:rPr>
        <w:t>T</w:t>
      </w:r>
    </w:p>
    <w:p w:rsidR="00896C32" w:rsidRPr="002E28E2" w:rsidRDefault="00896C32" w:rsidP="00896C32">
      <w:pPr>
        <w:spacing w:line="276" w:lineRule="auto"/>
        <w:jc w:val="both"/>
        <w:rPr>
          <w:rStyle w:val="IntenseReference"/>
          <w:i w:val="0"/>
        </w:rPr>
      </w:pPr>
      <w:r>
        <w:rPr>
          <w:rStyle w:val="IntenseReference"/>
          <w:i w:val="0"/>
        </w:rPr>
        <w:t>eravilja ja rapsi</w:t>
      </w:r>
      <w:r w:rsidRPr="002E28E2">
        <w:rPr>
          <w:rStyle w:val="IntenseReference"/>
          <w:i w:val="0"/>
        </w:rPr>
        <w:t xml:space="preserve"> töötlemisel </w:t>
      </w:r>
      <w:r>
        <w:rPr>
          <w:rStyle w:val="IntenseReference"/>
          <w:i w:val="0"/>
        </w:rPr>
        <w:t>antakse toodetele vähe lisandväärtust</w:t>
      </w:r>
      <w:r w:rsidRPr="002E28E2">
        <w:rPr>
          <w:rStyle w:val="IntenseReference"/>
          <w:i w:val="0"/>
        </w:rPr>
        <w:t xml:space="preserve"> (ka mahetoodete puhul, mille järele nõudlus järjest kasvab). seetõttu eksporditakse </w:t>
      </w:r>
      <w:r w:rsidR="00917656">
        <w:rPr>
          <w:rStyle w:val="IntenseReference"/>
          <w:i w:val="0"/>
        </w:rPr>
        <w:t xml:space="preserve">kohapealseks </w:t>
      </w:r>
      <w:r w:rsidRPr="002E28E2">
        <w:rPr>
          <w:rStyle w:val="IntenseReference"/>
          <w:i w:val="0"/>
        </w:rPr>
        <w:t xml:space="preserve">töötlemiseks ja ka bioenergia tootmiseks </w:t>
      </w:r>
      <w:r w:rsidR="00917656">
        <w:rPr>
          <w:rStyle w:val="IntenseReference"/>
          <w:i w:val="0"/>
        </w:rPr>
        <w:t>mõeldud</w:t>
      </w:r>
      <w:r w:rsidRPr="002E28E2">
        <w:rPr>
          <w:rStyle w:val="IntenseReference"/>
          <w:i w:val="0"/>
        </w:rPr>
        <w:t xml:space="preserve"> tooraine, kuigi seda võiks Eestis väärindada ning juba valmistootena välja viia. </w:t>
      </w:r>
    </w:p>
    <w:p w:rsidR="00896C32" w:rsidRPr="00E958CE" w:rsidRDefault="00896C32" w:rsidP="00896C32">
      <w:pPr>
        <w:autoSpaceDE w:val="0"/>
        <w:autoSpaceDN w:val="0"/>
        <w:spacing w:line="276" w:lineRule="auto"/>
        <w:contextualSpacing/>
        <w:jc w:val="both"/>
        <w:rPr>
          <w:rFonts w:ascii="Times New Roman" w:hAnsi="Times New Roman" w:cs="Times New Roman"/>
          <w:color w:val="000000"/>
          <w:sz w:val="24"/>
          <w:szCs w:val="24"/>
        </w:rPr>
      </w:pPr>
    </w:p>
    <w:p w:rsidR="00896C32" w:rsidRPr="00E958CE" w:rsidRDefault="00BE63E1" w:rsidP="00896C32">
      <w:pPr>
        <w:autoSpaceDE w:val="0"/>
        <w:autoSpaceDN w:val="0"/>
        <w:spacing w:line="276"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Nagu</w:t>
      </w:r>
      <w:r w:rsidR="00896C32" w:rsidRPr="00E958CE">
        <w:rPr>
          <w:rFonts w:ascii="Times New Roman" w:eastAsia="Calibri" w:hAnsi="Times New Roman" w:cs="Times New Roman"/>
          <w:sz w:val="24"/>
          <w:szCs w:val="24"/>
        </w:rPr>
        <w:t xml:space="preserve"> teravilja ja rapsi tootmise puhul, nii on ka töötlemise efektiivsemaks muutmiseks ja </w:t>
      </w:r>
      <w:r w:rsidR="00896C32" w:rsidRPr="00E958CE">
        <w:rPr>
          <w:rFonts w:ascii="Times New Roman" w:eastAsia="Calibri" w:hAnsi="Times New Roman" w:cs="Times New Roman"/>
          <w:b/>
          <w:sz w:val="24"/>
          <w:szCs w:val="24"/>
        </w:rPr>
        <w:t>lisandväärtuse suurendamiseks</w:t>
      </w:r>
      <w:r w:rsidR="00896C32" w:rsidRPr="00E958CE">
        <w:rPr>
          <w:rFonts w:ascii="Times New Roman" w:eastAsia="Calibri" w:hAnsi="Times New Roman" w:cs="Times New Roman"/>
          <w:sz w:val="24"/>
          <w:szCs w:val="24"/>
        </w:rPr>
        <w:t xml:space="preserve"> vajalik teostada investeeringuid, võtta kasutusele innovaatilisi lahendusi ning </w:t>
      </w:r>
      <w:r w:rsidR="009223AC">
        <w:rPr>
          <w:rFonts w:ascii="Times New Roman" w:eastAsia="Calibri" w:hAnsi="Times New Roman" w:cs="Times New Roman"/>
          <w:sz w:val="24"/>
          <w:szCs w:val="24"/>
        </w:rPr>
        <w:t>arendada</w:t>
      </w:r>
      <w:r w:rsidR="00896C32" w:rsidRPr="00E958CE">
        <w:rPr>
          <w:rFonts w:ascii="Times New Roman" w:eastAsia="Calibri" w:hAnsi="Times New Roman" w:cs="Times New Roman"/>
          <w:sz w:val="24"/>
          <w:szCs w:val="24"/>
        </w:rPr>
        <w:t xml:space="preserve"> uusi tootmis- ja töötlemisvõimalusi. Seejuures tuleb tarnekindluse tõstmiseks panustada kogu tarneahela koostööle</w:t>
      </w:r>
      <w:r w:rsidR="009223AC">
        <w:rPr>
          <w:rFonts w:ascii="Times New Roman" w:eastAsia="Calibri" w:hAnsi="Times New Roman" w:cs="Times New Roman"/>
          <w:sz w:val="24"/>
          <w:szCs w:val="24"/>
        </w:rPr>
        <w:t>,</w:t>
      </w:r>
      <w:r w:rsidR="00896C32" w:rsidRPr="00E958CE">
        <w:rPr>
          <w:rFonts w:ascii="Times New Roman" w:eastAsia="Calibri" w:hAnsi="Times New Roman" w:cs="Times New Roman"/>
          <w:sz w:val="24"/>
          <w:szCs w:val="24"/>
        </w:rPr>
        <w:t xml:space="preserve"> alustades tootjast</w:t>
      </w:r>
      <w:r w:rsidR="009223AC">
        <w:rPr>
          <w:rFonts w:ascii="Times New Roman" w:eastAsia="Calibri" w:hAnsi="Times New Roman" w:cs="Times New Roman"/>
          <w:sz w:val="24"/>
          <w:szCs w:val="24"/>
        </w:rPr>
        <w:t xml:space="preserve"> ja lõpetades toote tarbija</w:t>
      </w:r>
      <w:r w:rsidR="00896C32" w:rsidRPr="00E958CE">
        <w:rPr>
          <w:rFonts w:ascii="Times New Roman" w:eastAsia="Calibri" w:hAnsi="Times New Roman" w:cs="Times New Roman"/>
          <w:sz w:val="24"/>
          <w:szCs w:val="24"/>
        </w:rPr>
        <w:t xml:space="preserve">ni jõudmisega. Suur osa Eestis kasvatatud teraviljast </w:t>
      </w:r>
      <w:r w:rsidR="00896C32" w:rsidRPr="00E958CE">
        <w:rPr>
          <w:rFonts w:ascii="Times New Roman" w:eastAsia="Calibri" w:hAnsi="Times New Roman" w:cs="Times New Roman"/>
          <w:noProof/>
          <w:sz w:val="24"/>
          <w:szCs w:val="24"/>
        </w:rPr>
        <w:t>väärindatakse</w:t>
      </w:r>
      <w:r w:rsidR="00896C32" w:rsidRPr="00E958CE">
        <w:rPr>
          <w:rFonts w:ascii="Times New Roman" w:eastAsia="Calibri" w:hAnsi="Times New Roman" w:cs="Times New Roman"/>
          <w:sz w:val="24"/>
          <w:szCs w:val="24"/>
        </w:rPr>
        <w:t xml:space="preserve"> loomakasvatuse kaudu, mis annab võimaluse segatootmisviisi laialdasemaks kasutamiseks ja söödatootmise arendamiseks. Sertifitseeritud seemne tootmise laiendamine annaks lisaks juba eelpool kirjeldatud kvaliteedi ja saagikuse tõusule väljundi ka lisandväärtuse tõusule seemneviljana. Nii Eestis kui ka mujal maailmas suureneb nõudlus mahetoodete järele, mille tulemusena on võimalik laiendada teravilja ja rapsi mahedana tootmist. Võimalusi tuleb otsida ka toidu- ja söödaviljale mittevastava kvaliteediga vilja realiseerimise</w:t>
      </w:r>
      <w:r w:rsidR="00896C32">
        <w:rPr>
          <w:rFonts w:ascii="Times New Roman" w:eastAsia="Calibri" w:hAnsi="Times New Roman" w:cs="Times New Roman"/>
          <w:sz w:val="24"/>
          <w:szCs w:val="24"/>
        </w:rPr>
        <w:t>ks, kuna olenevalt aastast võib,</w:t>
      </w:r>
      <w:r w:rsidR="00896C32" w:rsidRPr="00E958CE">
        <w:rPr>
          <w:rFonts w:ascii="Times New Roman" w:eastAsia="Calibri" w:hAnsi="Times New Roman" w:cs="Times New Roman"/>
          <w:sz w:val="24"/>
          <w:szCs w:val="24"/>
        </w:rPr>
        <w:t xml:space="preserve"> peamiselt ilmastikust tingituna</w:t>
      </w:r>
      <w:r w:rsidR="00896C32">
        <w:rPr>
          <w:rFonts w:ascii="Times New Roman" w:eastAsia="Calibri" w:hAnsi="Times New Roman" w:cs="Times New Roman"/>
          <w:sz w:val="24"/>
          <w:szCs w:val="24"/>
        </w:rPr>
        <w:t>,</w:t>
      </w:r>
      <w:r w:rsidR="00896C32" w:rsidRPr="00E958CE">
        <w:rPr>
          <w:rFonts w:ascii="Times New Roman" w:eastAsia="Calibri" w:hAnsi="Times New Roman" w:cs="Times New Roman"/>
          <w:sz w:val="24"/>
          <w:szCs w:val="24"/>
        </w:rPr>
        <w:t xml:space="preserve"> leida Eestis</w:t>
      </w:r>
      <w:r w:rsidR="00896C32" w:rsidRPr="00E958CE" w:rsidDel="00965E22">
        <w:rPr>
          <w:rFonts w:ascii="Times New Roman" w:eastAsia="Calibri" w:hAnsi="Times New Roman" w:cs="Times New Roman"/>
          <w:sz w:val="24"/>
          <w:szCs w:val="24"/>
        </w:rPr>
        <w:t xml:space="preserve"> </w:t>
      </w:r>
      <w:r w:rsidR="00896C32" w:rsidRPr="00E958CE">
        <w:rPr>
          <w:rFonts w:ascii="Times New Roman" w:eastAsia="Calibri" w:hAnsi="Times New Roman" w:cs="Times New Roman"/>
          <w:sz w:val="24"/>
          <w:szCs w:val="24"/>
        </w:rPr>
        <w:t xml:space="preserve">teravilja, mis ei kõlba inimtarbimiseks ega kasutamiseks loomasöödana, kuid mida saab kasutada näiteks energia tootmiseks. </w:t>
      </w:r>
    </w:p>
    <w:p w:rsidR="00896C32" w:rsidRDefault="00896C32">
      <w:pPr>
        <w:rPr>
          <w:rStyle w:val="IntenseReference"/>
          <w:i w:val="0"/>
        </w:rPr>
      </w:pPr>
    </w:p>
    <w:p w:rsidR="00896C32" w:rsidRDefault="00896C32" w:rsidP="00FF3D8F">
      <w:pPr>
        <w:pStyle w:val="IntenseQuote"/>
        <w:ind w:left="0" w:right="-2"/>
        <w:rPr>
          <w:rStyle w:val="IntenseReference"/>
        </w:rPr>
      </w:pPr>
      <w:r w:rsidRPr="00FF3D8F">
        <w:rPr>
          <w:rStyle w:val="IntenseReference"/>
        </w:rPr>
        <w:t>Meetmed teraviljale ja rapsile suurema lisandväärtuse andmiseks</w:t>
      </w:r>
      <w:r w:rsidR="007B2164" w:rsidRPr="00FF3D8F">
        <w:rPr>
          <w:rStyle w:val="IntenseReference"/>
        </w:rPr>
        <w:t>:</w:t>
      </w:r>
    </w:p>
    <w:p w:rsidR="00FF3D8F" w:rsidRPr="00FF3D8F" w:rsidRDefault="00FF3D8F" w:rsidP="00FF3D8F"/>
    <w:p w:rsidR="00896C32" w:rsidRPr="00E958CE" w:rsidRDefault="004F4446" w:rsidP="00896C32">
      <w:pPr>
        <w:pStyle w:val="ListParagraph"/>
        <w:numPr>
          <w:ilvl w:val="0"/>
          <w:numId w:val="11"/>
        </w:numPr>
        <w:spacing w:line="276" w:lineRule="auto"/>
        <w:jc w:val="both"/>
        <w:rPr>
          <w:rFonts w:ascii="Times New Roman" w:hAnsi="Times New Roman" w:cs="Times New Roman"/>
          <w:sz w:val="24"/>
          <w:szCs w:val="24"/>
        </w:rPr>
      </w:pPr>
      <w:r>
        <w:rPr>
          <w:rFonts w:ascii="Times New Roman" w:hAnsi="Times New Roman" w:cs="Times New Roman"/>
          <w:sz w:val="24"/>
          <w:szCs w:val="24"/>
        </w:rPr>
        <w:t>i</w:t>
      </w:r>
      <w:r w:rsidR="00896C32" w:rsidRPr="00E958CE">
        <w:rPr>
          <w:rFonts w:ascii="Times New Roman" w:hAnsi="Times New Roman" w:cs="Times New Roman"/>
          <w:sz w:val="24"/>
          <w:szCs w:val="24"/>
        </w:rPr>
        <w:t>nvesteeringu</w:t>
      </w:r>
      <w:r w:rsidR="00896C32">
        <w:rPr>
          <w:rFonts w:ascii="Times New Roman" w:hAnsi="Times New Roman" w:cs="Times New Roman"/>
          <w:sz w:val="24"/>
          <w:szCs w:val="24"/>
        </w:rPr>
        <w:t>te abil</w:t>
      </w:r>
      <w:r w:rsidR="00896C32" w:rsidRPr="00E958CE">
        <w:rPr>
          <w:rFonts w:ascii="Times New Roman" w:hAnsi="Times New Roman" w:cs="Times New Roman"/>
          <w:sz w:val="24"/>
          <w:szCs w:val="24"/>
        </w:rPr>
        <w:t xml:space="preserve"> töötlemise efektiivsuse tõstmi</w:t>
      </w:r>
      <w:r w:rsidR="00896C32">
        <w:rPr>
          <w:rFonts w:ascii="Times New Roman" w:hAnsi="Times New Roman" w:cs="Times New Roman"/>
          <w:sz w:val="24"/>
          <w:szCs w:val="24"/>
        </w:rPr>
        <w:t>ne</w:t>
      </w:r>
      <w:r w:rsidR="007B2164">
        <w:rPr>
          <w:rFonts w:ascii="Times New Roman" w:hAnsi="Times New Roman" w:cs="Times New Roman"/>
          <w:sz w:val="24"/>
          <w:szCs w:val="24"/>
        </w:rPr>
        <w:t>;</w:t>
      </w:r>
    </w:p>
    <w:p w:rsidR="00896C32" w:rsidRPr="00E958CE" w:rsidRDefault="004F4446" w:rsidP="00896C32">
      <w:pPr>
        <w:pStyle w:val="ListParagraph"/>
        <w:numPr>
          <w:ilvl w:val="0"/>
          <w:numId w:val="11"/>
        </w:numPr>
        <w:spacing w:line="276" w:lineRule="auto"/>
        <w:jc w:val="both"/>
        <w:rPr>
          <w:rFonts w:ascii="Times New Roman" w:hAnsi="Times New Roman" w:cs="Times New Roman"/>
          <w:sz w:val="24"/>
          <w:szCs w:val="24"/>
        </w:rPr>
      </w:pPr>
      <w:r>
        <w:rPr>
          <w:rFonts w:ascii="Times New Roman" w:hAnsi="Times New Roman" w:cs="Times New Roman"/>
          <w:sz w:val="24"/>
          <w:szCs w:val="24"/>
        </w:rPr>
        <w:t>u</w:t>
      </w:r>
      <w:r w:rsidR="00896C32" w:rsidRPr="00E958CE">
        <w:rPr>
          <w:rFonts w:ascii="Times New Roman" w:hAnsi="Times New Roman" w:cs="Times New Roman"/>
          <w:sz w:val="24"/>
          <w:szCs w:val="24"/>
        </w:rPr>
        <w:t>ute tootmis- ja töötlemisvõimaluste analüüs ja leidmine</w:t>
      </w:r>
      <w:r w:rsidR="007B2164">
        <w:rPr>
          <w:rFonts w:ascii="Times New Roman" w:hAnsi="Times New Roman" w:cs="Times New Roman"/>
          <w:sz w:val="24"/>
          <w:szCs w:val="24"/>
        </w:rPr>
        <w:t>;</w:t>
      </w:r>
    </w:p>
    <w:p w:rsidR="00896C32" w:rsidRPr="00E958CE" w:rsidRDefault="004F4446" w:rsidP="00896C32">
      <w:pPr>
        <w:pStyle w:val="ListParagraph"/>
        <w:numPr>
          <w:ilvl w:val="0"/>
          <w:numId w:val="11"/>
        </w:numPr>
        <w:spacing w:line="276" w:lineRule="auto"/>
        <w:jc w:val="both"/>
        <w:rPr>
          <w:rFonts w:ascii="Times New Roman" w:hAnsi="Times New Roman" w:cs="Times New Roman"/>
          <w:sz w:val="24"/>
          <w:szCs w:val="24"/>
        </w:rPr>
      </w:pPr>
      <w:r>
        <w:rPr>
          <w:rFonts w:ascii="Times New Roman" w:hAnsi="Times New Roman" w:cs="Times New Roman"/>
          <w:sz w:val="24"/>
          <w:szCs w:val="24"/>
        </w:rPr>
        <w:t>t</w:t>
      </w:r>
      <w:r w:rsidR="00896C32" w:rsidRPr="00E958CE">
        <w:rPr>
          <w:rFonts w:ascii="Times New Roman" w:hAnsi="Times New Roman" w:cs="Times New Roman"/>
          <w:sz w:val="24"/>
          <w:szCs w:val="24"/>
        </w:rPr>
        <w:t xml:space="preserve">eravilja </w:t>
      </w:r>
      <w:r w:rsidR="00896C32" w:rsidRPr="00E958CE">
        <w:rPr>
          <w:rFonts w:ascii="Times New Roman" w:hAnsi="Times New Roman" w:cs="Times New Roman"/>
          <w:noProof/>
          <w:sz w:val="24"/>
          <w:szCs w:val="24"/>
        </w:rPr>
        <w:t>väärindamine</w:t>
      </w:r>
      <w:r w:rsidR="00896C32" w:rsidRPr="00E958CE">
        <w:rPr>
          <w:rFonts w:ascii="Times New Roman" w:hAnsi="Times New Roman" w:cs="Times New Roman"/>
          <w:sz w:val="24"/>
          <w:szCs w:val="24"/>
        </w:rPr>
        <w:t xml:space="preserve"> loomakasvatuse kaudu</w:t>
      </w:r>
      <w:r w:rsidR="007B2164">
        <w:rPr>
          <w:rFonts w:ascii="Times New Roman" w:hAnsi="Times New Roman" w:cs="Times New Roman"/>
          <w:sz w:val="24"/>
          <w:szCs w:val="24"/>
        </w:rPr>
        <w:t>;</w:t>
      </w:r>
    </w:p>
    <w:p w:rsidR="00896C32" w:rsidRPr="00E958CE" w:rsidRDefault="004F4446" w:rsidP="00896C32">
      <w:pPr>
        <w:pStyle w:val="ListParagraph"/>
        <w:numPr>
          <w:ilvl w:val="0"/>
          <w:numId w:val="11"/>
        </w:numPr>
        <w:spacing w:line="276" w:lineRule="auto"/>
        <w:jc w:val="both"/>
        <w:rPr>
          <w:rFonts w:ascii="Times New Roman" w:hAnsi="Times New Roman" w:cs="Times New Roman"/>
          <w:sz w:val="24"/>
          <w:szCs w:val="24"/>
        </w:rPr>
      </w:pPr>
      <w:r>
        <w:rPr>
          <w:rFonts w:ascii="Times New Roman" w:hAnsi="Times New Roman" w:cs="Times New Roman"/>
          <w:sz w:val="24"/>
          <w:szCs w:val="24"/>
        </w:rPr>
        <w:t>s</w:t>
      </w:r>
      <w:r w:rsidR="00896C32" w:rsidRPr="00E958CE">
        <w:rPr>
          <w:rFonts w:ascii="Times New Roman" w:hAnsi="Times New Roman" w:cs="Times New Roman"/>
          <w:sz w:val="24"/>
          <w:szCs w:val="24"/>
        </w:rPr>
        <w:t>ertifitseeritud seemne tootmine</w:t>
      </w:r>
      <w:r w:rsidR="007B2164">
        <w:rPr>
          <w:rFonts w:ascii="Times New Roman" w:hAnsi="Times New Roman" w:cs="Times New Roman"/>
          <w:sz w:val="24"/>
          <w:szCs w:val="24"/>
        </w:rPr>
        <w:t>;</w:t>
      </w:r>
    </w:p>
    <w:p w:rsidR="00896C32" w:rsidRPr="00E958CE" w:rsidRDefault="004F4446" w:rsidP="00896C32">
      <w:pPr>
        <w:pStyle w:val="ListParagraph"/>
        <w:numPr>
          <w:ilvl w:val="0"/>
          <w:numId w:val="11"/>
        </w:numPr>
        <w:spacing w:line="276" w:lineRule="auto"/>
        <w:jc w:val="both"/>
        <w:rPr>
          <w:rFonts w:ascii="Times New Roman" w:hAnsi="Times New Roman" w:cs="Times New Roman"/>
          <w:sz w:val="24"/>
          <w:szCs w:val="24"/>
        </w:rPr>
      </w:pPr>
      <w:r>
        <w:rPr>
          <w:rFonts w:ascii="Times New Roman" w:hAnsi="Times New Roman" w:cs="Times New Roman"/>
          <w:sz w:val="24"/>
          <w:szCs w:val="24"/>
        </w:rPr>
        <w:t>m</w:t>
      </w:r>
      <w:r w:rsidR="00896C32" w:rsidRPr="00E958CE">
        <w:rPr>
          <w:rFonts w:ascii="Times New Roman" w:hAnsi="Times New Roman" w:cs="Times New Roman"/>
          <w:sz w:val="24"/>
          <w:szCs w:val="24"/>
        </w:rPr>
        <w:t>ahetoodangu ja töödeldud toodete mahu suurendamine</w:t>
      </w:r>
      <w:r w:rsidR="007B2164">
        <w:rPr>
          <w:rFonts w:ascii="Times New Roman" w:hAnsi="Times New Roman" w:cs="Times New Roman"/>
          <w:sz w:val="24"/>
          <w:szCs w:val="24"/>
        </w:rPr>
        <w:t>;</w:t>
      </w:r>
    </w:p>
    <w:p w:rsidR="00896C32" w:rsidRPr="00E958CE" w:rsidRDefault="004F4446" w:rsidP="00896C32">
      <w:pPr>
        <w:pStyle w:val="ListParagraph"/>
        <w:numPr>
          <w:ilvl w:val="0"/>
          <w:numId w:val="11"/>
        </w:numPr>
        <w:spacing w:line="276" w:lineRule="auto"/>
        <w:jc w:val="both"/>
        <w:rPr>
          <w:rFonts w:ascii="Times New Roman" w:hAnsi="Times New Roman" w:cs="Times New Roman"/>
          <w:sz w:val="24"/>
          <w:szCs w:val="24"/>
        </w:rPr>
      </w:pPr>
      <w:r>
        <w:rPr>
          <w:rFonts w:ascii="Times New Roman" w:hAnsi="Times New Roman" w:cs="Times New Roman"/>
          <w:sz w:val="24"/>
          <w:szCs w:val="24"/>
        </w:rPr>
        <w:t>i</w:t>
      </w:r>
      <w:r w:rsidR="00896C32" w:rsidRPr="00E958CE">
        <w:rPr>
          <w:rFonts w:ascii="Times New Roman" w:hAnsi="Times New Roman" w:cs="Times New Roman"/>
          <w:sz w:val="24"/>
          <w:szCs w:val="24"/>
        </w:rPr>
        <w:t>nnovaatiliste lahenduste rakendamine</w:t>
      </w:r>
      <w:r w:rsidR="007B2164">
        <w:rPr>
          <w:rFonts w:ascii="Times New Roman" w:hAnsi="Times New Roman" w:cs="Times New Roman"/>
          <w:sz w:val="24"/>
          <w:szCs w:val="24"/>
        </w:rPr>
        <w:t>;</w:t>
      </w:r>
      <w:r w:rsidR="00896C32" w:rsidRPr="00E958CE" w:rsidDel="002E1213">
        <w:rPr>
          <w:rFonts w:ascii="Times New Roman" w:hAnsi="Times New Roman" w:cs="Times New Roman"/>
          <w:sz w:val="24"/>
          <w:szCs w:val="24"/>
        </w:rPr>
        <w:t xml:space="preserve"> </w:t>
      </w:r>
    </w:p>
    <w:p w:rsidR="00896C32" w:rsidRPr="00E958CE" w:rsidRDefault="004F4446" w:rsidP="00896C32">
      <w:pPr>
        <w:pStyle w:val="ListParagraph"/>
        <w:numPr>
          <w:ilvl w:val="0"/>
          <w:numId w:val="11"/>
        </w:numPr>
        <w:spacing w:line="276" w:lineRule="auto"/>
        <w:jc w:val="both"/>
        <w:rPr>
          <w:rFonts w:ascii="Times New Roman" w:hAnsi="Times New Roman" w:cs="Times New Roman"/>
          <w:sz w:val="24"/>
          <w:szCs w:val="24"/>
        </w:rPr>
      </w:pPr>
      <w:r>
        <w:rPr>
          <w:rFonts w:ascii="Times New Roman" w:hAnsi="Times New Roman" w:cs="Times New Roman"/>
          <w:sz w:val="24"/>
          <w:szCs w:val="24"/>
        </w:rPr>
        <w:t>t</w:t>
      </w:r>
      <w:r w:rsidR="00896C32" w:rsidRPr="00E958CE">
        <w:rPr>
          <w:rFonts w:ascii="Times New Roman" w:hAnsi="Times New Roman" w:cs="Times New Roman"/>
          <w:sz w:val="24"/>
          <w:szCs w:val="24"/>
        </w:rPr>
        <w:t>oidu- ja söödaviljale mittevastava kvaliteediga vilja realiseerimine</w:t>
      </w:r>
      <w:r w:rsidR="007B2164">
        <w:rPr>
          <w:rFonts w:ascii="Times New Roman" w:hAnsi="Times New Roman" w:cs="Times New Roman"/>
          <w:sz w:val="24"/>
          <w:szCs w:val="24"/>
        </w:rPr>
        <w:t>;</w:t>
      </w:r>
    </w:p>
    <w:p w:rsidR="00896C32" w:rsidRPr="00E958CE" w:rsidRDefault="004F4446" w:rsidP="00896C32">
      <w:pPr>
        <w:pStyle w:val="ListParagraph"/>
        <w:numPr>
          <w:ilvl w:val="0"/>
          <w:numId w:val="11"/>
        </w:numPr>
        <w:spacing w:line="276" w:lineRule="auto"/>
        <w:jc w:val="both"/>
        <w:rPr>
          <w:rFonts w:ascii="Times New Roman" w:hAnsi="Times New Roman" w:cs="Times New Roman"/>
          <w:sz w:val="24"/>
          <w:szCs w:val="24"/>
        </w:rPr>
      </w:pPr>
      <w:r>
        <w:rPr>
          <w:rFonts w:ascii="Times New Roman" w:hAnsi="Times New Roman" w:cs="Times New Roman"/>
          <w:sz w:val="24"/>
          <w:szCs w:val="24"/>
        </w:rPr>
        <w:t>ü</w:t>
      </w:r>
      <w:r w:rsidR="00896C32" w:rsidRPr="00E958CE">
        <w:rPr>
          <w:rFonts w:ascii="Times New Roman" w:hAnsi="Times New Roman" w:cs="Times New Roman"/>
          <w:sz w:val="24"/>
          <w:szCs w:val="24"/>
        </w:rPr>
        <w:t>histegevuse soodustamine</w:t>
      </w:r>
      <w:r w:rsidR="007B2164">
        <w:rPr>
          <w:rFonts w:ascii="Times New Roman" w:hAnsi="Times New Roman" w:cs="Times New Roman"/>
          <w:sz w:val="24"/>
          <w:szCs w:val="24"/>
        </w:rPr>
        <w:t>.</w:t>
      </w:r>
    </w:p>
    <w:p w:rsidR="00896C32" w:rsidRDefault="00896C32">
      <w:pPr>
        <w:rPr>
          <w:rStyle w:val="IntenseReference"/>
          <w:i w:val="0"/>
        </w:rPr>
      </w:pPr>
    </w:p>
    <w:p w:rsidR="00FF3D8F" w:rsidRPr="00FF3D8F" w:rsidRDefault="00FF3D8F" w:rsidP="00FF3D8F">
      <w:pPr>
        <w:keepNext/>
        <w:framePr w:dropCap="drop" w:lines="3" w:wrap="around" w:vAnchor="text" w:hAnchor="text"/>
        <w:spacing w:line="793" w:lineRule="exact"/>
        <w:jc w:val="both"/>
        <w:textAlignment w:val="baseline"/>
        <w:rPr>
          <w:rStyle w:val="IntenseReference"/>
          <w:i w:val="0"/>
          <w:position w:val="-8"/>
          <w:sz w:val="104"/>
        </w:rPr>
      </w:pPr>
      <w:r w:rsidRPr="00FF3D8F">
        <w:rPr>
          <w:rStyle w:val="IntenseReference"/>
          <w:i w:val="0"/>
          <w:position w:val="-8"/>
          <w:sz w:val="104"/>
        </w:rPr>
        <w:t>E</w:t>
      </w:r>
    </w:p>
    <w:p w:rsidR="00896C32" w:rsidRPr="002E28E2" w:rsidRDefault="00917656" w:rsidP="00896C32">
      <w:pPr>
        <w:spacing w:line="276" w:lineRule="auto"/>
        <w:jc w:val="both"/>
        <w:rPr>
          <w:rStyle w:val="IntenseReference"/>
          <w:i w:val="0"/>
        </w:rPr>
      </w:pPr>
      <w:r>
        <w:rPr>
          <w:rStyle w:val="IntenseReference"/>
          <w:i w:val="0"/>
        </w:rPr>
        <w:t>esti</w:t>
      </w:r>
      <w:r w:rsidR="00896C32">
        <w:rPr>
          <w:rStyle w:val="IntenseReference"/>
          <w:i w:val="0"/>
        </w:rPr>
        <w:t xml:space="preserve"> teravili ja raps ei o</w:t>
      </w:r>
      <w:r>
        <w:rPr>
          <w:rStyle w:val="IntenseReference"/>
          <w:i w:val="0"/>
        </w:rPr>
        <w:t>le euroopa ja maailma turul</w:t>
      </w:r>
      <w:r w:rsidR="00896C32">
        <w:rPr>
          <w:rStyle w:val="IntenseReference"/>
          <w:i w:val="0"/>
        </w:rPr>
        <w:t xml:space="preserve"> </w:t>
      </w:r>
      <w:r>
        <w:rPr>
          <w:rStyle w:val="IntenseReference"/>
          <w:i w:val="0"/>
        </w:rPr>
        <w:t>veel piisavalt tuntust saavutanud</w:t>
      </w:r>
      <w:r w:rsidR="00896C32">
        <w:rPr>
          <w:rStyle w:val="IntenseReference"/>
          <w:i w:val="0"/>
        </w:rPr>
        <w:t>, mistõttu on kohalikel tootj</w:t>
      </w:r>
      <w:r>
        <w:rPr>
          <w:rStyle w:val="IntenseReference"/>
          <w:i w:val="0"/>
        </w:rPr>
        <w:t>atel ra</w:t>
      </w:r>
      <w:r w:rsidR="00673E58">
        <w:rPr>
          <w:rStyle w:val="IntenseReference"/>
          <w:i w:val="0"/>
        </w:rPr>
        <w:t>sk</w:t>
      </w:r>
      <w:r>
        <w:rPr>
          <w:rStyle w:val="IntenseReference"/>
          <w:i w:val="0"/>
        </w:rPr>
        <w:t>em konkureerida ühistur</w:t>
      </w:r>
      <w:r w:rsidR="00896C32">
        <w:rPr>
          <w:rStyle w:val="IntenseReference"/>
          <w:i w:val="0"/>
        </w:rPr>
        <w:t xml:space="preserve">u tingimustes. </w:t>
      </w:r>
    </w:p>
    <w:p w:rsidR="00896C32" w:rsidRPr="00E958CE" w:rsidRDefault="00896C32" w:rsidP="00896C32">
      <w:pPr>
        <w:autoSpaceDE w:val="0"/>
        <w:autoSpaceDN w:val="0"/>
        <w:spacing w:line="276" w:lineRule="auto"/>
        <w:contextualSpacing/>
        <w:jc w:val="both"/>
        <w:rPr>
          <w:rFonts w:ascii="Times New Roman" w:eastAsia="Calibri" w:hAnsi="Times New Roman" w:cs="Times New Roman"/>
          <w:sz w:val="24"/>
          <w:szCs w:val="24"/>
        </w:rPr>
      </w:pPr>
    </w:p>
    <w:p w:rsidR="00896C32" w:rsidRPr="00E958CE" w:rsidRDefault="00896C32" w:rsidP="00896C32">
      <w:pPr>
        <w:autoSpaceDE w:val="0"/>
        <w:autoSpaceDN w:val="0"/>
        <w:spacing w:line="276" w:lineRule="auto"/>
        <w:contextualSpacing/>
        <w:jc w:val="both"/>
        <w:rPr>
          <w:rFonts w:ascii="Times New Roman" w:eastAsia="Calibri" w:hAnsi="Times New Roman" w:cs="Times New Roman"/>
          <w:sz w:val="24"/>
          <w:szCs w:val="24"/>
        </w:rPr>
      </w:pPr>
      <w:r w:rsidRPr="00E958CE">
        <w:rPr>
          <w:rFonts w:ascii="Times New Roman" w:eastAsia="Calibri" w:hAnsi="Times New Roman" w:cs="Times New Roman"/>
          <w:sz w:val="24"/>
          <w:szCs w:val="24"/>
        </w:rPr>
        <w:t xml:space="preserve">Eesti tootjad ja töötlejad konkureerivad Euroopa ja maailma turul teiste teravilja tootjate ja töötlejatega, kellest paljud saavad tegutseda geograafiliselt palju soodsamates kasvatuspiirkondades. Seetõttu on konkurentsis püsimiseks vaja </w:t>
      </w:r>
      <w:r w:rsidRPr="00E958CE">
        <w:rPr>
          <w:rFonts w:ascii="Times New Roman" w:eastAsia="Calibri" w:hAnsi="Times New Roman" w:cs="Times New Roman"/>
          <w:b/>
          <w:sz w:val="24"/>
          <w:szCs w:val="24"/>
        </w:rPr>
        <w:t>tõsta Eesti teravilja</w:t>
      </w:r>
      <w:r w:rsidR="00BE63E1">
        <w:rPr>
          <w:rFonts w:ascii="Times New Roman" w:eastAsia="Calibri" w:hAnsi="Times New Roman" w:cs="Times New Roman"/>
          <w:b/>
          <w:sz w:val="24"/>
          <w:szCs w:val="24"/>
        </w:rPr>
        <w:t xml:space="preserve"> ja rapsi ning nendest valmistatud too</w:t>
      </w:r>
      <w:r w:rsidR="00561935">
        <w:rPr>
          <w:rFonts w:ascii="Times New Roman" w:eastAsia="Calibri" w:hAnsi="Times New Roman" w:cs="Times New Roman"/>
          <w:b/>
          <w:sz w:val="24"/>
          <w:szCs w:val="24"/>
        </w:rPr>
        <w:t>d</w:t>
      </w:r>
      <w:r w:rsidR="00BE63E1">
        <w:rPr>
          <w:rFonts w:ascii="Times New Roman" w:eastAsia="Calibri" w:hAnsi="Times New Roman" w:cs="Times New Roman"/>
          <w:b/>
          <w:sz w:val="24"/>
          <w:szCs w:val="24"/>
        </w:rPr>
        <w:t>ete</w:t>
      </w:r>
      <w:r w:rsidRPr="00E958CE">
        <w:rPr>
          <w:rFonts w:ascii="Times New Roman" w:eastAsia="Calibri" w:hAnsi="Times New Roman" w:cs="Times New Roman"/>
          <w:b/>
          <w:sz w:val="24"/>
          <w:szCs w:val="24"/>
        </w:rPr>
        <w:t xml:space="preserve"> tuntust</w:t>
      </w:r>
      <w:r w:rsidRPr="00E958CE">
        <w:rPr>
          <w:rFonts w:ascii="Times New Roman" w:eastAsia="Calibri" w:hAnsi="Times New Roman" w:cs="Times New Roman"/>
          <w:sz w:val="24"/>
          <w:szCs w:val="24"/>
        </w:rPr>
        <w:t>, mille üheks eelduseks on kvaliteetne saak, mis loob eeldused ka kvaliteetsete toodete valmistamiseks. Eur</w:t>
      </w:r>
      <w:r w:rsidR="002C1FC1">
        <w:rPr>
          <w:rFonts w:ascii="Times New Roman" w:eastAsia="Calibri" w:hAnsi="Times New Roman" w:cs="Times New Roman"/>
          <w:sz w:val="24"/>
          <w:szCs w:val="24"/>
        </w:rPr>
        <w:t>oopa ja maailma turul</w:t>
      </w:r>
      <w:r w:rsidRPr="00E958CE">
        <w:rPr>
          <w:rFonts w:ascii="Times New Roman" w:eastAsia="Calibri" w:hAnsi="Times New Roman" w:cs="Times New Roman"/>
          <w:sz w:val="24"/>
          <w:szCs w:val="24"/>
        </w:rPr>
        <w:t xml:space="preserve"> </w:t>
      </w:r>
      <w:r w:rsidR="002C1FC1">
        <w:rPr>
          <w:rFonts w:ascii="Times New Roman" w:eastAsia="Calibri" w:hAnsi="Times New Roman" w:cs="Times New Roman"/>
          <w:sz w:val="24"/>
          <w:szCs w:val="24"/>
        </w:rPr>
        <w:t xml:space="preserve">läbilöömiseks on vajalik ühendada </w:t>
      </w:r>
      <w:r w:rsidRPr="00E958CE">
        <w:rPr>
          <w:rFonts w:ascii="Times New Roman" w:eastAsia="Calibri" w:hAnsi="Times New Roman" w:cs="Times New Roman"/>
          <w:sz w:val="24"/>
          <w:szCs w:val="24"/>
        </w:rPr>
        <w:t xml:space="preserve">kogemused ja teadmised toodangu turustamiseks. </w:t>
      </w:r>
      <w:r w:rsidR="00A444A3">
        <w:rPr>
          <w:rFonts w:ascii="Times New Roman" w:eastAsia="Calibri" w:hAnsi="Times New Roman" w:cs="Times New Roman"/>
          <w:sz w:val="24"/>
          <w:szCs w:val="24"/>
        </w:rPr>
        <w:t xml:space="preserve">Teisalt on Eestis teravilja ja rapsi kasvatamiseks keskkond puhtam, </w:t>
      </w:r>
      <w:r w:rsidRPr="00E958CE">
        <w:rPr>
          <w:rFonts w:ascii="Times New Roman" w:eastAsia="Calibri" w:hAnsi="Times New Roman" w:cs="Times New Roman"/>
          <w:sz w:val="24"/>
          <w:szCs w:val="24"/>
        </w:rPr>
        <w:t>mille tagamine paljudes maailma suurtes tootmispiirkondades on läinud järjest keerulisemaks. Eesti võimalusena on veel olemas ressursse seni kasutamata maa ja puhta mageda vee k</w:t>
      </w:r>
      <w:r w:rsidR="00050464">
        <w:rPr>
          <w:rFonts w:ascii="Times New Roman" w:eastAsia="Calibri" w:hAnsi="Times New Roman" w:cs="Times New Roman"/>
          <w:sz w:val="24"/>
          <w:szCs w:val="24"/>
        </w:rPr>
        <w:t>ujul, mistõttu tuleks seda looduslikku eelist</w:t>
      </w:r>
      <w:r w:rsidR="009A3CE4">
        <w:rPr>
          <w:rFonts w:ascii="Times New Roman" w:eastAsia="Calibri" w:hAnsi="Times New Roman" w:cs="Times New Roman"/>
          <w:sz w:val="24"/>
          <w:szCs w:val="24"/>
        </w:rPr>
        <w:t xml:space="preserve"> laialdasemalt ära kasutada, </w:t>
      </w:r>
      <w:r w:rsidR="009A3CE4" w:rsidRPr="009A3CE4">
        <w:rPr>
          <w:rFonts w:ascii="Times New Roman" w:eastAsia="Calibri" w:hAnsi="Times New Roman" w:cs="Times New Roman"/>
          <w:sz w:val="24"/>
          <w:szCs w:val="24"/>
        </w:rPr>
        <w:t xml:space="preserve">samal ajal neid ressursse säästlikult hoides.  </w:t>
      </w:r>
      <w:r w:rsidRPr="00E958CE">
        <w:rPr>
          <w:rFonts w:ascii="Times New Roman" w:eastAsia="Calibri" w:hAnsi="Times New Roman" w:cs="Times New Roman"/>
          <w:sz w:val="24"/>
          <w:szCs w:val="24"/>
        </w:rPr>
        <w:t xml:space="preserve"> </w:t>
      </w:r>
    </w:p>
    <w:p w:rsidR="00896C32" w:rsidRDefault="00896C32">
      <w:pPr>
        <w:rPr>
          <w:rStyle w:val="IntenseReference"/>
          <w:i w:val="0"/>
        </w:rPr>
      </w:pPr>
    </w:p>
    <w:p w:rsidR="00896C32" w:rsidRDefault="00896C32" w:rsidP="00FF3D8F">
      <w:pPr>
        <w:pStyle w:val="IntenseQuote"/>
        <w:ind w:left="0" w:right="-2"/>
        <w:rPr>
          <w:rStyle w:val="IntenseReference"/>
        </w:rPr>
      </w:pPr>
      <w:r w:rsidRPr="00FF3D8F">
        <w:rPr>
          <w:rStyle w:val="IntenseReference"/>
        </w:rPr>
        <w:t>Meetmed teravilja ja rapsi ning nendest valmistatud toodete tuntuse tõstmiseks</w:t>
      </w:r>
      <w:r w:rsidR="007B2164" w:rsidRPr="00FF3D8F">
        <w:rPr>
          <w:rStyle w:val="IntenseReference"/>
        </w:rPr>
        <w:t>:</w:t>
      </w:r>
      <w:r w:rsidRPr="00FF3D8F">
        <w:rPr>
          <w:rStyle w:val="IntenseReference"/>
        </w:rPr>
        <w:t xml:space="preserve"> </w:t>
      </w:r>
    </w:p>
    <w:p w:rsidR="00FF3D8F" w:rsidRPr="00FF3D8F" w:rsidRDefault="00FF3D8F" w:rsidP="00FF3D8F"/>
    <w:p w:rsidR="00896C32" w:rsidRPr="00E958CE" w:rsidRDefault="008A4382" w:rsidP="00896C32">
      <w:pPr>
        <w:pStyle w:val="ListParagraph"/>
        <w:numPr>
          <w:ilvl w:val="0"/>
          <w:numId w:val="13"/>
        </w:numPr>
        <w:spacing w:line="276" w:lineRule="auto"/>
        <w:ind w:left="709"/>
        <w:jc w:val="both"/>
        <w:rPr>
          <w:rFonts w:ascii="Times New Roman" w:hAnsi="Times New Roman" w:cs="Times New Roman"/>
          <w:sz w:val="24"/>
          <w:szCs w:val="24"/>
        </w:rPr>
      </w:pPr>
      <w:r>
        <w:rPr>
          <w:rFonts w:ascii="Times New Roman" w:hAnsi="Times New Roman" w:cs="Times New Roman"/>
          <w:sz w:val="24"/>
          <w:szCs w:val="24"/>
        </w:rPr>
        <w:t>ü</w:t>
      </w:r>
      <w:r w:rsidR="00896C32" w:rsidRPr="00E958CE">
        <w:rPr>
          <w:rFonts w:ascii="Times New Roman" w:hAnsi="Times New Roman" w:cs="Times New Roman"/>
          <w:sz w:val="24"/>
          <w:szCs w:val="24"/>
        </w:rPr>
        <w:t>histegevuse kaudu toodangu turustamine</w:t>
      </w:r>
      <w:r w:rsidR="007B2164">
        <w:rPr>
          <w:rFonts w:ascii="Times New Roman" w:hAnsi="Times New Roman" w:cs="Times New Roman"/>
          <w:sz w:val="24"/>
          <w:szCs w:val="24"/>
        </w:rPr>
        <w:t>;</w:t>
      </w:r>
      <w:r w:rsidR="00896C32" w:rsidRPr="00E958CE">
        <w:rPr>
          <w:rFonts w:ascii="Times New Roman" w:hAnsi="Times New Roman" w:cs="Times New Roman"/>
          <w:sz w:val="24"/>
          <w:szCs w:val="24"/>
        </w:rPr>
        <w:t xml:space="preserve"> </w:t>
      </w:r>
    </w:p>
    <w:p w:rsidR="00896C32" w:rsidRPr="00E958CE" w:rsidRDefault="008A4382" w:rsidP="00896C32">
      <w:pPr>
        <w:pStyle w:val="ListParagraph"/>
        <w:numPr>
          <w:ilvl w:val="0"/>
          <w:numId w:val="13"/>
        </w:numPr>
        <w:spacing w:line="276" w:lineRule="auto"/>
        <w:ind w:left="709"/>
        <w:jc w:val="both"/>
        <w:rPr>
          <w:rFonts w:ascii="Times New Roman" w:hAnsi="Times New Roman" w:cs="Times New Roman"/>
          <w:sz w:val="24"/>
          <w:szCs w:val="24"/>
        </w:rPr>
      </w:pPr>
      <w:r>
        <w:rPr>
          <w:rFonts w:ascii="Times New Roman" w:hAnsi="Times New Roman" w:cs="Times New Roman"/>
          <w:bCs/>
          <w:sz w:val="24"/>
          <w:szCs w:val="24"/>
        </w:rPr>
        <w:t>t</w:t>
      </w:r>
      <w:r w:rsidR="00896C32" w:rsidRPr="00E958CE">
        <w:rPr>
          <w:rFonts w:ascii="Times New Roman" w:hAnsi="Times New Roman" w:cs="Times New Roman"/>
          <w:bCs/>
          <w:sz w:val="24"/>
          <w:szCs w:val="24"/>
        </w:rPr>
        <w:t>eraviljasaaduste ja toodete</w:t>
      </w:r>
      <w:r w:rsidR="00226416">
        <w:rPr>
          <w:rFonts w:ascii="Times New Roman" w:hAnsi="Times New Roman" w:cs="Times New Roman"/>
          <w:bCs/>
          <w:sz w:val="24"/>
          <w:szCs w:val="24"/>
        </w:rPr>
        <w:t xml:space="preserve"> avalikkusele</w:t>
      </w:r>
      <w:r w:rsidR="00896C32" w:rsidRPr="00E958CE">
        <w:rPr>
          <w:rFonts w:ascii="Times New Roman" w:hAnsi="Times New Roman" w:cs="Times New Roman"/>
          <w:bCs/>
          <w:sz w:val="24"/>
          <w:szCs w:val="24"/>
        </w:rPr>
        <w:t xml:space="preserve"> tutvustamine ja propageerimine</w:t>
      </w:r>
      <w:r w:rsidR="007B2164">
        <w:rPr>
          <w:rFonts w:ascii="Times New Roman" w:hAnsi="Times New Roman" w:cs="Times New Roman"/>
          <w:bCs/>
          <w:sz w:val="24"/>
          <w:szCs w:val="24"/>
        </w:rPr>
        <w:t>;</w:t>
      </w:r>
      <w:r w:rsidR="00896C32" w:rsidRPr="00E958CE" w:rsidDel="00FF6DF0">
        <w:rPr>
          <w:rFonts w:ascii="Times New Roman" w:hAnsi="Times New Roman" w:cs="Times New Roman"/>
          <w:sz w:val="24"/>
          <w:szCs w:val="24"/>
        </w:rPr>
        <w:t xml:space="preserve"> </w:t>
      </w:r>
    </w:p>
    <w:p w:rsidR="00896C32" w:rsidRPr="00E958CE" w:rsidRDefault="00896C32" w:rsidP="00896C32">
      <w:pPr>
        <w:pStyle w:val="ListParagraph"/>
        <w:numPr>
          <w:ilvl w:val="0"/>
          <w:numId w:val="13"/>
        </w:numPr>
        <w:spacing w:line="276" w:lineRule="auto"/>
        <w:ind w:left="709"/>
        <w:jc w:val="both"/>
        <w:rPr>
          <w:rFonts w:ascii="Times New Roman" w:hAnsi="Times New Roman" w:cs="Times New Roman"/>
          <w:sz w:val="24"/>
          <w:szCs w:val="24"/>
        </w:rPr>
      </w:pPr>
      <w:r w:rsidRPr="00E958CE">
        <w:rPr>
          <w:rFonts w:ascii="Times New Roman" w:hAnsi="Times New Roman" w:cs="Times New Roman"/>
          <w:sz w:val="24"/>
          <w:szCs w:val="24"/>
        </w:rPr>
        <w:t>Eestis kasvatatava teravilja loodusliku puhtuse propageerimine</w:t>
      </w:r>
      <w:r w:rsidR="007B2164">
        <w:rPr>
          <w:rFonts w:ascii="Times New Roman" w:hAnsi="Times New Roman" w:cs="Times New Roman"/>
          <w:sz w:val="24"/>
          <w:szCs w:val="24"/>
        </w:rPr>
        <w:t>;</w:t>
      </w:r>
      <w:r w:rsidRPr="00E958CE">
        <w:rPr>
          <w:rFonts w:ascii="Times New Roman" w:hAnsi="Times New Roman" w:cs="Times New Roman"/>
          <w:sz w:val="24"/>
          <w:szCs w:val="24"/>
        </w:rPr>
        <w:t xml:space="preserve"> </w:t>
      </w:r>
    </w:p>
    <w:p w:rsidR="00896C32" w:rsidRPr="00E958CE" w:rsidRDefault="008A4382" w:rsidP="00896C32">
      <w:pPr>
        <w:pStyle w:val="ListParagraph"/>
        <w:numPr>
          <w:ilvl w:val="0"/>
          <w:numId w:val="13"/>
        </w:numPr>
        <w:spacing w:line="276" w:lineRule="auto"/>
        <w:ind w:left="709"/>
        <w:jc w:val="both"/>
        <w:rPr>
          <w:rFonts w:ascii="Times New Roman" w:hAnsi="Times New Roman" w:cs="Times New Roman"/>
          <w:sz w:val="24"/>
          <w:szCs w:val="24"/>
        </w:rPr>
      </w:pPr>
      <w:r>
        <w:rPr>
          <w:rFonts w:ascii="Times New Roman" w:hAnsi="Times New Roman" w:cs="Times New Roman"/>
          <w:sz w:val="24"/>
          <w:szCs w:val="24"/>
        </w:rPr>
        <w:t>b</w:t>
      </w:r>
      <w:r w:rsidR="00896C32" w:rsidRPr="00E958CE">
        <w:rPr>
          <w:rFonts w:ascii="Times New Roman" w:hAnsi="Times New Roman" w:cs="Times New Roman"/>
          <w:sz w:val="24"/>
          <w:szCs w:val="24"/>
        </w:rPr>
        <w:t>ioenergiaks müüdava toodangu tunnustamise lihtsustamine riiklikul tasandil</w:t>
      </w:r>
      <w:r w:rsidR="007B2164">
        <w:rPr>
          <w:rFonts w:ascii="Times New Roman" w:hAnsi="Times New Roman" w:cs="Times New Roman"/>
          <w:sz w:val="24"/>
          <w:szCs w:val="24"/>
        </w:rPr>
        <w:t>.</w:t>
      </w:r>
    </w:p>
    <w:p w:rsidR="00896C32" w:rsidRDefault="00896C32">
      <w:pPr>
        <w:rPr>
          <w:rStyle w:val="IntenseReference"/>
          <w:i w:val="0"/>
        </w:rPr>
      </w:pPr>
    </w:p>
    <w:p w:rsidR="00FF3D8F" w:rsidRPr="003A7E02" w:rsidRDefault="00FF3D8F" w:rsidP="000A138F">
      <w:pPr>
        <w:keepNext/>
        <w:framePr w:dropCap="drop" w:lines="3" w:wrap="around" w:vAnchor="text" w:hAnchor="text"/>
        <w:spacing w:line="793" w:lineRule="exact"/>
        <w:jc w:val="both"/>
        <w:textAlignment w:val="baseline"/>
        <w:rPr>
          <w:rStyle w:val="IntenseReference"/>
          <w:i w:val="0"/>
          <w:position w:val="-8"/>
          <w:sz w:val="104"/>
        </w:rPr>
      </w:pPr>
      <w:r w:rsidRPr="003A7E02">
        <w:rPr>
          <w:rStyle w:val="IntenseReference"/>
          <w:i w:val="0"/>
          <w:position w:val="-8"/>
          <w:sz w:val="104"/>
        </w:rPr>
        <w:t>P</w:t>
      </w:r>
    </w:p>
    <w:p w:rsidR="00896C32" w:rsidRDefault="000A138F" w:rsidP="000A138F">
      <w:pPr>
        <w:spacing w:line="276" w:lineRule="auto"/>
        <w:contextualSpacing/>
        <w:jc w:val="both"/>
        <w:rPr>
          <w:rStyle w:val="IntenseReference"/>
          <w:i w:val="0"/>
        </w:rPr>
      </w:pPr>
      <w:r w:rsidRPr="003A7E02">
        <w:rPr>
          <w:rStyle w:val="IntenseReference"/>
          <w:i w:val="0"/>
        </w:rPr>
        <w:t>ÕLLUMAJANDUSSEKTORIS ON PROBLEEMIKS TÖÖJÕU VANANEMINE, OSKUSTÖÖLISTE JA KÕRGTEADMISTEGA KONSULENTIDE VÄHESUS NING NÕUANDETEENUSE KALLIDUS. INNOVAATILISE PÕLLUMAJANDUSTEADUSE TAGAMISEKS ON VAJA JÄTKATA KAASAEGSE MATERIAAL-TEHNILISE BAASI  ARENDAMISEGA NING RAHVUSVAHELISE PÕLLUMAJANDUSTEADUSE INTEGREERUMISEGA EESTISSE.</w:t>
      </w:r>
    </w:p>
    <w:p w:rsidR="000A138F" w:rsidRPr="00E958CE" w:rsidRDefault="000A138F" w:rsidP="00896C32">
      <w:pPr>
        <w:spacing w:line="276" w:lineRule="auto"/>
        <w:contextualSpacing/>
        <w:rPr>
          <w:rFonts w:ascii="Times New Roman" w:eastAsia="Calibri" w:hAnsi="Times New Roman" w:cs="Times New Roman"/>
          <w:sz w:val="24"/>
          <w:szCs w:val="24"/>
        </w:rPr>
      </w:pPr>
    </w:p>
    <w:p w:rsidR="00896C32" w:rsidRDefault="00896C32" w:rsidP="00896C32">
      <w:pPr>
        <w:autoSpaceDE w:val="0"/>
        <w:autoSpaceDN w:val="0"/>
        <w:spacing w:line="276" w:lineRule="auto"/>
        <w:contextualSpacing/>
        <w:jc w:val="both"/>
        <w:rPr>
          <w:rFonts w:ascii="Times New Roman" w:hAnsi="Times New Roman" w:cs="Times New Roman"/>
          <w:sz w:val="24"/>
          <w:szCs w:val="24"/>
        </w:rPr>
      </w:pPr>
      <w:r w:rsidRPr="00E958CE">
        <w:rPr>
          <w:rFonts w:ascii="Times New Roman" w:eastAsia="Calibri" w:hAnsi="Times New Roman" w:cs="Times New Roman"/>
          <w:sz w:val="24"/>
          <w:szCs w:val="24"/>
        </w:rPr>
        <w:t xml:space="preserve">Teraviljasektori </w:t>
      </w:r>
      <w:r w:rsidRPr="00E958CE">
        <w:rPr>
          <w:rFonts w:ascii="Times New Roman" w:eastAsia="Calibri" w:hAnsi="Times New Roman" w:cs="Times New Roman"/>
          <w:b/>
          <w:sz w:val="24"/>
          <w:szCs w:val="24"/>
        </w:rPr>
        <w:t xml:space="preserve">jätkusuutlikkuse tagamisel </w:t>
      </w:r>
      <w:r w:rsidRPr="00E958CE">
        <w:rPr>
          <w:rFonts w:ascii="Times New Roman" w:eastAsia="Calibri" w:hAnsi="Times New Roman" w:cs="Times New Roman"/>
          <w:sz w:val="24"/>
          <w:szCs w:val="24"/>
        </w:rPr>
        <w:t xml:space="preserve">on vajalik panustada </w:t>
      </w:r>
      <w:r w:rsidRPr="00E958CE">
        <w:rPr>
          <w:rFonts w:ascii="Times New Roman" w:hAnsi="Times New Roman" w:cs="Times New Roman"/>
          <w:sz w:val="24"/>
          <w:szCs w:val="24"/>
        </w:rPr>
        <w:t>maaparandussüsteemi</w:t>
      </w:r>
      <w:r w:rsidR="0097735D">
        <w:rPr>
          <w:rFonts w:ascii="Times New Roman" w:hAnsi="Times New Roman" w:cs="Times New Roman"/>
          <w:sz w:val="24"/>
          <w:szCs w:val="24"/>
        </w:rPr>
        <w:t>de hooldamisse ja korrastamisse ning</w:t>
      </w:r>
      <w:r w:rsidRPr="00E958CE">
        <w:rPr>
          <w:rFonts w:ascii="Times New Roman" w:hAnsi="Times New Roman" w:cs="Times New Roman"/>
          <w:sz w:val="24"/>
          <w:szCs w:val="24"/>
        </w:rPr>
        <w:t xml:space="preserve"> mullaviljakuse tõusu</w:t>
      </w:r>
      <w:r w:rsidR="0097735D">
        <w:rPr>
          <w:rFonts w:ascii="Times New Roman" w:hAnsi="Times New Roman" w:cs="Times New Roman"/>
          <w:sz w:val="24"/>
          <w:szCs w:val="24"/>
        </w:rPr>
        <w:t xml:space="preserve">, kuna </w:t>
      </w:r>
      <w:r w:rsidR="0097735D" w:rsidRPr="0097735D">
        <w:rPr>
          <w:rFonts w:ascii="Times New Roman" w:hAnsi="Times New Roman" w:cs="Times New Roman"/>
          <w:sz w:val="24"/>
          <w:szCs w:val="24"/>
        </w:rPr>
        <w:t>riikliku keskkonnaseire käigus on tuvastatud väetusplaanide puudusi ja toi</w:t>
      </w:r>
      <w:r w:rsidR="0097735D">
        <w:rPr>
          <w:rFonts w:ascii="Times New Roman" w:hAnsi="Times New Roman" w:cs="Times New Roman"/>
          <w:sz w:val="24"/>
          <w:szCs w:val="24"/>
        </w:rPr>
        <w:t>tainetevarude vähenemist mullas.</w:t>
      </w:r>
      <w:r w:rsidR="0097735D" w:rsidRPr="0097735D">
        <w:rPr>
          <w:rFonts w:ascii="Times New Roman" w:hAnsi="Times New Roman" w:cs="Times New Roman"/>
          <w:sz w:val="24"/>
          <w:szCs w:val="24"/>
        </w:rPr>
        <w:t xml:space="preserve"> </w:t>
      </w:r>
      <w:r w:rsidR="0097735D">
        <w:rPr>
          <w:rFonts w:ascii="Times New Roman" w:hAnsi="Times New Roman" w:cs="Times New Roman"/>
          <w:sz w:val="24"/>
          <w:szCs w:val="24"/>
        </w:rPr>
        <w:t>Selle peamisteks põhjusteks on</w:t>
      </w:r>
      <w:r w:rsidR="0097735D" w:rsidRPr="0097735D">
        <w:rPr>
          <w:rFonts w:ascii="Times New Roman" w:hAnsi="Times New Roman" w:cs="Times New Roman"/>
          <w:sz w:val="24"/>
          <w:szCs w:val="24"/>
        </w:rPr>
        <w:t xml:space="preserve"> klassikaliste külvikordade puudumine, monokultuuride kasvatamine ja tahke sõnniku kasutamise vähenemine.</w:t>
      </w:r>
      <w:r w:rsidR="00A40F2C">
        <w:rPr>
          <w:rFonts w:ascii="Times New Roman" w:hAnsi="Times New Roman" w:cs="Times New Roman"/>
          <w:sz w:val="24"/>
          <w:szCs w:val="24"/>
        </w:rPr>
        <w:t xml:space="preserve"> </w:t>
      </w:r>
      <w:r w:rsidRPr="00E958CE">
        <w:rPr>
          <w:rFonts w:ascii="Times New Roman" w:hAnsi="Times New Roman" w:cs="Times New Roman"/>
          <w:sz w:val="24"/>
          <w:szCs w:val="24"/>
        </w:rPr>
        <w:t>Jätkusuutlik põllumajandus tähendab</w:t>
      </w:r>
      <w:r w:rsidR="00A40F2C">
        <w:rPr>
          <w:rFonts w:ascii="Times New Roman" w:hAnsi="Times New Roman" w:cs="Times New Roman"/>
          <w:sz w:val="24"/>
          <w:szCs w:val="24"/>
        </w:rPr>
        <w:t xml:space="preserve"> </w:t>
      </w:r>
      <w:r w:rsidR="00753BF1">
        <w:rPr>
          <w:rFonts w:ascii="Times New Roman" w:hAnsi="Times New Roman" w:cs="Times New Roman"/>
          <w:sz w:val="24"/>
          <w:szCs w:val="24"/>
        </w:rPr>
        <w:t xml:space="preserve">nii </w:t>
      </w:r>
      <w:r w:rsidR="00A40F2C">
        <w:rPr>
          <w:rFonts w:ascii="Times New Roman" w:hAnsi="Times New Roman" w:cs="Times New Roman"/>
          <w:sz w:val="24"/>
          <w:szCs w:val="24"/>
        </w:rPr>
        <w:t xml:space="preserve">maa hoidmist </w:t>
      </w:r>
      <w:r w:rsidR="00753BF1">
        <w:rPr>
          <w:rFonts w:ascii="Times New Roman" w:hAnsi="Times New Roman" w:cs="Times New Roman"/>
          <w:sz w:val="24"/>
          <w:szCs w:val="24"/>
        </w:rPr>
        <w:t xml:space="preserve">põllumajandustootmises kui </w:t>
      </w:r>
      <w:r w:rsidRPr="00E958CE">
        <w:rPr>
          <w:rFonts w:ascii="Times New Roman" w:hAnsi="Times New Roman" w:cs="Times New Roman"/>
          <w:sz w:val="24"/>
          <w:szCs w:val="24"/>
        </w:rPr>
        <w:t>ka põlvkondade vahetust</w:t>
      </w:r>
      <w:r w:rsidR="00753BF1">
        <w:rPr>
          <w:rFonts w:ascii="Times New Roman" w:hAnsi="Times New Roman" w:cs="Times New Roman"/>
          <w:sz w:val="24"/>
          <w:szCs w:val="24"/>
        </w:rPr>
        <w:t xml:space="preserve"> põllumeeste hulgas</w:t>
      </w:r>
      <w:r w:rsidRPr="00E958CE">
        <w:rPr>
          <w:rFonts w:ascii="Times New Roman" w:hAnsi="Times New Roman" w:cs="Times New Roman"/>
          <w:sz w:val="24"/>
          <w:szCs w:val="24"/>
        </w:rPr>
        <w:t xml:space="preserve">, mistõttu peab olema tagatud põllumajanduserialade õpe ning nendel erialadel õppijatele praktikavõimalused põllumajandustootjate juures. Väga oluline on silmas pidada ka keskkonnahoidlikku suhtumist, sest kui </w:t>
      </w:r>
      <w:r w:rsidR="001D0143">
        <w:rPr>
          <w:rFonts w:ascii="Times New Roman" w:hAnsi="Times New Roman" w:cs="Times New Roman"/>
          <w:sz w:val="24"/>
          <w:szCs w:val="24"/>
        </w:rPr>
        <w:t xml:space="preserve">ei </w:t>
      </w:r>
      <w:r w:rsidRPr="00E958CE">
        <w:rPr>
          <w:rFonts w:ascii="Times New Roman" w:hAnsi="Times New Roman" w:cs="Times New Roman"/>
          <w:sz w:val="24"/>
          <w:szCs w:val="24"/>
        </w:rPr>
        <w:t xml:space="preserve">ole tootmiseks sobilikku keskkonda (maa, vesi, õhk), siis ei saa ka täita eelpool nimetud strateegilisi eesmärke teraviljasektori terviklikuks arendamiseks. </w:t>
      </w:r>
    </w:p>
    <w:p w:rsidR="00FF3D8F" w:rsidRDefault="00FF3D8F" w:rsidP="00896C32">
      <w:pPr>
        <w:autoSpaceDE w:val="0"/>
        <w:autoSpaceDN w:val="0"/>
        <w:spacing w:line="276" w:lineRule="auto"/>
        <w:contextualSpacing/>
        <w:jc w:val="both"/>
        <w:rPr>
          <w:rFonts w:ascii="Times New Roman" w:hAnsi="Times New Roman" w:cs="Times New Roman"/>
          <w:sz w:val="24"/>
          <w:szCs w:val="24"/>
        </w:rPr>
      </w:pPr>
    </w:p>
    <w:p w:rsidR="00FF3D8F" w:rsidRDefault="00896C32" w:rsidP="00FF3D8F">
      <w:pPr>
        <w:pStyle w:val="IntenseQuote"/>
        <w:ind w:left="0" w:right="-2"/>
        <w:rPr>
          <w:rStyle w:val="IntenseReference"/>
        </w:rPr>
      </w:pPr>
      <w:r w:rsidRPr="00FF3D8F">
        <w:rPr>
          <w:rStyle w:val="IntenseReference"/>
        </w:rPr>
        <w:t>Meetmed jätkusuutlikkuse tagamiseks teravilja ja rapsi tootmisel ja –töötlemisel</w:t>
      </w:r>
      <w:r w:rsidR="007B2164" w:rsidRPr="00FF3D8F">
        <w:rPr>
          <w:rStyle w:val="IntenseReference"/>
        </w:rPr>
        <w:t>:</w:t>
      </w:r>
      <w:r w:rsidRPr="00FF3D8F">
        <w:rPr>
          <w:rStyle w:val="IntenseReference"/>
        </w:rPr>
        <w:t xml:space="preserve"> </w:t>
      </w:r>
    </w:p>
    <w:p w:rsidR="00FF3D8F" w:rsidRPr="00FF3D8F" w:rsidRDefault="00FF3D8F" w:rsidP="00FF3D8F"/>
    <w:p w:rsidR="00896C32" w:rsidRPr="00E958CE" w:rsidRDefault="009A7B79" w:rsidP="00896C32">
      <w:pPr>
        <w:pStyle w:val="ListParagraph"/>
        <w:numPr>
          <w:ilvl w:val="0"/>
          <w:numId w:val="12"/>
        </w:numPr>
        <w:spacing w:line="276" w:lineRule="auto"/>
        <w:jc w:val="both"/>
        <w:rPr>
          <w:rFonts w:ascii="Times New Roman" w:hAnsi="Times New Roman" w:cs="Times New Roman"/>
          <w:sz w:val="24"/>
          <w:szCs w:val="24"/>
        </w:rPr>
      </w:pPr>
      <w:r>
        <w:rPr>
          <w:rFonts w:ascii="Times New Roman" w:hAnsi="Times New Roman" w:cs="Times New Roman"/>
          <w:sz w:val="24"/>
          <w:szCs w:val="24"/>
        </w:rPr>
        <w:t>m</w:t>
      </w:r>
      <w:r w:rsidR="00896C32" w:rsidRPr="00E958CE">
        <w:rPr>
          <w:rFonts w:ascii="Times New Roman" w:hAnsi="Times New Roman" w:cs="Times New Roman"/>
          <w:sz w:val="24"/>
          <w:szCs w:val="24"/>
        </w:rPr>
        <w:t>aa kui põhilise tootmisvahendi hoidmine põllumajanduslikus tootmises</w:t>
      </w:r>
      <w:r w:rsidR="007B2164">
        <w:rPr>
          <w:rFonts w:ascii="Times New Roman" w:hAnsi="Times New Roman" w:cs="Times New Roman"/>
          <w:sz w:val="24"/>
          <w:szCs w:val="24"/>
        </w:rPr>
        <w:t>;</w:t>
      </w:r>
    </w:p>
    <w:p w:rsidR="00896C32" w:rsidRPr="00E958CE" w:rsidRDefault="009A7B79" w:rsidP="00896C32">
      <w:pPr>
        <w:pStyle w:val="ListParagraph"/>
        <w:numPr>
          <w:ilvl w:val="0"/>
          <w:numId w:val="12"/>
        </w:numPr>
        <w:spacing w:line="276" w:lineRule="auto"/>
        <w:jc w:val="both"/>
        <w:rPr>
          <w:rFonts w:ascii="Times New Roman" w:hAnsi="Times New Roman" w:cs="Times New Roman"/>
          <w:sz w:val="24"/>
          <w:szCs w:val="24"/>
        </w:rPr>
      </w:pPr>
      <w:r>
        <w:rPr>
          <w:rFonts w:ascii="Times New Roman" w:hAnsi="Times New Roman" w:cs="Times New Roman"/>
          <w:sz w:val="24"/>
          <w:szCs w:val="24"/>
        </w:rPr>
        <w:t>p</w:t>
      </w:r>
      <w:r w:rsidR="00896C32" w:rsidRPr="00E958CE">
        <w:rPr>
          <w:rFonts w:ascii="Times New Roman" w:hAnsi="Times New Roman" w:cs="Times New Roman"/>
          <w:sz w:val="24"/>
          <w:szCs w:val="24"/>
        </w:rPr>
        <w:t>õllumajandusmaa väärtuslikkuse säilitamine ja tõstmine</w:t>
      </w:r>
      <w:r w:rsidR="007B2164">
        <w:rPr>
          <w:rFonts w:ascii="Times New Roman" w:hAnsi="Times New Roman" w:cs="Times New Roman"/>
          <w:sz w:val="24"/>
          <w:szCs w:val="24"/>
        </w:rPr>
        <w:t>;</w:t>
      </w:r>
      <w:r w:rsidR="00896C32" w:rsidRPr="00E958CE" w:rsidDel="001142D6">
        <w:rPr>
          <w:rFonts w:ascii="Times New Roman" w:hAnsi="Times New Roman" w:cs="Times New Roman"/>
          <w:sz w:val="24"/>
          <w:szCs w:val="24"/>
        </w:rPr>
        <w:t xml:space="preserve"> </w:t>
      </w:r>
    </w:p>
    <w:p w:rsidR="00896C32" w:rsidRPr="00E958CE" w:rsidRDefault="009A7B79" w:rsidP="00896C32">
      <w:pPr>
        <w:pStyle w:val="ListParagraph"/>
        <w:numPr>
          <w:ilvl w:val="0"/>
          <w:numId w:val="12"/>
        </w:numPr>
        <w:spacing w:line="276" w:lineRule="auto"/>
        <w:jc w:val="both"/>
        <w:rPr>
          <w:rFonts w:ascii="Times New Roman" w:hAnsi="Times New Roman" w:cs="Times New Roman"/>
          <w:sz w:val="24"/>
          <w:szCs w:val="24"/>
        </w:rPr>
      </w:pPr>
      <w:r>
        <w:rPr>
          <w:rFonts w:ascii="Times New Roman" w:hAnsi="Times New Roman" w:cs="Times New Roman"/>
          <w:sz w:val="24"/>
          <w:szCs w:val="24"/>
        </w:rPr>
        <w:t>p</w:t>
      </w:r>
      <w:r w:rsidR="00896C32" w:rsidRPr="00E958CE">
        <w:rPr>
          <w:rFonts w:ascii="Times New Roman" w:hAnsi="Times New Roman" w:cs="Times New Roman"/>
          <w:sz w:val="24"/>
          <w:szCs w:val="24"/>
        </w:rPr>
        <w:t>õllumajandustootmise keskkonnasõbralikumaks muutmine</w:t>
      </w:r>
      <w:r w:rsidR="007B2164">
        <w:rPr>
          <w:rFonts w:ascii="Times New Roman" w:hAnsi="Times New Roman" w:cs="Times New Roman"/>
          <w:sz w:val="24"/>
          <w:szCs w:val="24"/>
        </w:rPr>
        <w:t>;</w:t>
      </w:r>
    </w:p>
    <w:p w:rsidR="00896C32" w:rsidRPr="00E958CE" w:rsidRDefault="009A7B79" w:rsidP="00896C32">
      <w:pPr>
        <w:pStyle w:val="ListParagraph"/>
        <w:numPr>
          <w:ilvl w:val="0"/>
          <w:numId w:val="12"/>
        </w:numPr>
        <w:spacing w:line="276" w:lineRule="auto"/>
        <w:jc w:val="both"/>
        <w:rPr>
          <w:rFonts w:ascii="Times New Roman" w:hAnsi="Times New Roman" w:cs="Times New Roman"/>
          <w:sz w:val="24"/>
          <w:szCs w:val="24"/>
        </w:rPr>
      </w:pPr>
      <w:r>
        <w:rPr>
          <w:rFonts w:ascii="Times New Roman" w:hAnsi="Times New Roman" w:cs="Times New Roman"/>
          <w:sz w:val="24"/>
          <w:szCs w:val="24"/>
        </w:rPr>
        <w:t>t</w:t>
      </w:r>
      <w:r w:rsidR="00896C32" w:rsidRPr="00E958CE">
        <w:rPr>
          <w:rFonts w:ascii="Times New Roman" w:hAnsi="Times New Roman" w:cs="Times New Roman"/>
          <w:sz w:val="24"/>
          <w:szCs w:val="24"/>
        </w:rPr>
        <w:t>uruseire ja –info läbipaistvuse tagamine</w:t>
      </w:r>
      <w:r w:rsidR="007B2164">
        <w:rPr>
          <w:rFonts w:ascii="Times New Roman" w:hAnsi="Times New Roman" w:cs="Times New Roman"/>
          <w:sz w:val="24"/>
          <w:szCs w:val="24"/>
        </w:rPr>
        <w:t>;</w:t>
      </w:r>
    </w:p>
    <w:p w:rsidR="00896C32" w:rsidRPr="00E958CE" w:rsidRDefault="00896C32" w:rsidP="00896C32">
      <w:pPr>
        <w:pStyle w:val="ListParagraph"/>
        <w:numPr>
          <w:ilvl w:val="0"/>
          <w:numId w:val="12"/>
        </w:numPr>
        <w:spacing w:line="276" w:lineRule="auto"/>
        <w:jc w:val="both"/>
        <w:rPr>
          <w:rFonts w:ascii="Times New Roman" w:hAnsi="Times New Roman" w:cs="Times New Roman"/>
          <w:sz w:val="24"/>
          <w:szCs w:val="24"/>
        </w:rPr>
      </w:pPr>
      <w:r w:rsidRPr="00E958CE">
        <w:rPr>
          <w:rFonts w:ascii="Times New Roman" w:hAnsi="Times New Roman" w:cs="Times New Roman"/>
          <w:sz w:val="24"/>
          <w:szCs w:val="24"/>
        </w:rPr>
        <w:t>EL turukorraldusmeetmete jätkuv rakendamine kooskõlas ÜPPga</w:t>
      </w:r>
      <w:r w:rsidR="007B2164">
        <w:rPr>
          <w:rFonts w:ascii="Times New Roman" w:hAnsi="Times New Roman" w:cs="Times New Roman"/>
          <w:sz w:val="24"/>
          <w:szCs w:val="24"/>
        </w:rPr>
        <w:t>;</w:t>
      </w:r>
    </w:p>
    <w:p w:rsidR="00896C32" w:rsidRPr="00E958CE" w:rsidRDefault="009A7B79" w:rsidP="00896C32">
      <w:pPr>
        <w:pStyle w:val="ListParagraph"/>
        <w:numPr>
          <w:ilvl w:val="0"/>
          <w:numId w:val="12"/>
        </w:num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t</w:t>
      </w:r>
      <w:r w:rsidR="00896C32" w:rsidRPr="00E958CE">
        <w:rPr>
          <w:rFonts w:ascii="Times New Roman" w:hAnsi="Times New Roman" w:cs="Times New Roman"/>
          <w:sz w:val="24"/>
          <w:szCs w:val="24"/>
        </w:rPr>
        <w:t xml:space="preserve">aimekasvatusega seotud erialadel õppijate praktikavõimaluste </w:t>
      </w:r>
      <w:r w:rsidR="005A435F">
        <w:rPr>
          <w:rFonts w:ascii="Times New Roman" w:hAnsi="Times New Roman" w:cs="Times New Roman"/>
          <w:sz w:val="24"/>
          <w:szCs w:val="24"/>
        </w:rPr>
        <w:t>loomine</w:t>
      </w:r>
      <w:r w:rsidR="00896C32" w:rsidRPr="00E958CE">
        <w:rPr>
          <w:rFonts w:ascii="Times New Roman" w:hAnsi="Times New Roman" w:cs="Times New Roman"/>
          <w:sz w:val="24"/>
          <w:szCs w:val="24"/>
        </w:rPr>
        <w:t xml:space="preserve"> põllumajandustootja juures</w:t>
      </w:r>
      <w:r w:rsidR="007B2164">
        <w:rPr>
          <w:rFonts w:ascii="Times New Roman" w:hAnsi="Times New Roman" w:cs="Times New Roman"/>
          <w:sz w:val="24"/>
          <w:szCs w:val="24"/>
        </w:rPr>
        <w:t>;</w:t>
      </w:r>
      <w:r w:rsidR="00896C32" w:rsidRPr="00E958CE">
        <w:rPr>
          <w:rFonts w:ascii="Times New Roman" w:hAnsi="Times New Roman" w:cs="Times New Roman"/>
          <w:sz w:val="24"/>
          <w:szCs w:val="24"/>
        </w:rPr>
        <w:t xml:space="preserve"> </w:t>
      </w:r>
    </w:p>
    <w:p w:rsidR="00896C32" w:rsidRPr="0023427C" w:rsidRDefault="009A7B79" w:rsidP="00896C32">
      <w:pPr>
        <w:pStyle w:val="ListParagraph"/>
        <w:numPr>
          <w:ilvl w:val="0"/>
          <w:numId w:val="12"/>
        </w:numPr>
        <w:spacing w:line="276" w:lineRule="auto"/>
        <w:jc w:val="both"/>
        <w:rPr>
          <w:rFonts w:ascii="Times New Roman" w:hAnsi="Times New Roman"/>
          <w:sz w:val="23"/>
          <w:szCs w:val="23"/>
        </w:rPr>
      </w:pPr>
      <w:r>
        <w:rPr>
          <w:rFonts w:ascii="Times New Roman" w:hAnsi="Times New Roman" w:cs="Times New Roman"/>
          <w:sz w:val="24"/>
          <w:szCs w:val="24"/>
        </w:rPr>
        <w:t>p</w:t>
      </w:r>
      <w:r w:rsidR="00896C32" w:rsidRPr="00E958CE">
        <w:rPr>
          <w:rFonts w:ascii="Times New Roman" w:hAnsi="Times New Roman" w:cs="Times New Roman"/>
          <w:sz w:val="24"/>
          <w:szCs w:val="24"/>
        </w:rPr>
        <w:t>õllumajanduse ja põllumajanduserialade väärtustamine</w:t>
      </w:r>
      <w:r w:rsidR="007B2164">
        <w:rPr>
          <w:rFonts w:ascii="Times New Roman" w:hAnsi="Times New Roman" w:cs="Times New Roman"/>
          <w:sz w:val="24"/>
          <w:szCs w:val="24"/>
        </w:rPr>
        <w:t>.</w:t>
      </w:r>
    </w:p>
    <w:p w:rsidR="002E5AFC" w:rsidRPr="0023427C" w:rsidRDefault="002E5AFC" w:rsidP="002E5AFC">
      <w:pPr>
        <w:spacing w:line="276" w:lineRule="auto"/>
        <w:jc w:val="both"/>
        <w:rPr>
          <w:rFonts w:ascii="Times New Roman" w:hAnsi="Times New Roman"/>
          <w:sz w:val="23"/>
          <w:szCs w:val="23"/>
        </w:rPr>
      </w:pPr>
    </w:p>
    <w:p w:rsidR="002E5AFC" w:rsidRPr="00E958CE" w:rsidRDefault="002E5AFC" w:rsidP="00F700EE">
      <w:pPr>
        <w:pStyle w:val="Heading1"/>
        <w:numPr>
          <w:ilvl w:val="0"/>
          <w:numId w:val="44"/>
        </w:numPr>
        <w:spacing w:line="276" w:lineRule="auto"/>
        <w:ind w:left="567" w:hanging="567"/>
        <w:rPr>
          <w:rFonts w:ascii="Times New Roman" w:hAnsi="Times New Roman" w:cs="Times New Roman"/>
          <w:b w:val="0"/>
          <w:sz w:val="32"/>
          <w:szCs w:val="32"/>
        </w:rPr>
      </w:pPr>
      <w:bookmarkStart w:id="160" w:name="_Toc389128793"/>
      <w:bookmarkStart w:id="161" w:name="_Toc389131340"/>
      <w:bookmarkStart w:id="162" w:name="_Toc389223875"/>
      <w:bookmarkStart w:id="163" w:name="_Toc389223937"/>
      <w:bookmarkStart w:id="164" w:name="_Toc391908868"/>
      <w:bookmarkStart w:id="165" w:name="_Toc391991802"/>
      <w:bookmarkStart w:id="166" w:name="_Toc397593022"/>
      <w:bookmarkStart w:id="167" w:name="_Toc398896318"/>
      <w:bookmarkStart w:id="168" w:name="_Toc398896458"/>
      <w:bookmarkStart w:id="169" w:name="_Toc400972830"/>
      <w:r w:rsidRPr="00E958CE">
        <w:rPr>
          <w:rFonts w:ascii="Times New Roman" w:hAnsi="Times New Roman" w:cs="Times New Roman"/>
          <w:sz w:val="32"/>
          <w:szCs w:val="32"/>
        </w:rPr>
        <w:t>Seosed teiste arengudokumentidega</w:t>
      </w:r>
      <w:bookmarkEnd w:id="160"/>
      <w:bookmarkEnd w:id="161"/>
      <w:bookmarkEnd w:id="162"/>
      <w:bookmarkEnd w:id="163"/>
      <w:bookmarkEnd w:id="164"/>
      <w:bookmarkEnd w:id="165"/>
      <w:bookmarkEnd w:id="166"/>
      <w:bookmarkEnd w:id="167"/>
      <w:bookmarkEnd w:id="168"/>
      <w:bookmarkEnd w:id="169"/>
    </w:p>
    <w:p w:rsidR="002E5AFC" w:rsidRPr="00E958CE" w:rsidRDefault="002E5AFC" w:rsidP="002E5AFC">
      <w:pPr>
        <w:spacing w:line="276" w:lineRule="auto"/>
        <w:rPr>
          <w:rFonts w:ascii="Times New Roman" w:hAnsi="Times New Roman" w:cs="Times New Roman"/>
          <w:sz w:val="24"/>
          <w:szCs w:val="24"/>
        </w:rPr>
      </w:pPr>
    </w:p>
    <w:p w:rsidR="005348F3" w:rsidRPr="005348F3" w:rsidRDefault="002E5AFC" w:rsidP="005348F3">
      <w:pPr>
        <w:spacing w:line="276" w:lineRule="auto"/>
        <w:jc w:val="both"/>
        <w:rPr>
          <w:rFonts w:ascii="Times New Roman" w:hAnsi="Times New Roman" w:cs="Times New Roman"/>
          <w:sz w:val="24"/>
          <w:szCs w:val="24"/>
        </w:rPr>
      </w:pPr>
      <w:r w:rsidRPr="00E958CE">
        <w:rPr>
          <w:rFonts w:ascii="Times New Roman" w:hAnsi="Times New Roman" w:cs="Times New Roman"/>
          <w:sz w:val="24"/>
          <w:szCs w:val="24"/>
        </w:rPr>
        <w:t>•</w:t>
      </w:r>
      <w:r w:rsidRPr="00E958CE">
        <w:rPr>
          <w:rFonts w:ascii="Times New Roman" w:hAnsi="Times New Roman" w:cs="Times New Roman"/>
          <w:sz w:val="24"/>
          <w:szCs w:val="24"/>
        </w:rPr>
        <w:tab/>
      </w:r>
      <w:r w:rsidR="005348F3" w:rsidRPr="005348F3">
        <w:rPr>
          <w:rFonts w:ascii="Times New Roman" w:hAnsi="Times New Roman" w:cs="Times New Roman"/>
          <w:sz w:val="24"/>
          <w:szCs w:val="24"/>
        </w:rPr>
        <w:t>Põllumajandus-, toidu- ja kalandusteaduse ning teadmussiirde arengu</w:t>
      </w:r>
      <w:r w:rsidR="005348F3">
        <w:rPr>
          <w:rFonts w:ascii="Times New Roman" w:hAnsi="Times New Roman" w:cs="Times New Roman"/>
          <w:sz w:val="24"/>
          <w:szCs w:val="24"/>
        </w:rPr>
        <w:t>kava aastateks 2014–</w:t>
      </w:r>
      <w:r w:rsidR="005348F3" w:rsidRPr="005348F3">
        <w:rPr>
          <w:rFonts w:ascii="Times New Roman" w:hAnsi="Times New Roman" w:cs="Times New Roman"/>
          <w:sz w:val="24"/>
          <w:szCs w:val="24"/>
        </w:rPr>
        <w:t>2020</w:t>
      </w:r>
      <w:r w:rsidR="005348F3" w:rsidRPr="005348F3" w:rsidDel="00AE4BDE">
        <w:rPr>
          <w:rFonts w:ascii="Times New Roman" w:hAnsi="Times New Roman" w:cs="Times New Roman"/>
          <w:sz w:val="24"/>
          <w:szCs w:val="24"/>
        </w:rPr>
        <w:t xml:space="preserve"> </w:t>
      </w:r>
      <w:r w:rsidR="005348F3" w:rsidRPr="005348F3">
        <w:rPr>
          <w:rFonts w:ascii="Times New Roman" w:hAnsi="Times New Roman" w:cs="Times New Roman"/>
          <w:sz w:val="24"/>
          <w:szCs w:val="24"/>
        </w:rPr>
        <w:t>(väljatöötamisel)</w:t>
      </w:r>
    </w:p>
    <w:p w:rsidR="005348F3" w:rsidRPr="005348F3" w:rsidRDefault="005348F3" w:rsidP="005348F3">
      <w:pPr>
        <w:spacing w:line="276" w:lineRule="auto"/>
        <w:jc w:val="both"/>
        <w:rPr>
          <w:rFonts w:ascii="Times New Roman" w:hAnsi="Times New Roman" w:cs="Times New Roman"/>
          <w:sz w:val="24"/>
          <w:szCs w:val="24"/>
        </w:rPr>
      </w:pPr>
      <w:r w:rsidRPr="005348F3">
        <w:rPr>
          <w:rFonts w:ascii="Times New Roman" w:hAnsi="Times New Roman" w:cs="Times New Roman"/>
          <w:sz w:val="24"/>
          <w:szCs w:val="24"/>
        </w:rPr>
        <w:t>Arengukava kaardistab põllumajandus-, toidu- ja kalandusteaduse ning teadmussiirde hetkeolukorra ja pakub välja stsenaariumid jätkusuutlikkuse tagamiseks, põllumajandussektorile ning Ühtse Põllumajanduspoliitika ja Kalanduspoliitika kujundamiseks ja rakendamiseks kompetentse teadustoe pakkumisele ning teadusasutuste ja põllumajandusettevõtete vahelisele aktiivsele teadmussiirdele. Teraviljasektori arengukava peamiseks eesmärgiks on kvaliteetse teravilja toodangu tõstmine, mille ühtedeks alustaladeks on tootjate teadlikkuse tõstmine ja põllumajandusteaduse arendamine.</w:t>
      </w:r>
    </w:p>
    <w:p w:rsidR="00663944" w:rsidRPr="00E958CE" w:rsidRDefault="00663944" w:rsidP="005348F3">
      <w:pPr>
        <w:spacing w:line="276" w:lineRule="auto"/>
        <w:jc w:val="both"/>
        <w:rPr>
          <w:rFonts w:ascii="Times New Roman" w:hAnsi="Times New Roman" w:cs="Times New Roman"/>
          <w:bCs/>
          <w:sz w:val="24"/>
          <w:szCs w:val="24"/>
        </w:rPr>
      </w:pPr>
    </w:p>
    <w:p w:rsidR="002E5AFC" w:rsidRPr="00E958CE" w:rsidRDefault="00663944" w:rsidP="002E5AFC">
      <w:pPr>
        <w:spacing w:line="276" w:lineRule="auto"/>
        <w:jc w:val="both"/>
        <w:rPr>
          <w:rFonts w:ascii="Times New Roman" w:hAnsi="Times New Roman" w:cs="Times New Roman"/>
          <w:sz w:val="24"/>
          <w:szCs w:val="24"/>
        </w:rPr>
      </w:pPr>
      <w:r w:rsidRPr="00E958CE">
        <w:rPr>
          <w:rFonts w:ascii="Times New Roman" w:hAnsi="Times New Roman" w:cs="Times New Roman"/>
          <w:sz w:val="24"/>
          <w:szCs w:val="24"/>
        </w:rPr>
        <w:t>•</w:t>
      </w:r>
      <w:r w:rsidRPr="00E958CE">
        <w:rPr>
          <w:rFonts w:ascii="Times New Roman" w:hAnsi="Times New Roman" w:cs="Times New Roman"/>
          <w:sz w:val="24"/>
          <w:szCs w:val="24"/>
        </w:rPr>
        <w:tab/>
      </w:r>
      <w:r w:rsidR="002E5AFC" w:rsidRPr="00E958CE">
        <w:rPr>
          <w:rFonts w:ascii="Times New Roman" w:hAnsi="Times New Roman" w:cs="Times New Roman"/>
          <w:sz w:val="24"/>
          <w:szCs w:val="24"/>
        </w:rPr>
        <w:t>Eest</w:t>
      </w:r>
      <w:r w:rsidR="002E5AFC">
        <w:rPr>
          <w:rFonts w:ascii="Times New Roman" w:hAnsi="Times New Roman" w:cs="Times New Roman"/>
          <w:sz w:val="24"/>
          <w:szCs w:val="24"/>
        </w:rPr>
        <w:t xml:space="preserve">i maaelu arengukava </w:t>
      </w:r>
      <w:r w:rsidR="002E5AFC" w:rsidRPr="00E958CE">
        <w:rPr>
          <w:rFonts w:ascii="Times New Roman" w:hAnsi="Times New Roman" w:cs="Times New Roman"/>
          <w:sz w:val="24"/>
          <w:szCs w:val="24"/>
        </w:rPr>
        <w:t>2014–</w:t>
      </w:r>
      <w:r w:rsidR="002E5AFC">
        <w:rPr>
          <w:rFonts w:ascii="Times New Roman" w:hAnsi="Times New Roman" w:cs="Times New Roman"/>
          <w:sz w:val="24"/>
          <w:szCs w:val="24"/>
        </w:rPr>
        <w:t>2020</w:t>
      </w:r>
    </w:p>
    <w:p w:rsidR="002E5AFC" w:rsidRPr="00E958CE" w:rsidRDefault="00493D77" w:rsidP="002E5AFC">
      <w:pPr>
        <w:spacing w:line="276" w:lineRule="auto"/>
        <w:jc w:val="both"/>
        <w:rPr>
          <w:rFonts w:ascii="Times New Roman" w:hAnsi="Times New Roman" w:cs="Times New Roman"/>
          <w:sz w:val="24"/>
          <w:szCs w:val="24"/>
        </w:rPr>
      </w:pPr>
      <w:r>
        <w:rPr>
          <w:rFonts w:ascii="Times New Roman" w:hAnsi="Times New Roman" w:cs="Times New Roman"/>
          <w:sz w:val="24"/>
          <w:szCs w:val="24"/>
        </w:rPr>
        <w:t>MAKi</w:t>
      </w:r>
      <w:r w:rsidR="002E5AFC" w:rsidRPr="00E958CE">
        <w:rPr>
          <w:rFonts w:ascii="Times New Roman" w:hAnsi="Times New Roman" w:cs="Times New Roman"/>
          <w:sz w:val="24"/>
          <w:szCs w:val="24"/>
        </w:rPr>
        <w:t xml:space="preserve"> eesmärkideks on tagada elujõulise ja jätkusuutliku toidutootmisele suunatud põllumajandussektori konkurentsivõimelisus ja ressursitõhusus ning tulenevalt tõhusast koostööst põllumajandustootja ja töötleja turujõu </w:t>
      </w:r>
      <w:r w:rsidR="0096774E">
        <w:rPr>
          <w:rFonts w:ascii="Times New Roman" w:hAnsi="Times New Roman" w:cs="Times New Roman"/>
          <w:sz w:val="24"/>
          <w:szCs w:val="24"/>
        </w:rPr>
        <w:t>suurendamine</w:t>
      </w:r>
      <w:r w:rsidR="002E5AFC" w:rsidRPr="00E958CE">
        <w:rPr>
          <w:rFonts w:ascii="Times New Roman" w:hAnsi="Times New Roman" w:cs="Times New Roman"/>
          <w:sz w:val="24"/>
          <w:szCs w:val="24"/>
        </w:rPr>
        <w:t>. Teraviljasektori arengukava eesmärgiks on tagada samade aspektide täitmine teravilja tootvas ja töötlevas sektoris.</w:t>
      </w:r>
    </w:p>
    <w:p w:rsidR="002E5AFC" w:rsidRPr="00E958CE" w:rsidRDefault="002E5AFC" w:rsidP="002E5AFC">
      <w:pPr>
        <w:spacing w:line="276" w:lineRule="auto"/>
        <w:jc w:val="both"/>
        <w:rPr>
          <w:rFonts w:ascii="Times New Roman" w:hAnsi="Times New Roman" w:cs="Times New Roman"/>
          <w:sz w:val="24"/>
          <w:szCs w:val="24"/>
        </w:rPr>
      </w:pPr>
    </w:p>
    <w:p w:rsidR="002E5AFC" w:rsidRPr="00E958CE" w:rsidRDefault="002E5AFC" w:rsidP="002E5AFC">
      <w:pPr>
        <w:spacing w:line="276" w:lineRule="auto"/>
        <w:jc w:val="both"/>
        <w:rPr>
          <w:rFonts w:ascii="Times New Roman" w:hAnsi="Times New Roman" w:cs="Times New Roman"/>
          <w:sz w:val="24"/>
          <w:szCs w:val="24"/>
        </w:rPr>
      </w:pPr>
      <w:r w:rsidRPr="00E958CE">
        <w:rPr>
          <w:rFonts w:ascii="Times New Roman" w:hAnsi="Times New Roman" w:cs="Times New Roman"/>
          <w:sz w:val="24"/>
          <w:szCs w:val="24"/>
        </w:rPr>
        <w:t>•</w:t>
      </w:r>
      <w:r w:rsidRPr="00E958CE">
        <w:rPr>
          <w:rFonts w:ascii="Times New Roman" w:hAnsi="Times New Roman" w:cs="Times New Roman"/>
          <w:sz w:val="24"/>
          <w:szCs w:val="24"/>
        </w:rPr>
        <w:tab/>
      </w:r>
      <w:r>
        <w:rPr>
          <w:rFonts w:ascii="Times New Roman" w:hAnsi="Times New Roman" w:cs="Times New Roman"/>
          <w:sz w:val="24"/>
          <w:szCs w:val="24"/>
        </w:rPr>
        <w:t>Eesti m</w:t>
      </w:r>
      <w:r w:rsidRPr="00E958CE">
        <w:rPr>
          <w:rFonts w:ascii="Times New Roman" w:hAnsi="Times New Roman" w:cs="Times New Roman"/>
          <w:sz w:val="24"/>
          <w:szCs w:val="24"/>
        </w:rPr>
        <w:t xml:space="preserve">ahepõllumajanduse arengukava </w:t>
      </w:r>
      <w:r>
        <w:rPr>
          <w:rFonts w:ascii="Times New Roman" w:hAnsi="Times New Roman" w:cs="Times New Roman"/>
          <w:sz w:val="24"/>
          <w:szCs w:val="24"/>
        </w:rPr>
        <w:t>aastateks</w:t>
      </w:r>
      <w:r w:rsidRPr="00E958CE">
        <w:rPr>
          <w:rFonts w:ascii="Times New Roman" w:hAnsi="Times New Roman" w:cs="Times New Roman"/>
          <w:sz w:val="24"/>
          <w:szCs w:val="24"/>
        </w:rPr>
        <w:t xml:space="preserve"> 2014–</w:t>
      </w:r>
      <w:r>
        <w:rPr>
          <w:rFonts w:ascii="Times New Roman" w:hAnsi="Times New Roman" w:cs="Times New Roman"/>
          <w:sz w:val="24"/>
          <w:szCs w:val="24"/>
        </w:rPr>
        <w:t>2020</w:t>
      </w:r>
    </w:p>
    <w:p w:rsidR="002E5AFC" w:rsidRDefault="00576566" w:rsidP="002E5AFC">
      <w:pPr>
        <w:spacing w:line="276" w:lineRule="auto"/>
        <w:jc w:val="both"/>
        <w:rPr>
          <w:rFonts w:ascii="Times New Roman" w:hAnsi="Times New Roman" w:cs="Times New Roman"/>
          <w:sz w:val="24"/>
          <w:szCs w:val="24"/>
        </w:rPr>
      </w:pPr>
      <w:r w:rsidRPr="00576566">
        <w:rPr>
          <w:rFonts w:ascii="Times New Roman" w:hAnsi="Times New Roman" w:cs="Times New Roman"/>
          <w:sz w:val="24"/>
          <w:szCs w:val="24"/>
        </w:rPr>
        <w:t>Arengukava strateegiline eesmärk on mahepõllumajanduse konkurentsivõime parandamine ja kohaliku mahetoi</w:t>
      </w:r>
      <w:r>
        <w:rPr>
          <w:rFonts w:ascii="Times New Roman" w:hAnsi="Times New Roman" w:cs="Times New Roman"/>
          <w:sz w:val="24"/>
          <w:szCs w:val="24"/>
        </w:rPr>
        <w:t xml:space="preserve">du tarbimise suurendamine. </w:t>
      </w:r>
      <w:r w:rsidR="002E5AFC" w:rsidRPr="00E958CE">
        <w:rPr>
          <w:rFonts w:ascii="Times New Roman" w:hAnsi="Times New Roman" w:cs="Times New Roman"/>
          <w:sz w:val="24"/>
          <w:szCs w:val="24"/>
        </w:rPr>
        <w:t>Kuna teraviljakasvatus moodustab olulise osa mahepõllumajandus</w:t>
      </w:r>
      <w:r w:rsidR="009D24EE">
        <w:rPr>
          <w:rFonts w:ascii="Times New Roman" w:hAnsi="Times New Roman" w:cs="Times New Roman"/>
          <w:sz w:val="24"/>
          <w:szCs w:val="24"/>
        </w:rPr>
        <w:t>tootmis</w:t>
      </w:r>
      <w:r w:rsidR="002E5AFC" w:rsidRPr="00E958CE">
        <w:rPr>
          <w:rFonts w:ascii="Times New Roman" w:hAnsi="Times New Roman" w:cs="Times New Roman"/>
          <w:sz w:val="24"/>
          <w:szCs w:val="24"/>
        </w:rPr>
        <w:t xml:space="preserve">est, siis </w:t>
      </w:r>
      <w:r w:rsidR="00772B86">
        <w:rPr>
          <w:rFonts w:ascii="Times New Roman" w:hAnsi="Times New Roman" w:cs="Times New Roman"/>
          <w:sz w:val="24"/>
          <w:szCs w:val="24"/>
        </w:rPr>
        <w:t>on</w:t>
      </w:r>
      <w:r w:rsidR="00772B86" w:rsidRPr="00E958CE">
        <w:rPr>
          <w:rFonts w:ascii="Times New Roman" w:hAnsi="Times New Roman" w:cs="Times New Roman"/>
          <w:sz w:val="24"/>
          <w:szCs w:val="24"/>
        </w:rPr>
        <w:t xml:space="preserve"> </w:t>
      </w:r>
      <w:r w:rsidR="002E5AFC" w:rsidRPr="00E958CE">
        <w:rPr>
          <w:rFonts w:ascii="Times New Roman" w:hAnsi="Times New Roman" w:cs="Times New Roman"/>
          <w:sz w:val="24"/>
          <w:szCs w:val="24"/>
        </w:rPr>
        <w:t>arengukavade</w:t>
      </w:r>
      <w:r w:rsidR="00772B86">
        <w:rPr>
          <w:rFonts w:ascii="Times New Roman" w:hAnsi="Times New Roman" w:cs="Times New Roman"/>
          <w:sz w:val="24"/>
          <w:szCs w:val="24"/>
        </w:rPr>
        <w:t>s käsitletav otseses seoses</w:t>
      </w:r>
      <w:r w:rsidR="00D32447">
        <w:rPr>
          <w:rFonts w:ascii="Times New Roman" w:hAnsi="Times New Roman" w:cs="Times New Roman"/>
          <w:sz w:val="24"/>
          <w:szCs w:val="24"/>
        </w:rPr>
        <w:t>.</w:t>
      </w:r>
      <w:r w:rsidR="002E5AFC" w:rsidRPr="00E958CE">
        <w:rPr>
          <w:rFonts w:ascii="Times New Roman" w:hAnsi="Times New Roman" w:cs="Times New Roman"/>
          <w:sz w:val="24"/>
          <w:szCs w:val="24"/>
        </w:rPr>
        <w:t xml:space="preserve"> </w:t>
      </w:r>
    </w:p>
    <w:p w:rsidR="00D32447" w:rsidRPr="00E958CE" w:rsidRDefault="00D32447" w:rsidP="002E5AFC">
      <w:pPr>
        <w:spacing w:line="276" w:lineRule="auto"/>
        <w:jc w:val="both"/>
        <w:rPr>
          <w:rFonts w:ascii="Times New Roman" w:hAnsi="Times New Roman" w:cs="Times New Roman"/>
          <w:sz w:val="24"/>
          <w:szCs w:val="24"/>
        </w:rPr>
      </w:pPr>
    </w:p>
    <w:p w:rsidR="00663944" w:rsidRDefault="002E5AFC" w:rsidP="002E5AFC">
      <w:pPr>
        <w:adjustRightInd w:val="0"/>
        <w:spacing w:line="276" w:lineRule="auto"/>
        <w:jc w:val="both"/>
        <w:rPr>
          <w:rFonts w:ascii="Times New Roman" w:hAnsi="Times New Roman" w:cs="Times New Roman"/>
          <w:color w:val="000000"/>
          <w:sz w:val="24"/>
          <w:szCs w:val="24"/>
        </w:rPr>
      </w:pPr>
      <w:r w:rsidRPr="00E958CE">
        <w:rPr>
          <w:rFonts w:ascii="Times New Roman" w:hAnsi="Times New Roman" w:cs="Times New Roman"/>
          <w:sz w:val="24"/>
          <w:szCs w:val="24"/>
        </w:rPr>
        <w:t>•</w:t>
      </w:r>
      <w:r w:rsidRPr="00E958CE">
        <w:rPr>
          <w:rFonts w:ascii="Times New Roman" w:hAnsi="Times New Roman" w:cs="Times New Roman"/>
          <w:sz w:val="24"/>
          <w:szCs w:val="24"/>
        </w:rPr>
        <w:tab/>
        <w:t>Taimekaitsevahendite säästva k</w:t>
      </w:r>
      <w:r w:rsidR="00663944">
        <w:rPr>
          <w:rFonts w:ascii="Times New Roman" w:hAnsi="Times New Roman" w:cs="Times New Roman"/>
          <w:sz w:val="24"/>
          <w:szCs w:val="24"/>
        </w:rPr>
        <w:t>asutamise tegevuskava 2013–2017</w:t>
      </w:r>
      <w:r w:rsidRPr="00E958CE">
        <w:rPr>
          <w:rFonts w:ascii="Times New Roman" w:hAnsi="Times New Roman" w:cs="Times New Roman"/>
          <w:sz w:val="24"/>
          <w:szCs w:val="24"/>
        </w:rPr>
        <w:t xml:space="preserve"> </w:t>
      </w:r>
      <w:r w:rsidRPr="00E958CE">
        <w:rPr>
          <w:rFonts w:ascii="Times New Roman" w:hAnsi="Times New Roman" w:cs="Times New Roman"/>
          <w:color w:val="000000"/>
          <w:sz w:val="24"/>
          <w:szCs w:val="24"/>
        </w:rPr>
        <w:t xml:space="preserve"> </w:t>
      </w:r>
    </w:p>
    <w:p w:rsidR="002E5AFC" w:rsidRPr="00E958CE" w:rsidRDefault="002E5AFC" w:rsidP="002E5AFC">
      <w:pPr>
        <w:adjustRightInd w:val="0"/>
        <w:spacing w:line="276" w:lineRule="auto"/>
        <w:jc w:val="both"/>
        <w:rPr>
          <w:rFonts w:ascii="Times New Roman" w:hAnsi="Times New Roman" w:cs="Times New Roman"/>
          <w:sz w:val="24"/>
          <w:szCs w:val="24"/>
        </w:rPr>
      </w:pPr>
      <w:r w:rsidRPr="00E958CE">
        <w:rPr>
          <w:rFonts w:ascii="Times New Roman" w:hAnsi="Times New Roman" w:cs="Times New Roman"/>
          <w:color w:val="000000"/>
          <w:sz w:val="24"/>
          <w:szCs w:val="24"/>
        </w:rPr>
        <w:t xml:space="preserve">Taimekaitsevahendite säästva kasutamise tegevuskavaga panustatakse eelkõige vähese taimekaitsevahendite sisendiga põllumajandustootmise edendamisele. Efektiivse teraviljatootmise eelduseks on optimaalse taimekaitsevahendite kasutamisega saavutada </w:t>
      </w:r>
      <w:r w:rsidRPr="00E958CE">
        <w:rPr>
          <w:rFonts w:ascii="Times New Roman" w:hAnsi="Times New Roman" w:cs="Times New Roman"/>
          <w:sz w:val="24"/>
          <w:szCs w:val="24"/>
        </w:rPr>
        <w:t>maksimaalne kasum.</w:t>
      </w:r>
    </w:p>
    <w:p w:rsidR="002E5AFC" w:rsidRPr="00E958CE" w:rsidRDefault="00B31A14" w:rsidP="002E5AFC">
      <w:pPr>
        <w:adjustRightInd w:val="0"/>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p>
    <w:p w:rsidR="002E5AFC" w:rsidRPr="00E958CE" w:rsidRDefault="002E5AFC" w:rsidP="002E5AFC">
      <w:pPr>
        <w:pStyle w:val="ListParagraph"/>
        <w:spacing w:line="276" w:lineRule="auto"/>
        <w:ind w:left="0"/>
        <w:jc w:val="both"/>
        <w:rPr>
          <w:rFonts w:ascii="Times New Roman" w:hAnsi="Times New Roman" w:cs="Times New Roman"/>
          <w:sz w:val="24"/>
          <w:szCs w:val="24"/>
        </w:rPr>
      </w:pPr>
      <w:r w:rsidRPr="00E958CE">
        <w:rPr>
          <w:rFonts w:ascii="Times New Roman" w:hAnsi="Times New Roman" w:cs="Times New Roman"/>
          <w:sz w:val="24"/>
          <w:szCs w:val="24"/>
        </w:rPr>
        <w:t>•</w:t>
      </w:r>
      <w:r w:rsidRPr="00E958CE">
        <w:rPr>
          <w:rFonts w:ascii="Times New Roman" w:hAnsi="Times New Roman" w:cs="Times New Roman"/>
          <w:sz w:val="24"/>
          <w:szCs w:val="24"/>
        </w:rPr>
        <w:tab/>
        <w:t>Põllumajandussektoris kliimamuutuste leevendamise ja kliimamuutustega k</w:t>
      </w:r>
      <w:r w:rsidR="00663944">
        <w:rPr>
          <w:rFonts w:ascii="Times New Roman" w:hAnsi="Times New Roman" w:cs="Times New Roman"/>
          <w:sz w:val="24"/>
          <w:szCs w:val="24"/>
        </w:rPr>
        <w:t>ohanemise tegevuskava 2012–2020</w:t>
      </w:r>
    </w:p>
    <w:p w:rsidR="002E5AFC" w:rsidRPr="00E958CE" w:rsidRDefault="002E5AFC" w:rsidP="002E5AFC">
      <w:pPr>
        <w:adjustRightInd w:val="0"/>
        <w:spacing w:line="276" w:lineRule="auto"/>
        <w:jc w:val="both"/>
        <w:rPr>
          <w:rFonts w:ascii="Times New Roman" w:hAnsi="Times New Roman" w:cs="Times New Roman"/>
          <w:sz w:val="24"/>
          <w:szCs w:val="24"/>
        </w:rPr>
      </w:pPr>
      <w:r w:rsidRPr="00E958CE">
        <w:rPr>
          <w:rFonts w:ascii="Times New Roman" w:hAnsi="Times New Roman" w:cs="Times New Roman"/>
          <w:sz w:val="24"/>
          <w:szCs w:val="24"/>
        </w:rPr>
        <w:t>Antud tegevuskava üks eesmärke on kaardistada ja analüüsida meetmeid ja uurimisvaldkondi, mis võimaldavad tagada kliimamuutustest tulenevate riskide maandamist põllumajanduses. Teravilja kasvatamine on väga tihedalt seotud ilmastiku ja kliimaga, mistõttu on kliimamuutustest tulenevate riskide maandamine äärmiselt oluline.</w:t>
      </w:r>
    </w:p>
    <w:p w:rsidR="002E5AFC" w:rsidRPr="00E958CE" w:rsidRDefault="002E5AFC" w:rsidP="002E5AFC">
      <w:pPr>
        <w:pStyle w:val="ListParagraph"/>
        <w:spacing w:line="276" w:lineRule="auto"/>
        <w:ind w:left="0"/>
        <w:jc w:val="both"/>
        <w:rPr>
          <w:rFonts w:ascii="Times New Roman" w:hAnsi="Times New Roman" w:cs="Times New Roman"/>
          <w:sz w:val="24"/>
          <w:szCs w:val="24"/>
        </w:rPr>
      </w:pPr>
    </w:p>
    <w:p w:rsidR="002E5AFC" w:rsidRPr="00E958CE" w:rsidRDefault="002E5AFC" w:rsidP="002E5AFC">
      <w:pPr>
        <w:spacing w:line="276" w:lineRule="auto"/>
        <w:jc w:val="both"/>
        <w:rPr>
          <w:rFonts w:ascii="Times New Roman" w:hAnsi="Times New Roman" w:cs="Times New Roman"/>
          <w:sz w:val="24"/>
          <w:szCs w:val="24"/>
        </w:rPr>
      </w:pPr>
      <w:r w:rsidRPr="00E958CE">
        <w:rPr>
          <w:rFonts w:ascii="Times New Roman" w:hAnsi="Times New Roman" w:cs="Times New Roman"/>
          <w:sz w:val="24"/>
          <w:szCs w:val="24"/>
        </w:rPr>
        <w:t>•</w:t>
      </w:r>
      <w:r w:rsidRPr="00E958CE">
        <w:rPr>
          <w:rFonts w:ascii="Times New Roman" w:hAnsi="Times New Roman" w:cs="Times New Roman"/>
          <w:sz w:val="24"/>
          <w:szCs w:val="24"/>
        </w:rPr>
        <w:tab/>
        <w:t>Põllumajandusteadus</w:t>
      </w:r>
      <w:r>
        <w:rPr>
          <w:rFonts w:ascii="Times New Roman" w:hAnsi="Times New Roman" w:cs="Times New Roman"/>
          <w:sz w:val="24"/>
          <w:szCs w:val="24"/>
        </w:rPr>
        <w:t>te arengukava</w:t>
      </w:r>
      <w:r w:rsidR="00663944">
        <w:rPr>
          <w:rFonts w:ascii="Times New Roman" w:hAnsi="Times New Roman" w:cs="Times New Roman"/>
          <w:sz w:val="24"/>
          <w:szCs w:val="24"/>
        </w:rPr>
        <w:t xml:space="preserve"> 2014–2020 (väljatöötamisel)</w:t>
      </w:r>
    </w:p>
    <w:p w:rsidR="002E5AFC" w:rsidRPr="00663944" w:rsidRDefault="002E5AFC" w:rsidP="00663944">
      <w:pPr>
        <w:spacing w:line="276" w:lineRule="auto"/>
        <w:jc w:val="both"/>
        <w:rPr>
          <w:rFonts w:ascii="Times New Roman" w:hAnsi="Times New Roman" w:cs="Times New Roman"/>
          <w:sz w:val="24"/>
          <w:szCs w:val="24"/>
        </w:rPr>
      </w:pPr>
      <w:r w:rsidRPr="00E958CE">
        <w:rPr>
          <w:rFonts w:ascii="Times New Roman" w:hAnsi="Times New Roman" w:cs="Times New Roman"/>
          <w:color w:val="000000"/>
          <w:sz w:val="24"/>
          <w:szCs w:val="24"/>
        </w:rPr>
        <w:t>Põllumajandusteaduste arengukava raames keskendutakse põllumajandusteaduse arendamise ja teadustöö rakendamise kaudu elukvaliteedi parandamisele ning keskkonna jätkusuutlikkuse tagamisele. Laiemateks eesmärkideks on muuhulgas konkurentsivõimelise toidu ja sööda tootmine, toiduohutuse ning kvaliteedi tagamine, maaelu areng ja elukeskkonna paranemine.</w:t>
      </w:r>
      <w:r w:rsidRPr="00E958CE">
        <w:rPr>
          <w:rFonts w:ascii="Times New Roman" w:hAnsi="Times New Roman" w:cs="Times New Roman"/>
          <w:sz w:val="24"/>
          <w:szCs w:val="24"/>
        </w:rPr>
        <w:t xml:space="preserve"> Teraviljasektori </w:t>
      </w:r>
      <w:r w:rsidRPr="00E958CE">
        <w:rPr>
          <w:rFonts w:ascii="Times New Roman" w:hAnsi="Times New Roman" w:cs="Times New Roman"/>
          <w:sz w:val="24"/>
          <w:szCs w:val="24"/>
        </w:rPr>
        <w:lastRenderedPageBreak/>
        <w:t>arengukava peamiseks eesmärgiks on kvaliteetse teravilja toodangu tõstmine, mille ühtedeks alustaladek</w:t>
      </w:r>
      <w:r w:rsidR="00B31A14">
        <w:rPr>
          <w:rFonts w:ascii="Times New Roman" w:hAnsi="Times New Roman" w:cs="Times New Roman"/>
          <w:sz w:val="24"/>
          <w:szCs w:val="24"/>
        </w:rPr>
        <w:t>s on tootjate teadlikkus</w:t>
      </w:r>
      <w:r w:rsidRPr="00E958CE">
        <w:rPr>
          <w:rFonts w:ascii="Times New Roman" w:hAnsi="Times New Roman" w:cs="Times New Roman"/>
          <w:sz w:val="24"/>
          <w:szCs w:val="24"/>
        </w:rPr>
        <w:t xml:space="preserve"> ja</w:t>
      </w:r>
      <w:r w:rsidR="00B31A14">
        <w:rPr>
          <w:rFonts w:ascii="Times New Roman" w:hAnsi="Times New Roman" w:cs="Times New Roman"/>
          <w:sz w:val="24"/>
          <w:szCs w:val="24"/>
        </w:rPr>
        <w:t xml:space="preserve"> põllumajandusteadus</w:t>
      </w:r>
      <w:r w:rsidRPr="00E958CE">
        <w:rPr>
          <w:rFonts w:ascii="Times New Roman" w:hAnsi="Times New Roman" w:cs="Times New Roman"/>
          <w:sz w:val="24"/>
          <w:szCs w:val="24"/>
        </w:rPr>
        <w:t>.</w:t>
      </w:r>
    </w:p>
    <w:p w:rsidR="002E5AFC" w:rsidRPr="00E958CE" w:rsidRDefault="002E5AFC" w:rsidP="002E5AFC">
      <w:pPr>
        <w:adjustRightInd w:val="0"/>
        <w:spacing w:line="276" w:lineRule="auto"/>
        <w:jc w:val="both"/>
        <w:rPr>
          <w:rFonts w:ascii="Times New Roman" w:hAnsi="Times New Roman" w:cs="Times New Roman"/>
          <w:sz w:val="24"/>
          <w:szCs w:val="24"/>
        </w:rPr>
      </w:pPr>
    </w:p>
    <w:p w:rsidR="002E5AFC" w:rsidRPr="00E958CE" w:rsidRDefault="002E5AFC" w:rsidP="002E5AFC">
      <w:pPr>
        <w:adjustRightInd w:val="0"/>
        <w:spacing w:line="276" w:lineRule="auto"/>
        <w:jc w:val="both"/>
        <w:rPr>
          <w:rFonts w:ascii="Times New Roman" w:hAnsi="Times New Roman" w:cs="Times New Roman"/>
          <w:sz w:val="24"/>
          <w:szCs w:val="24"/>
        </w:rPr>
      </w:pPr>
      <w:r w:rsidRPr="00E958CE">
        <w:rPr>
          <w:rFonts w:ascii="Times New Roman" w:hAnsi="Times New Roman" w:cs="Times New Roman"/>
          <w:sz w:val="24"/>
          <w:szCs w:val="24"/>
        </w:rPr>
        <w:t>•</w:t>
      </w:r>
      <w:r w:rsidRPr="00E958CE">
        <w:rPr>
          <w:rFonts w:ascii="Times New Roman" w:hAnsi="Times New Roman" w:cs="Times New Roman"/>
          <w:sz w:val="24"/>
          <w:szCs w:val="24"/>
        </w:rPr>
        <w:tab/>
        <w:t xml:space="preserve">Eesti seemnemajanduse </w:t>
      </w:r>
      <w:r>
        <w:rPr>
          <w:rFonts w:ascii="Times New Roman" w:hAnsi="Times New Roman" w:cs="Times New Roman"/>
          <w:sz w:val="24"/>
          <w:szCs w:val="24"/>
        </w:rPr>
        <w:t>arengukava aastateks</w:t>
      </w:r>
      <w:r w:rsidR="00663944">
        <w:rPr>
          <w:rFonts w:ascii="Times New Roman" w:hAnsi="Times New Roman" w:cs="Times New Roman"/>
          <w:sz w:val="24"/>
          <w:szCs w:val="24"/>
        </w:rPr>
        <w:t xml:space="preserve"> 2014–2020 (väljatöötamisel)</w:t>
      </w:r>
    </w:p>
    <w:p w:rsidR="002E5AFC" w:rsidRPr="00E958CE" w:rsidRDefault="002E5AFC" w:rsidP="002E5AFC">
      <w:pPr>
        <w:adjustRightInd w:val="0"/>
        <w:spacing w:line="276" w:lineRule="auto"/>
        <w:jc w:val="both"/>
        <w:rPr>
          <w:rFonts w:ascii="Times New Roman" w:hAnsi="Times New Roman" w:cs="Times New Roman"/>
          <w:iCs/>
          <w:sz w:val="24"/>
          <w:szCs w:val="24"/>
        </w:rPr>
      </w:pPr>
      <w:r w:rsidRPr="00E958CE">
        <w:rPr>
          <w:rFonts w:ascii="Times New Roman" w:hAnsi="Times New Roman" w:cs="Times New Roman"/>
          <w:iCs/>
          <w:sz w:val="24"/>
          <w:szCs w:val="24"/>
        </w:rPr>
        <w:t>Väljatöötamisel oleva seemnemajanduse arengukava üheks eesmärgiks on sertifitseeritud seemne ja paljundusmaterjali ning Eesti tingimustesse sobivate ja siin levivate taimekahjustajate suhtes vastupanuvõimeliste sortide kasutamise suurendamine. Teraviljasektori arengukava peamise eesmärgi – teravilja saagikuse tõstmine Eestis – saavutamise üheks suurimaks eelduseks ongi sertifitseeritud seemne ja paljundusmaterjali ning Eesti tingimustesse sobivate ja siin levivate taimekahjustajate suhtes vastupanuvõimeliste sortide kasutamine.</w:t>
      </w:r>
    </w:p>
    <w:p w:rsidR="002E5AFC" w:rsidRPr="00E958CE" w:rsidRDefault="002E5AFC" w:rsidP="002E5AFC">
      <w:pPr>
        <w:adjustRightInd w:val="0"/>
        <w:spacing w:line="276" w:lineRule="auto"/>
        <w:jc w:val="both"/>
        <w:rPr>
          <w:rFonts w:ascii="Times New Roman" w:hAnsi="Times New Roman" w:cs="Times New Roman"/>
          <w:iCs/>
          <w:sz w:val="24"/>
          <w:szCs w:val="24"/>
        </w:rPr>
      </w:pPr>
    </w:p>
    <w:p w:rsidR="002E5AFC" w:rsidRPr="00E958CE" w:rsidRDefault="002E5AFC" w:rsidP="002E5AFC">
      <w:pPr>
        <w:adjustRightInd w:val="0"/>
        <w:spacing w:line="276" w:lineRule="auto"/>
        <w:jc w:val="both"/>
        <w:rPr>
          <w:rFonts w:ascii="Times New Roman" w:hAnsi="Times New Roman" w:cs="Times New Roman"/>
          <w:sz w:val="24"/>
          <w:szCs w:val="24"/>
        </w:rPr>
      </w:pPr>
      <w:r w:rsidRPr="00E958CE">
        <w:rPr>
          <w:rFonts w:ascii="Times New Roman" w:hAnsi="Times New Roman" w:cs="Times New Roman"/>
          <w:sz w:val="24"/>
          <w:szCs w:val="24"/>
        </w:rPr>
        <w:t>•</w:t>
      </w:r>
      <w:r w:rsidRPr="00E958CE">
        <w:rPr>
          <w:rFonts w:ascii="Times New Roman" w:hAnsi="Times New Roman" w:cs="Times New Roman"/>
          <w:sz w:val="24"/>
          <w:szCs w:val="24"/>
        </w:rPr>
        <w:tab/>
        <w:t xml:space="preserve">Arengukava </w:t>
      </w:r>
      <w:r w:rsidR="008A2053" w:rsidRPr="008A2053">
        <w:rPr>
          <w:rFonts w:ascii="Times New Roman" w:hAnsi="Times New Roman" w:cs="Times New Roman"/>
          <w:bCs/>
          <w:sz w:val="24"/>
          <w:szCs w:val="24"/>
        </w:rPr>
        <w:t>„</w:t>
      </w:r>
      <w:r w:rsidRPr="00E958CE">
        <w:rPr>
          <w:rFonts w:ascii="Times New Roman" w:hAnsi="Times New Roman" w:cs="Times New Roman"/>
          <w:sz w:val="24"/>
          <w:szCs w:val="24"/>
        </w:rPr>
        <w:t>Eesti toit“ (</w:t>
      </w:r>
      <w:r w:rsidR="0006100A">
        <w:rPr>
          <w:rFonts w:ascii="Times New Roman" w:hAnsi="Times New Roman" w:cs="Times New Roman"/>
          <w:sz w:val="24"/>
          <w:szCs w:val="24"/>
        </w:rPr>
        <w:t>muut</w:t>
      </w:r>
      <w:r w:rsidRPr="00E958CE">
        <w:rPr>
          <w:rFonts w:ascii="Times New Roman" w:hAnsi="Times New Roman" w:cs="Times New Roman"/>
          <w:sz w:val="24"/>
          <w:szCs w:val="24"/>
        </w:rPr>
        <w:t>misel)</w:t>
      </w:r>
    </w:p>
    <w:p w:rsidR="002E5AFC" w:rsidRDefault="00185528" w:rsidP="002E5AFC">
      <w:pPr>
        <w:adjustRightInd w:val="0"/>
        <w:spacing w:line="276" w:lineRule="auto"/>
        <w:jc w:val="both"/>
        <w:rPr>
          <w:rFonts w:ascii="Times New Roman" w:hAnsi="Times New Roman" w:cs="Times New Roman"/>
          <w:sz w:val="24"/>
          <w:szCs w:val="24"/>
        </w:rPr>
      </w:pPr>
      <w:r w:rsidRPr="00185528">
        <w:rPr>
          <w:rFonts w:ascii="Times New Roman" w:hAnsi="Times New Roman" w:cs="Times New Roman"/>
          <w:sz w:val="24"/>
          <w:szCs w:val="24"/>
        </w:rPr>
        <w:t>Väljatöötatava „Eesti toit“ arengukava eesmärgiks on Eesti toidu positiivse kuvandi loomine ning toidusektori osapoolte omavahelise koostöö parandamine. Olemuselt on tegemist  turundus- ja kommunikatsiooniprogrammiga, mille fookus on suunatud kolmele tegevusvaldkonnale / sihtrühmale : lastele / noortele suunatud tegevused, rahvusvahelised projektid ning siseriiklikud tegevused.</w:t>
      </w:r>
    </w:p>
    <w:p w:rsidR="00185528" w:rsidRDefault="00185528" w:rsidP="002E5AFC">
      <w:pPr>
        <w:adjustRightInd w:val="0"/>
        <w:spacing w:line="276" w:lineRule="auto"/>
        <w:jc w:val="both"/>
        <w:rPr>
          <w:rFonts w:ascii="Times New Roman" w:hAnsi="Times New Roman" w:cs="Times New Roman"/>
          <w:sz w:val="24"/>
          <w:szCs w:val="24"/>
        </w:rPr>
      </w:pPr>
    </w:p>
    <w:p w:rsidR="002E5AFC" w:rsidRDefault="002E5AFC" w:rsidP="002E5AFC">
      <w:pPr>
        <w:adjustRightInd w:val="0"/>
        <w:spacing w:line="276" w:lineRule="auto"/>
        <w:jc w:val="both"/>
        <w:rPr>
          <w:rFonts w:ascii="Times New Roman" w:hAnsi="Times New Roman" w:cs="Times New Roman"/>
          <w:sz w:val="24"/>
          <w:szCs w:val="24"/>
        </w:rPr>
      </w:pPr>
      <w:r w:rsidRPr="002015CD">
        <w:rPr>
          <w:rFonts w:ascii="Times New Roman" w:hAnsi="Times New Roman" w:cs="Times New Roman"/>
          <w:sz w:val="24"/>
          <w:szCs w:val="24"/>
        </w:rPr>
        <w:t>•</w:t>
      </w:r>
      <w:r w:rsidRPr="002015CD">
        <w:rPr>
          <w:rFonts w:ascii="Times New Roman" w:hAnsi="Times New Roman" w:cs="Times New Roman"/>
          <w:sz w:val="24"/>
          <w:szCs w:val="24"/>
        </w:rPr>
        <w:tab/>
      </w:r>
      <w:r w:rsidRPr="00FD071C">
        <w:rPr>
          <w:rFonts w:ascii="Times New Roman" w:hAnsi="Times New Roman" w:cs="Times New Roman"/>
          <w:sz w:val="24"/>
          <w:szCs w:val="24"/>
        </w:rPr>
        <w:t>Eesti biomajanduse strateegia aastani 2030</w:t>
      </w:r>
      <w:r w:rsidR="00663944">
        <w:rPr>
          <w:rFonts w:ascii="Times New Roman" w:hAnsi="Times New Roman" w:cs="Times New Roman"/>
          <w:sz w:val="24"/>
          <w:szCs w:val="24"/>
        </w:rPr>
        <w:t xml:space="preserve"> (väljatöötamisel)</w:t>
      </w:r>
    </w:p>
    <w:p w:rsidR="002E5AFC" w:rsidRDefault="002E5AFC" w:rsidP="002E5AFC">
      <w:pPr>
        <w:adjustRightInd w:val="0"/>
        <w:spacing w:line="276" w:lineRule="auto"/>
        <w:jc w:val="both"/>
        <w:rPr>
          <w:rFonts w:ascii="Times New Roman" w:hAnsi="Times New Roman" w:cs="Times New Roman"/>
          <w:sz w:val="24"/>
          <w:szCs w:val="24"/>
        </w:rPr>
      </w:pPr>
      <w:r w:rsidRPr="00FD071C">
        <w:rPr>
          <w:rFonts w:ascii="Times New Roman" w:hAnsi="Times New Roman" w:cs="Times New Roman"/>
          <w:sz w:val="24"/>
          <w:szCs w:val="24"/>
        </w:rPr>
        <w:t xml:space="preserve">Eesti biomajanduse strateegia koostamise põhieesmärk on luua biomajanduse valdkondi siduv strateegiline raamistik, mis aitab inimeste heaolu kasvu nimel muuta biomassi tootmise ja kasutamise võimalikult efektiivseks ja samas keskkonnasäästlikuks, </w:t>
      </w:r>
      <w:proofErr w:type="spellStart"/>
      <w:r w:rsidRPr="00FD071C">
        <w:rPr>
          <w:rFonts w:ascii="Times New Roman" w:hAnsi="Times New Roman" w:cs="Times New Roman"/>
          <w:sz w:val="24"/>
          <w:szCs w:val="24"/>
        </w:rPr>
        <w:t>väärindades</w:t>
      </w:r>
      <w:proofErr w:type="spellEnd"/>
      <w:r w:rsidRPr="00FD071C">
        <w:rPr>
          <w:rFonts w:ascii="Times New Roman" w:hAnsi="Times New Roman" w:cs="Times New Roman"/>
          <w:sz w:val="24"/>
          <w:szCs w:val="24"/>
        </w:rPr>
        <w:t xml:space="preserve"> seeläbi maksimaalselt olemasolevat maa- ja veeressurssi.</w:t>
      </w:r>
      <w:r>
        <w:rPr>
          <w:rFonts w:ascii="Times New Roman" w:hAnsi="Times New Roman" w:cs="Times New Roman"/>
          <w:sz w:val="24"/>
          <w:szCs w:val="24"/>
        </w:rPr>
        <w:t xml:space="preserve"> </w:t>
      </w:r>
    </w:p>
    <w:p w:rsidR="006E5305" w:rsidRPr="00D373F0" w:rsidRDefault="006E5305" w:rsidP="00617526">
      <w:pPr>
        <w:spacing w:line="276" w:lineRule="auto"/>
        <w:jc w:val="both"/>
        <w:rPr>
          <w:rFonts w:ascii="Times New Roman" w:hAnsi="Times New Roman" w:cs="Times New Roman"/>
          <w:sz w:val="24"/>
          <w:szCs w:val="24"/>
        </w:rPr>
      </w:pPr>
    </w:p>
    <w:p w:rsidR="004458FD" w:rsidRPr="00003E10" w:rsidRDefault="004458FD" w:rsidP="00F700EE">
      <w:pPr>
        <w:pStyle w:val="Heading1"/>
        <w:numPr>
          <w:ilvl w:val="0"/>
          <w:numId w:val="44"/>
        </w:numPr>
        <w:spacing w:line="276" w:lineRule="auto"/>
        <w:ind w:left="567" w:hanging="567"/>
        <w:rPr>
          <w:rFonts w:ascii="Times New Roman" w:hAnsi="Times New Roman"/>
          <w:b w:val="0"/>
          <w:sz w:val="32"/>
          <w:szCs w:val="32"/>
        </w:rPr>
      </w:pPr>
      <w:bookmarkStart w:id="170" w:name="_Toc389128794"/>
      <w:bookmarkStart w:id="171" w:name="_Toc389131341"/>
      <w:bookmarkStart w:id="172" w:name="_Toc389223876"/>
      <w:bookmarkStart w:id="173" w:name="_Toc389223938"/>
      <w:bookmarkStart w:id="174" w:name="_Toc391908869"/>
      <w:bookmarkStart w:id="175" w:name="_Toc391991803"/>
      <w:bookmarkStart w:id="176" w:name="_Toc397593023"/>
      <w:bookmarkStart w:id="177" w:name="_Toc398896319"/>
      <w:bookmarkStart w:id="178" w:name="_Toc398896459"/>
      <w:bookmarkStart w:id="179" w:name="_Toc400972831"/>
      <w:bookmarkStart w:id="180" w:name="_Toc384052597"/>
      <w:bookmarkStart w:id="181" w:name="_Toc384283940"/>
      <w:bookmarkStart w:id="182" w:name="_Toc384284051"/>
      <w:bookmarkStart w:id="183" w:name="_Toc384386245"/>
      <w:bookmarkStart w:id="184" w:name="_Toc384386457"/>
      <w:bookmarkStart w:id="185" w:name="_Toc384392323"/>
      <w:bookmarkStart w:id="186" w:name="_Toc385253754"/>
      <w:bookmarkStart w:id="187" w:name="_Toc385335126"/>
      <w:r>
        <w:rPr>
          <w:rFonts w:ascii="Times New Roman" w:hAnsi="Times New Roman"/>
          <w:sz w:val="32"/>
          <w:szCs w:val="32"/>
        </w:rPr>
        <w:t>Rahastamine ja elluviimine</w:t>
      </w:r>
      <w:bookmarkEnd w:id="170"/>
      <w:bookmarkEnd w:id="171"/>
      <w:bookmarkEnd w:id="172"/>
      <w:bookmarkEnd w:id="173"/>
      <w:bookmarkEnd w:id="174"/>
      <w:bookmarkEnd w:id="175"/>
      <w:bookmarkEnd w:id="176"/>
      <w:bookmarkEnd w:id="177"/>
      <w:bookmarkEnd w:id="178"/>
      <w:bookmarkEnd w:id="179"/>
    </w:p>
    <w:p w:rsidR="004458FD" w:rsidRDefault="004458FD" w:rsidP="00860F0E">
      <w:pPr>
        <w:spacing w:line="276" w:lineRule="auto"/>
        <w:jc w:val="both"/>
        <w:rPr>
          <w:rFonts w:ascii="Times New Roman" w:hAnsi="Times New Roman" w:cs="Times New Roman"/>
          <w:sz w:val="24"/>
          <w:szCs w:val="24"/>
        </w:rPr>
      </w:pPr>
    </w:p>
    <w:p w:rsidR="004458FD" w:rsidRPr="005007F8" w:rsidRDefault="00860F0E" w:rsidP="00860F0E">
      <w:pPr>
        <w:spacing w:line="276" w:lineRule="auto"/>
        <w:jc w:val="both"/>
        <w:rPr>
          <w:rFonts w:ascii="Times New Roman" w:hAnsi="Times New Roman" w:cs="Times New Roman"/>
          <w:sz w:val="24"/>
          <w:szCs w:val="24"/>
        </w:rPr>
      </w:pPr>
      <w:r w:rsidRPr="00A55EBB">
        <w:rPr>
          <w:rFonts w:ascii="Times New Roman" w:hAnsi="Times New Roman" w:cs="Times New Roman"/>
          <w:sz w:val="24"/>
          <w:szCs w:val="24"/>
        </w:rPr>
        <w:t>Arengukava elluviimin</w:t>
      </w:r>
      <w:r w:rsidR="004458FD" w:rsidRPr="00A55EBB">
        <w:rPr>
          <w:rFonts w:ascii="Times New Roman" w:hAnsi="Times New Roman" w:cs="Times New Roman"/>
          <w:sz w:val="24"/>
          <w:szCs w:val="24"/>
        </w:rPr>
        <w:t xml:space="preserve">e </w:t>
      </w:r>
      <w:r w:rsidR="00950E6F" w:rsidRPr="00A55EBB">
        <w:rPr>
          <w:rFonts w:ascii="Times New Roman" w:hAnsi="Times New Roman" w:cs="Times New Roman"/>
          <w:sz w:val="24"/>
          <w:szCs w:val="24"/>
        </w:rPr>
        <w:t>ja</w:t>
      </w:r>
      <w:r w:rsidR="0098690D" w:rsidRPr="00A55EBB">
        <w:rPr>
          <w:rFonts w:ascii="Times New Roman" w:hAnsi="Times New Roman" w:cs="Times New Roman"/>
          <w:sz w:val="24"/>
          <w:szCs w:val="24"/>
        </w:rPr>
        <w:t>/või</w:t>
      </w:r>
      <w:r w:rsidR="00950E6F" w:rsidRPr="00A55EBB">
        <w:rPr>
          <w:rFonts w:ascii="Times New Roman" w:hAnsi="Times New Roman" w:cs="Times New Roman"/>
          <w:sz w:val="24"/>
          <w:szCs w:val="24"/>
        </w:rPr>
        <w:t xml:space="preserve"> </w:t>
      </w:r>
      <w:r w:rsidR="004458FD" w:rsidRPr="00A55EBB">
        <w:rPr>
          <w:rFonts w:ascii="Times New Roman" w:hAnsi="Times New Roman" w:cs="Times New Roman"/>
          <w:sz w:val="24"/>
          <w:szCs w:val="24"/>
        </w:rPr>
        <w:t xml:space="preserve">rahastamine toimub läbi erinevate </w:t>
      </w:r>
      <w:r w:rsidR="0098690D" w:rsidRPr="00A55EBB">
        <w:rPr>
          <w:rFonts w:ascii="Times New Roman" w:hAnsi="Times New Roman" w:cs="Times New Roman"/>
          <w:sz w:val="24"/>
          <w:szCs w:val="24"/>
        </w:rPr>
        <w:t>allikate</w:t>
      </w:r>
      <w:r w:rsidR="004458FD" w:rsidRPr="00A55EBB">
        <w:rPr>
          <w:rFonts w:ascii="Times New Roman" w:hAnsi="Times New Roman" w:cs="Times New Roman"/>
          <w:sz w:val="24"/>
          <w:szCs w:val="24"/>
        </w:rPr>
        <w:t>:</w:t>
      </w:r>
      <w:r w:rsidR="004458FD" w:rsidRPr="005007F8">
        <w:rPr>
          <w:rFonts w:ascii="Times New Roman" w:hAnsi="Times New Roman" w:cs="Times New Roman"/>
          <w:sz w:val="24"/>
          <w:szCs w:val="24"/>
        </w:rPr>
        <w:t xml:space="preserve"> </w:t>
      </w:r>
      <w:r w:rsidR="00A55EBB">
        <w:rPr>
          <w:rFonts w:ascii="Times New Roman" w:hAnsi="Times New Roman" w:cs="Times New Roman"/>
          <w:sz w:val="24"/>
          <w:szCs w:val="24"/>
        </w:rPr>
        <w:t xml:space="preserve"> </w:t>
      </w:r>
    </w:p>
    <w:p w:rsidR="004458FD" w:rsidRPr="005007F8" w:rsidRDefault="004458FD" w:rsidP="005007F8">
      <w:pPr>
        <w:pStyle w:val="ListParagraph"/>
        <w:numPr>
          <w:ilvl w:val="0"/>
          <w:numId w:val="45"/>
        </w:numPr>
        <w:spacing w:line="276" w:lineRule="auto"/>
        <w:ind w:left="426" w:hanging="426"/>
        <w:jc w:val="both"/>
        <w:rPr>
          <w:rFonts w:ascii="Times New Roman" w:hAnsi="Times New Roman" w:cs="Times New Roman"/>
          <w:sz w:val="24"/>
          <w:szCs w:val="24"/>
        </w:rPr>
      </w:pPr>
      <w:r w:rsidRPr="005007F8">
        <w:rPr>
          <w:rFonts w:ascii="Times New Roman" w:hAnsi="Times New Roman" w:cs="Times New Roman"/>
          <w:sz w:val="24"/>
          <w:szCs w:val="24"/>
        </w:rPr>
        <w:t xml:space="preserve">Põllumajandusministeeriumi </w:t>
      </w:r>
      <w:r w:rsidR="00B40036">
        <w:rPr>
          <w:rFonts w:ascii="Times New Roman" w:hAnsi="Times New Roman" w:cs="Times New Roman"/>
          <w:sz w:val="24"/>
          <w:szCs w:val="24"/>
        </w:rPr>
        <w:t>valitsemisala arengukava 2014–</w:t>
      </w:r>
      <w:r w:rsidRPr="005007F8">
        <w:rPr>
          <w:rFonts w:ascii="Times New Roman" w:hAnsi="Times New Roman" w:cs="Times New Roman"/>
          <w:sz w:val="24"/>
          <w:szCs w:val="24"/>
        </w:rPr>
        <w:t>2017;</w:t>
      </w:r>
    </w:p>
    <w:p w:rsidR="004458FD" w:rsidRPr="005007F8" w:rsidRDefault="00B40036" w:rsidP="005007F8">
      <w:pPr>
        <w:pStyle w:val="ListParagraph"/>
        <w:numPr>
          <w:ilvl w:val="0"/>
          <w:numId w:val="45"/>
        </w:numPr>
        <w:spacing w:line="276" w:lineRule="auto"/>
        <w:ind w:left="426" w:hanging="426"/>
        <w:jc w:val="both"/>
        <w:rPr>
          <w:rFonts w:ascii="Times New Roman" w:hAnsi="Times New Roman" w:cs="Times New Roman"/>
          <w:sz w:val="24"/>
          <w:szCs w:val="24"/>
        </w:rPr>
      </w:pPr>
      <w:r>
        <w:rPr>
          <w:rFonts w:ascii="Times New Roman" w:hAnsi="Times New Roman" w:cs="Times New Roman"/>
          <w:sz w:val="24"/>
          <w:szCs w:val="24"/>
        </w:rPr>
        <w:t>Eesti maaelu arengukava 2014–</w:t>
      </w:r>
      <w:r w:rsidR="004458FD" w:rsidRPr="005007F8">
        <w:rPr>
          <w:rFonts w:ascii="Times New Roman" w:hAnsi="Times New Roman" w:cs="Times New Roman"/>
          <w:sz w:val="24"/>
          <w:szCs w:val="24"/>
        </w:rPr>
        <w:t>2020;</w:t>
      </w:r>
    </w:p>
    <w:p w:rsidR="00670465" w:rsidRPr="005007F8" w:rsidRDefault="00670465" w:rsidP="005007F8">
      <w:pPr>
        <w:pStyle w:val="ListParagraph"/>
        <w:numPr>
          <w:ilvl w:val="0"/>
          <w:numId w:val="45"/>
        </w:numPr>
        <w:spacing w:line="276" w:lineRule="auto"/>
        <w:ind w:left="426" w:hanging="426"/>
        <w:jc w:val="both"/>
        <w:rPr>
          <w:rFonts w:ascii="Times New Roman" w:hAnsi="Times New Roman" w:cs="Times New Roman"/>
          <w:sz w:val="24"/>
          <w:szCs w:val="24"/>
        </w:rPr>
      </w:pPr>
      <w:r w:rsidRPr="005007F8">
        <w:rPr>
          <w:rFonts w:ascii="Times New Roman" w:hAnsi="Times New Roman" w:cs="Times New Roman"/>
          <w:sz w:val="24"/>
          <w:szCs w:val="24"/>
        </w:rPr>
        <w:t>Eesti mahepõllumajanduse arengukava aastateks 2014–2020;</w:t>
      </w:r>
    </w:p>
    <w:p w:rsidR="00670465" w:rsidRPr="005007F8" w:rsidRDefault="00670465" w:rsidP="005007F8">
      <w:pPr>
        <w:pStyle w:val="ListParagraph"/>
        <w:numPr>
          <w:ilvl w:val="0"/>
          <w:numId w:val="45"/>
        </w:numPr>
        <w:spacing w:line="276" w:lineRule="auto"/>
        <w:ind w:left="426" w:hanging="426"/>
        <w:jc w:val="both"/>
        <w:rPr>
          <w:rFonts w:ascii="Times New Roman" w:hAnsi="Times New Roman" w:cs="Times New Roman"/>
          <w:sz w:val="24"/>
          <w:szCs w:val="24"/>
        </w:rPr>
      </w:pPr>
      <w:r w:rsidRPr="005007F8">
        <w:rPr>
          <w:rFonts w:ascii="Times New Roman" w:hAnsi="Times New Roman" w:cs="Times New Roman"/>
          <w:sz w:val="24"/>
          <w:szCs w:val="24"/>
        </w:rPr>
        <w:t xml:space="preserve">Taimekaitsevahendite säästva kasutamise tegevuskava 2013–2017;  </w:t>
      </w:r>
    </w:p>
    <w:p w:rsidR="00670465" w:rsidRDefault="00670465" w:rsidP="005007F8">
      <w:pPr>
        <w:pStyle w:val="ListParagraph"/>
        <w:numPr>
          <w:ilvl w:val="0"/>
          <w:numId w:val="45"/>
        </w:numPr>
        <w:spacing w:line="276" w:lineRule="auto"/>
        <w:ind w:left="426" w:hanging="426"/>
        <w:jc w:val="both"/>
        <w:rPr>
          <w:rFonts w:ascii="Times New Roman" w:hAnsi="Times New Roman" w:cs="Times New Roman"/>
          <w:sz w:val="24"/>
          <w:szCs w:val="24"/>
        </w:rPr>
      </w:pPr>
      <w:r w:rsidRPr="005007F8">
        <w:rPr>
          <w:rFonts w:ascii="Times New Roman" w:hAnsi="Times New Roman" w:cs="Times New Roman"/>
          <w:sz w:val="24"/>
          <w:szCs w:val="24"/>
        </w:rPr>
        <w:t>Põllumajandussektoris kliimamuutuste leevendamise ja kliimamuutustega kohanemise tegevuskava 2012–2020;</w:t>
      </w:r>
    </w:p>
    <w:p w:rsidR="0083612E" w:rsidRPr="005007F8" w:rsidRDefault="0083612E" w:rsidP="0083612E">
      <w:pPr>
        <w:pStyle w:val="ListParagraph"/>
        <w:numPr>
          <w:ilvl w:val="0"/>
          <w:numId w:val="45"/>
        </w:numPr>
        <w:spacing w:line="276" w:lineRule="auto"/>
        <w:ind w:left="426" w:hanging="426"/>
        <w:jc w:val="both"/>
        <w:rPr>
          <w:rFonts w:ascii="Times New Roman" w:hAnsi="Times New Roman" w:cs="Times New Roman"/>
          <w:sz w:val="24"/>
          <w:szCs w:val="24"/>
        </w:rPr>
      </w:pPr>
      <w:r w:rsidRPr="00AE4BDE">
        <w:rPr>
          <w:rFonts w:ascii="Times New Roman" w:hAnsi="Times New Roman" w:cs="Times New Roman"/>
          <w:sz w:val="24"/>
          <w:szCs w:val="24"/>
        </w:rPr>
        <w:t>Põllumajandus-, toidu- ja kalandusteaduse ning teadmuss</w:t>
      </w:r>
      <w:r>
        <w:rPr>
          <w:rFonts w:ascii="Times New Roman" w:hAnsi="Times New Roman" w:cs="Times New Roman"/>
          <w:sz w:val="24"/>
          <w:szCs w:val="24"/>
        </w:rPr>
        <w:t>iirde arengukava aastateks 2014–</w:t>
      </w:r>
      <w:r w:rsidRPr="00AE4BDE">
        <w:rPr>
          <w:rFonts w:ascii="Times New Roman" w:hAnsi="Times New Roman" w:cs="Times New Roman"/>
          <w:sz w:val="24"/>
          <w:szCs w:val="24"/>
        </w:rPr>
        <w:t xml:space="preserve">2020 </w:t>
      </w:r>
      <w:r w:rsidRPr="005007F8">
        <w:rPr>
          <w:rFonts w:ascii="Times New Roman" w:hAnsi="Times New Roman" w:cs="Times New Roman"/>
          <w:sz w:val="24"/>
          <w:szCs w:val="24"/>
        </w:rPr>
        <w:t xml:space="preserve"> (väljatöötamisel);</w:t>
      </w:r>
    </w:p>
    <w:p w:rsidR="00670465" w:rsidRPr="005007F8" w:rsidRDefault="00670465" w:rsidP="005007F8">
      <w:pPr>
        <w:pStyle w:val="ListParagraph"/>
        <w:numPr>
          <w:ilvl w:val="0"/>
          <w:numId w:val="45"/>
        </w:numPr>
        <w:spacing w:line="276" w:lineRule="auto"/>
        <w:ind w:left="426" w:hanging="426"/>
        <w:jc w:val="both"/>
        <w:rPr>
          <w:rFonts w:ascii="Times New Roman" w:hAnsi="Times New Roman" w:cs="Times New Roman"/>
          <w:sz w:val="24"/>
          <w:szCs w:val="24"/>
        </w:rPr>
      </w:pPr>
      <w:r w:rsidRPr="005007F8">
        <w:rPr>
          <w:rFonts w:ascii="Times New Roman" w:hAnsi="Times New Roman" w:cs="Times New Roman"/>
          <w:sz w:val="24"/>
          <w:szCs w:val="24"/>
        </w:rPr>
        <w:t>Eesti seemnemajanduse arengukava aastateks 2014–2020 (väljatöötamisel);</w:t>
      </w:r>
    </w:p>
    <w:p w:rsidR="00670465" w:rsidRPr="005007F8" w:rsidRDefault="00BB4DA4" w:rsidP="005007F8">
      <w:pPr>
        <w:pStyle w:val="ListParagraph"/>
        <w:numPr>
          <w:ilvl w:val="0"/>
          <w:numId w:val="45"/>
        </w:numPr>
        <w:spacing w:line="276" w:lineRule="auto"/>
        <w:ind w:left="426" w:hanging="426"/>
        <w:jc w:val="both"/>
        <w:rPr>
          <w:rFonts w:ascii="Times New Roman" w:hAnsi="Times New Roman" w:cs="Times New Roman"/>
          <w:sz w:val="24"/>
          <w:szCs w:val="24"/>
        </w:rPr>
      </w:pPr>
      <w:r w:rsidRPr="005007F8">
        <w:rPr>
          <w:rFonts w:ascii="Times New Roman" w:hAnsi="Times New Roman" w:cs="Times New Roman"/>
          <w:sz w:val="24"/>
          <w:szCs w:val="24"/>
        </w:rPr>
        <w:t xml:space="preserve">Arengukava </w:t>
      </w:r>
      <w:r w:rsidR="008A2053" w:rsidRPr="008A2053">
        <w:rPr>
          <w:rFonts w:ascii="Times New Roman" w:hAnsi="Times New Roman" w:cs="Times New Roman"/>
          <w:bCs/>
          <w:sz w:val="24"/>
          <w:szCs w:val="24"/>
        </w:rPr>
        <w:t>„</w:t>
      </w:r>
      <w:r w:rsidRPr="005007F8">
        <w:rPr>
          <w:rFonts w:ascii="Times New Roman" w:hAnsi="Times New Roman" w:cs="Times New Roman"/>
          <w:sz w:val="24"/>
          <w:szCs w:val="24"/>
        </w:rPr>
        <w:t xml:space="preserve">Eesti </w:t>
      </w:r>
      <w:proofErr w:type="spellStart"/>
      <w:r w:rsidRPr="005007F8">
        <w:rPr>
          <w:rFonts w:ascii="Times New Roman" w:hAnsi="Times New Roman" w:cs="Times New Roman"/>
          <w:sz w:val="24"/>
          <w:szCs w:val="24"/>
        </w:rPr>
        <w:t>toit</w:t>
      </w:r>
      <w:r w:rsidR="00436F15" w:rsidRPr="00436F15">
        <w:rPr>
          <w:rFonts w:ascii="Times New Roman" w:hAnsi="Times New Roman" w:cs="Times New Roman"/>
          <w:bCs/>
          <w:sz w:val="24"/>
          <w:szCs w:val="24"/>
        </w:rPr>
        <w:t>ˮ</w:t>
      </w:r>
      <w:proofErr w:type="spellEnd"/>
      <w:r w:rsidRPr="005007F8">
        <w:rPr>
          <w:rFonts w:ascii="Times New Roman" w:hAnsi="Times New Roman" w:cs="Times New Roman"/>
          <w:sz w:val="24"/>
          <w:szCs w:val="24"/>
        </w:rPr>
        <w:t xml:space="preserve"> (</w:t>
      </w:r>
      <w:r w:rsidR="00000B26">
        <w:rPr>
          <w:rFonts w:ascii="Times New Roman" w:hAnsi="Times New Roman" w:cs="Times New Roman"/>
          <w:sz w:val="24"/>
          <w:szCs w:val="24"/>
        </w:rPr>
        <w:t>muut</w:t>
      </w:r>
      <w:r w:rsidRPr="005007F8">
        <w:rPr>
          <w:rFonts w:ascii="Times New Roman" w:hAnsi="Times New Roman" w:cs="Times New Roman"/>
          <w:sz w:val="24"/>
          <w:szCs w:val="24"/>
        </w:rPr>
        <w:t>misel);</w:t>
      </w:r>
    </w:p>
    <w:p w:rsidR="00BB4DA4" w:rsidRPr="009A1772" w:rsidRDefault="00BB4DA4" w:rsidP="005007F8">
      <w:pPr>
        <w:pStyle w:val="ListParagraph"/>
        <w:numPr>
          <w:ilvl w:val="0"/>
          <w:numId w:val="45"/>
        </w:numPr>
        <w:spacing w:line="276" w:lineRule="auto"/>
        <w:ind w:left="426" w:hanging="426"/>
        <w:jc w:val="both"/>
        <w:rPr>
          <w:rFonts w:ascii="Times New Roman" w:hAnsi="Times New Roman" w:cs="Times New Roman"/>
          <w:sz w:val="24"/>
          <w:szCs w:val="24"/>
        </w:rPr>
      </w:pPr>
      <w:r w:rsidRPr="009A1772">
        <w:rPr>
          <w:rFonts w:ascii="Times New Roman" w:hAnsi="Times New Roman" w:cs="Times New Roman"/>
          <w:sz w:val="24"/>
          <w:szCs w:val="24"/>
        </w:rPr>
        <w:t>Eesti biomajanduse strateegia aastani 2030 (väljatöötamisel);</w:t>
      </w:r>
    </w:p>
    <w:p w:rsidR="004458FD" w:rsidRPr="009A1772" w:rsidRDefault="004458FD" w:rsidP="005007F8">
      <w:pPr>
        <w:pStyle w:val="ListParagraph"/>
        <w:numPr>
          <w:ilvl w:val="0"/>
          <w:numId w:val="45"/>
        </w:numPr>
        <w:spacing w:line="276" w:lineRule="auto"/>
        <w:ind w:left="426" w:hanging="426"/>
        <w:jc w:val="both"/>
        <w:rPr>
          <w:rFonts w:ascii="Times New Roman" w:hAnsi="Times New Roman" w:cs="Times New Roman"/>
          <w:sz w:val="24"/>
          <w:szCs w:val="24"/>
        </w:rPr>
      </w:pPr>
      <w:r w:rsidRPr="009A1772">
        <w:rPr>
          <w:rFonts w:ascii="Times New Roman" w:hAnsi="Times New Roman" w:cs="Times New Roman"/>
          <w:sz w:val="24"/>
          <w:szCs w:val="24"/>
        </w:rPr>
        <w:t>Põllumajandusministeeriumi eelarve;</w:t>
      </w:r>
    </w:p>
    <w:p w:rsidR="004458FD" w:rsidRPr="009A1772" w:rsidRDefault="004458FD" w:rsidP="005007F8">
      <w:pPr>
        <w:pStyle w:val="ListParagraph"/>
        <w:numPr>
          <w:ilvl w:val="0"/>
          <w:numId w:val="45"/>
        </w:numPr>
        <w:spacing w:line="276" w:lineRule="auto"/>
        <w:ind w:left="426" w:hanging="426"/>
        <w:jc w:val="both"/>
        <w:rPr>
          <w:rFonts w:ascii="Times New Roman" w:hAnsi="Times New Roman" w:cs="Times New Roman"/>
          <w:sz w:val="24"/>
          <w:szCs w:val="24"/>
        </w:rPr>
      </w:pPr>
      <w:r w:rsidRPr="009A1772">
        <w:rPr>
          <w:rFonts w:ascii="Times New Roman" w:hAnsi="Times New Roman" w:cs="Times New Roman"/>
          <w:sz w:val="24"/>
          <w:szCs w:val="24"/>
        </w:rPr>
        <w:t>Euroopa Liidu kaasrahastatavad projektid;</w:t>
      </w:r>
    </w:p>
    <w:p w:rsidR="004458FD" w:rsidRPr="009A1772" w:rsidRDefault="004458FD" w:rsidP="005007F8">
      <w:pPr>
        <w:pStyle w:val="ListParagraph"/>
        <w:numPr>
          <w:ilvl w:val="0"/>
          <w:numId w:val="45"/>
        </w:numPr>
        <w:spacing w:line="276" w:lineRule="auto"/>
        <w:ind w:left="426" w:hanging="426"/>
        <w:jc w:val="both"/>
        <w:rPr>
          <w:rFonts w:ascii="Times New Roman" w:hAnsi="Times New Roman" w:cs="Times New Roman"/>
          <w:sz w:val="24"/>
          <w:szCs w:val="24"/>
        </w:rPr>
      </w:pPr>
      <w:r w:rsidRPr="009A1772">
        <w:rPr>
          <w:rFonts w:ascii="Times New Roman" w:hAnsi="Times New Roman" w:cs="Times New Roman"/>
          <w:sz w:val="24"/>
          <w:szCs w:val="24"/>
        </w:rPr>
        <w:t xml:space="preserve">Riiklik programm „Põllumajanduslikud rakendusuuringud </w:t>
      </w:r>
      <w:r w:rsidR="00B40036">
        <w:rPr>
          <w:rFonts w:ascii="Times New Roman" w:hAnsi="Times New Roman" w:cs="Times New Roman"/>
          <w:sz w:val="24"/>
          <w:szCs w:val="24"/>
        </w:rPr>
        <w:t>ja arendustegevus aastatel 2015–</w:t>
      </w:r>
      <w:r w:rsidRPr="009A1772">
        <w:rPr>
          <w:rFonts w:ascii="Times New Roman" w:hAnsi="Times New Roman" w:cs="Times New Roman"/>
          <w:sz w:val="24"/>
          <w:szCs w:val="24"/>
        </w:rPr>
        <w:t>2020</w:t>
      </w:r>
      <w:r w:rsidR="00436F15" w:rsidRPr="00436F15">
        <w:rPr>
          <w:rFonts w:ascii="Times New Roman" w:hAnsi="Times New Roman" w:cs="Times New Roman"/>
          <w:bCs/>
          <w:sz w:val="24"/>
          <w:szCs w:val="24"/>
        </w:rPr>
        <w:t>ˮ</w:t>
      </w:r>
      <w:r w:rsidR="00FC0F13">
        <w:rPr>
          <w:rFonts w:ascii="Times New Roman" w:hAnsi="Times New Roman" w:cs="Times New Roman"/>
          <w:sz w:val="24"/>
          <w:szCs w:val="24"/>
        </w:rPr>
        <w:t>;</w:t>
      </w:r>
    </w:p>
    <w:p w:rsidR="004458FD" w:rsidRPr="009A1772" w:rsidRDefault="004458FD" w:rsidP="005007F8">
      <w:pPr>
        <w:pStyle w:val="ListParagraph"/>
        <w:numPr>
          <w:ilvl w:val="0"/>
          <w:numId w:val="45"/>
        </w:numPr>
        <w:spacing w:line="276" w:lineRule="auto"/>
        <w:ind w:left="426" w:hanging="426"/>
        <w:jc w:val="both"/>
        <w:rPr>
          <w:rFonts w:ascii="Times New Roman" w:hAnsi="Times New Roman" w:cs="Times New Roman"/>
          <w:sz w:val="24"/>
          <w:szCs w:val="24"/>
        </w:rPr>
      </w:pPr>
      <w:r w:rsidRPr="009A1772">
        <w:rPr>
          <w:rFonts w:ascii="Times New Roman" w:hAnsi="Times New Roman" w:cs="Times New Roman"/>
          <w:sz w:val="24"/>
          <w:szCs w:val="24"/>
        </w:rPr>
        <w:t>Riiklik programm „So</w:t>
      </w:r>
      <w:r w:rsidR="00B40036">
        <w:rPr>
          <w:rFonts w:ascii="Times New Roman" w:hAnsi="Times New Roman" w:cs="Times New Roman"/>
          <w:sz w:val="24"/>
          <w:szCs w:val="24"/>
        </w:rPr>
        <w:t>rdiaretusprogramm aastatel 2009–</w:t>
      </w:r>
      <w:r w:rsidRPr="009A1772">
        <w:rPr>
          <w:rFonts w:ascii="Times New Roman" w:hAnsi="Times New Roman" w:cs="Times New Roman"/>
          <w:sz w:val="24"/>
          <w:szCs w:val="24"/>
        </w:rPr>
        <w:t>2019</w:t>
      </w:r>
      <w:r w:rsidR="00436F15" w:rsidRPr="00436F15">
        <w:rPr>
          <w:rFonts w:ascii="Times New Roman" w:hAnsi="Times New Roman" w:cs="Times New Roman"/>
          <w:bCs/>
          <w:sz w:val="24"/>
          <w:szCs w:val="24"/>
        </w:rPr>
        <w:t>ˮ</w:t>
      </w:r>
      <w:r w:rsidR="00FC0F13">
        <w:rPr>
          <w:rFonts w:ascii="Times New Roman" w:hAnsi="Times New Roman" w:cs="Times New Roman"/>
          <w:sz w:val="24"/>
          <w:szCs w:val="24"/>
        </w:rPr>
        <w:t>;</w:t>
      </w:r>
    </w:p>
    <w:p w:rsidR="004458FD" w:rsidRDefault="004458FD" w:rsidP="005007F8">
      <w:pPr>
        <w:pStyle w:val="ListParagraph"/>
        <w:numPr>
          <w:ilvl w:val="0"/>
          <w:numId w:val="45"/>
        </w:numPr>
        <w:spacing w:line="276" w:lineRule="auto"/>
        <w:ind w:left="426" w:hanging="426"/>
        <w:jc w:val="both"/>
        <w:rPr>
          <w:rFonts w:ascii="Times New Roman" w:hAnsi="Times New Roman" w:cs="Times New Roman"/>
          <w:sz w:val="24"/>
          <w:szCs w:val="24"/>
        </w:rPr>
      </w:pPr>
      <w:r w:rsidRPr="009A1772">
        <w:rPr>
          <w:rFonts w:ascii="Times New Roman" w:hAnsi="Times New Roman" w:cs="Times New Roman"/>
          <w:sz w:val="24"/>
          <w:szCs w:val="24"/>
        </w:rPr>
        <w:t>Horisont 2020</w:t>
      </w:r>
      <w:r w:rsidR="00BB4DA4" w:rsidRPr="009A1772">
        <w:rPr>
          <w:rFonts w:ascii="Times New Roman" w:hAnsi="Times New Roman" w:cs="Times New Roman"/>
          <w:sz w:val="24"/>
          <w:szCs w:val="24"/>
        </w:rPr>
        <w:t>;</w:t>
      </w:r>
    </w:p>
    <w:p w:rsidR="00A55EBB" w:rsidRPr="009A1772" w:rsidRDefault="00A55EBB" w:rsidP="005007F8">
      <w:pPr>
        <w:pStyle w:val="ListParagraph"/>
        <w:numPr>
          <w:ilvl w:val="0"/>
          <w:numId w:val="45"/>
        </w:numPr>
        <w:spacing w:line="276"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Eesti Infoühiskonna arengukava 2020;</w:t>
      </w:r>
    </w:p>
    <w:p w:rsidR="004458FD" w:rsidRPr="009A1772" w:rsidRDefault="00B7073D" w:rsidP="005007F8">
      <w:pPr>
        <w:pStyle w:val="ListParagraph"/>
        <w:numPr>
          <w:ilvl w:val="0"/>
          <w:numId w:val="45"/>
        </w:numPr>
        <w:spacing w:line="276" w:lineRule="auto"/>
        <w:ind w:left="426" w:hanging="426"/>
        <w:jc w:val="both"/>
        <w:rPr>
          <w:rFonts w:ascii="Times New Roman" w:hAnsi="Times New Roman" w:cs="Times New Roman"/>
          <w:sz w:val="24"/>
          <w:szCs w:val="24"/>
        </w:rPr>
      </w:pPr>
      <w:r>
        <w:rPr>
          <w:rFonts w:ascii="Times New Roman" w:hAnsi="Times New Roman" w:cs="Times New Roman"/>
          <w:sz w:val="24"/>
          <w:szCs w:val="24"/>
        </w:rPr>
        <w:t>m</w:t>
      </w:r>
      <w:r w:rsidR="004458FD" w:rsidRPr="009A1772">
        <w:rPr>
          <w:rFonts w:ascii="Times New Roman" w:hAnsi="Times New Roman" w:cs="Times New Roman"/>
          <w:sz w:val="24"/>
          <w:szCs w:val="24"/>
        </w:rPr>
        <w:t>uudest vahenditest rahastatavad projektid.</w:t>
      </w:r>
    </w:p>
    <w:p w:rsidR="00860F0E" w:rsidRPr="00E8405C" w:rsidRDefault="00860F0E" w:rsidP="00860F0E">
      <w:pPr>
        <w:spacing w:line="276" w:lineRule="auto"/>
        <w:jc w:val="both"/>
        <w:rPr>
          <w:rFonts w:ascii="Times New Roman" w:hAnsi="Times New Roman" w:cs="Times New Roman"/>
          <w:sz w:val="24"/>
          <w:szCs w:val="24"/>
        </w:rPr>
      </w:pPr>
    </w:p>
    <w:p w:rsidR="00F01A9E" w:rsidRDefault="008C6C26" w:rsidP="00860F0E">
      <w:pPr>
        <w:spacing w:line="276" w:lineRule="auto"/>
        <w:jc w:val="both"/>
        <w:rPr>
          <w:rFonts w:ascii="Times New Roman" w:hAnsi="Times New Roman" w:cs="Times New Roman"/>
          <w:sz w:val="24"/>
          <w:szCs w:val="24"/>
        </w:rPr>
      </w:pPr>
      <w:r w:rsidRPr="008C6C26">
        <w:rPr>
          <w:rFonts w:ascii="Times New Roman" w:hAnsi="Times New Roman" w:cs="Times New Roman"/>
          <w:sz w:val="24"/>
          <w:szCs w:val="24"/>
        </w:rPr>
        <w:t>„</w:t>
      </w:r>
      <w:r w:rsidR="009F6AC8" w:rsidRPr="008C6C26">
        <w:rPr>
          <w:rFonts w:ascii="Times New Roman" w:hAnsi="Times New Roman" w:cs="Times New Roman"/>
          <w:sz w:val="24"/>
          <w:szCs w:val="24"/>
        </w:rPr>
        <w:t>Eesti teraviljasektori arengukava aastateks 2014–2020</w:t>
      </w:r>
      <w:r w:rsidRPr="008C6C26">
        <w:rPr>
          <w:rFonts w:ascii="Times New Roman" w:hAnsi="Times New Roman" w:cs="Times New Roman"/>
          <w:bCs/>
          <w:sz w:val="24"/>
          <w:szCs w:val="24"/>
        </w:rPr>
        <w:t>ˮ</w:t>
      </w:r>
      <w:r w:rsidR="009F6AC8" w:rsidRPr="00E8405C">
        <w:rPr>
          <w:rFonts w:ascii="Times New Roman" w:hAnsi="Times New Roman" w:cs="Times New Roman"/>
          <w:sz w:val="24"/>
          <w:szCs w:val="24"/>
        </w:rPr>
        <w:t xml:space="preserve"> ellu viimiseks on koostatud </w:t>
      </w:r>
      <w:r w:rsidR="004458FD" w:rsidRPr="00E8405C">
        <w:rPr>
          <w:rFonts w:ascii="Times New Roman" w:hAnsi="Times New Roman" w:cs="Times New Roman"/>
          <w:sz w:val="24"/>
          <w:szCs w:val="24"/>
        </w:rPr>
        <w:t>seitsme</w:t>
      </w:r>
      <w:r w:rsidR="00860F0E" w:rsidRPr="00E8405C">
        <w:rPr>
          <w:rFonts w:ascii="Times New Roman" w:hAnsi="Times New Roman" w:cs="Times New Roman"/>
          <w:sz w:val="24"/>
          <w:szCs w:val="24"/>
        </w:rPr>
        <w:t xml:space="preserve"> </w:t>
      </w:r>
      <w:r w:rsidR="004458FD" w:rsidRPr="00E8405C">
        <w:rPr>
          <w:rFonts w:ascii="Times New Roman" w:hAnsi="Times New Roman" w:cs="Times New Roman"/>
          <w:sz w:val="24"/>
          <w:szCs w:val="24"/>
        </w:rPr>
        <w:t xml:space="preserve">aastane rakendusplaan, mis sisaldab </w:t>
      </w:r>
      <w:r w:rsidR="009F6AC8" w:rsidRPr="00E8405C">
        <w:rPr>
          <w:rFonts w:ascii="Times New Roman" w:hAnsi="Times New Roman" w:cs="Times New Roman"/>
          <w:sz w:val="24"/>
          <w:szCs w:val="24"/>
        </w:rPr>
        <w:t xml:space="preserve">rakendatavaid meetmeid, </w:t>
      </w:r>
      <w:r w:rsidR="004458FD" w:rsidRPr="00E8405C">
        <w:rPr>
          <w:rFonts w:ascii="Times New Roman" w:hAnsi="Times New Roman" w:cs="Times New Roman"/>
          <w:sz w:val="24"/>
          <w:szCs w:val="24"/>
        </w:rPr>
        <w:t>tegevusi</w:t>
      </w:r>
      <w:r w:rsidR="009F6AC8" w:rsidRPr="00E8405C">
        <w:rPr>
          <w:rFonts w:ascii="Times New Roman" w:hAnsi="Times New Roman" w:cs="Times New Roman"/>
          <w:sz w:val="24"/>
          <w:szCs w:val="24"/>
        </w:rPr>
        <w:t>, alategevusi</w:t>
      </w:r>
      <w:r w:rsidR="004458FD" w:rsidRPr="00E8405C">
        <w:rPr>
          <w:rFonts w:ascii="Times New Roman" w:hAnsi="Times New Roman" w:cs="Times New Roman"/>
          <w:sz w:val="24"/>
          <w:szCs w:val="24"/>
        </w:rPr>
        <w:t>,</w:t>
      </w:r>
      <w:r w:rsidR="009F6AC8" w:rsidRPr="00E8405C">
        <w:rPr>
          <w:rFonts w:ascii="Times New Roman" w:hAnsi="Times New Roman" w:cs="Times New Roman"/>
          <w:sz w:val="24"/>
          <w:szCs w:val="24"/>
        </w:rPr>
        <w:t xml:space="preserve"> võimalikke finantseerimise allikaid, sihtgruppi ning täitjaid. Rakendusplaan </w:t>
      </w:r>
      <w:r w:rsidR="004458FD" w:rsidRPr="00E8405C">
        <w:rPr>
          <w:rFonts w:ascii="Times New Roman" w:hAnsi="Times New Roman" w:cs="Times New Roman"/>
          <w:sz w:val="24"/>
          <w:szCs w:val="24"/>
        </w:rPr>
        <w:t>on indikatiivne ja mittes</w:t>
      </w:r>
      <w:r w:rsidR="007A42C3">
        <w:rPr>
          <w:rFonts w:ascii="Times New Roman" w:hAnsi="Times New Roman" w:cs="Times New Roman"/>
          <w:sz w:val="24"/>
          <w:szCs w:val="24"/>
        </w:rPr>
        <w:t xml:space="preserve">iduv riigieelarve, </w:t>
      </w:r>
      <w:r w:rsidR="00493D77">
        <w:rPr>
          <w:rFonts w:ascii="Times New Roman" w:hAnsi="Times New Roman" w:cs="Times New Roman"/>
          <w:sz w:val="24"/>
          <w:szCs w:val="24"/>
        </w:rPr>
        <w:t>MAKi</w:t>
      </w:r>
      <w:r w:rsidR="00CC59A2">
        <w:rPr>
          <w:rFonts w:ascii="Times New Roman" w:hAnsi="Times New Roman" w:cs="Times New Roman"/>
          <w:sz w:val="24"/>
          <w:szCs w:val="24"/>
        </w:rPr>
        <w:t xml:space="preserve"> ning</w:t>
      </w:r>
      <w:r w:rsidR="004458FD" w:rsidRPr="00E8405C">
        <w:rPr>
          <w:rFonts w:ascii="Times New Roman" w:hAnsi="Times New Roman" w:cs="Times New Roman"/>
          <w:sz w:val="24"/>
          <w:szCs w:val="24"/>
        </w:rPr>
        <w:t xml:space="preserve"> teiste </w:t>
      </w:r>
      <w:r w:rsidR="00CC59A2">
        <w:rPr>
          <w:rFonts w:ascii="Times New Roman" w:hAnsi="Times New Roman" w:cs="Times New Roman"/>
          <w:sz w:val="24"/>
          <w:szCs w:val="24"/>
        </w:rPr>
        <w:t xml:space="preserve">võimalike </w:t>
      </w:r>
      <w:r w:rsidR="004458FD" w:rsidRPr="00E8405C">
        <w:rPr>
          <w:rFonts w:ascii="Times New Roman" w:hAnsi="Times New Roman" w:cs="Times New Roman"/>
          <w:sz w:val="24"/>
          <w:szCs w:val="24"/>
        </w:rPr>
        <w:t>finantseerimisallikate suhtes. Arengukavas seatud eesmärkide saavutamise tagamiseks eraldatakse vahendid Põllumajandusministeeriumi tegevuskuludest vastavalt riigieelarve iga-aastasele võimalusele</w:t>
      </w:r>
      <w:r w:rsidR="004E2DE1">
        <w:rPr>
          <w:rFonts w:ascii="Times New Roman" w:hAnsi="Times New Roman" w:cs="Times New Roman"/>
          <w:sz w:val="24"/>
          <w:szCs w:val="24"/>
        </w:rPr>
        <w:t xml:space="preserve"> eraldi esitatutud taotluse alusel</w:t>
      </w:r>
      <w:r w:rsidR="004458FD" w:rsidRPr="00E8405C">
        <w:rPr>
          <w:rFonts w:ascii="Times New Roman" w:hAnsi="Times New Roman" w:cs="Times New Roman"/>
          <w:sz w:val="24"/>
          <w:szCs w:val="24"/>
        </w:rPr>
        <w:t>. Teatavad tegevused on elluviidavad administratiivselt igapäevase töö käigus ilma lisakuludeta</w:t>
      </w:r>
      <w:r w:rsidR="009F6AC8" w:rsidRPr="00E8405C">
        <w:rPr>
          <w:rFonts w:ascii="Times New Roman" w:hAnsi="Times New Roman" w:cs="Times New Roman"/>
          <w:sz w:val="24"/>
          <w:szCs w:val="24"/>
        </w:rPr>
        <w:t xml:space="preserve">. </w:t>
      </w:r>
      <w:r w:rsidR="00E8405C" w:rsidRPr="00E8405C">
        <w:rPr>
          <w:rFonts w:ascii="Times New Roman" w:hAnsi="Times New Roman" w:cs="Times New Roman"/>
          <w:sz w:val="24"/>
          <w:szCs w:val="24"/>
        </w:rPr>
        <w:t>Mitmete</w:t>
      </w:r>
      <w:r w:rsidR="009F6AC8" w:rsidRPr="00E8405C">
        <w:rPr>
          <w:rFonts w:ascii="Times New Roman" w:hAnsi="Times New Roman" w:cs="Times New Roman"/>
          <w:sz w:val="24"/>
          <w:szCs w:val="24"/>
        </w:rPr>
        <w:t xml:space="preserve"> rakendusplaanis sisalduvate</w:t>
      </w:r>
      <w:r w:rsidR="00E8405C" w:rsidRPr="00E8405C">
        <w:rPr>
          <w:rFonts w:ascii="Times New Roman" w:hAnsi="Times New Roman" w:cs="Times New Roman"/>
          <w:sz w:val="24"/>
          <w:szCs w:val="24"/>
        </w:rPr>
        <w:t xml:space="preserve"> meetmete elluviimiseks on vajalik läbi viia ka erainvesteeringuid.</w:t>
      </w:r>
      <w:r w:rsidR="00120572">
        <w:rPr>
          <w:rFonts w:ascii="Times New Roman" w:hAnsi="Times New Roman" w:cs="Times New Roman"/>
          <w:sz w:val="24"/>
          <w:szCs w:val="24"/>
        </w:rPr>
        <w:t xml:space="preserve"> Arengukava rakenduslik pool vaadatakse üle ja vajadusel korrigeeritakse vähemalt kord aastas.</w:t>
      </w:r>
    </w:p>
    <w:p w:rsidR="00F01A9E" w:rsidRDefault="00F01A9E">
      <w:pPr>
        <w:rPr>
          <w:rFonts w:ascii="Times New Roman" w:hAnsi="Times New Roman" w:cs="Times New Roman"/>
          <w:sz w:val="24"/>
          <w:szCs w:val="24"/>
        </w:rPr>
        <w:sectPr w:rsidR="00F01A9E" w:rsidSect="005D07F7">
          <w:headerReference w:type="even" r:id="rId11"/>
          <w:headerReference w:type="default" r:id="rId12"/>
          <w:footerReference w:type="even" r:id="rId13"/>
          <w:footerReference w:type="default" r:id="rId14"/>
          <w:headerReference w:type="first" r:id="rId15"/>
          <w:footerReference w:type="first" r:id="rId16"/>
          <w:pgSz w:w="11906" w:h="16838"/>
          <w:pgMar w:top="1134" w:right="851" w:bottom="1134" w:left="1418" w:header="709" w:footer="709" w:gutter="0"/>
          <w:pgNumType w:start="0"/>
          <w:cols w:space="708"/>
          <w:titlePg/>
          <w:docGrid w:linePitch="360"/>
        </w:sectPr>
      </w:pPr>
      <w:r>
        <w:rPr>
          <w:rFonts w:ascii="Times New Roman" w:hAnsi="Times New Roman" w:cs="Times New Roman"/>
          <w:sz w:val="24"/>
          <w:szCs w:val="24"/>
        </w:rPr>
        <w:br w:type="page"/>
      </w:r>
    </w:p>
    <w:p w:rsidR="00B40A65" w:rsidRPr="004458FD" w:rsidRDefault="00B40A65" w:rsidP="00365C45">
      <w:pPr>
        <w:pStyle w:val="Heading1"/>
        <w:numPr>
          <w:ilvl w:val="0"/>
          <w:numId w:val="44"/>
        </w:numPr>
        <w:spacing w:line="276" w:lineRule="auto"/>
        <w:ind w:left="709" w:hanging="709"/>
        <w:rPr>
          <w:rFonts w:ascii="Times New Roman" w:hAnsi="Times New Roman" w:cs="Times New Roman"/>
          <w:b w:val="0"/>
          <w:sz w:val="24"/>
          <w:szCs w:val="24"/>
        </w:rPr>
      </w:pPr>
      <w:bookmarkStart w:id="188" w:name="_Toc398896320"/>
      <w:bookmarkStart w:id="189" w:name="_Toc398896460"/>
      <w:bookmarkStart w:id="190" w:name="_Toc389128795"/>
      <w:bookmarkStart w:id="191" w:name="_Toc389131342"/>
      <w:bookmarkStart w:id="192" w:name="_Toc389223877"/>
      <w:bookmarkStart w:id="193" w:name="_Toc389223939"/>
      <w:bookmarkStart w:id="194" w:name="_Toc391908871"/>
      <w:bookmarkStart w:id="195" w:name="_Toc391991805"/>
      <w:bookmarkStart w:id="196" w:name="_Toc397593025"/>
      <w:bookmarkStart w:id="197" w:name="_Toc400972832"/>
      <w:r w:rsidRPr="00CC472E">
        <w:rPr>
          <w:rFonts w:ascii="Times New Roman" w:hAnsi="Times New Roman" w:cs="Times New Roman"/>
          <w:sz w:val="32"/>
          <w:szCs w:val="32"/>
        </w:rPr>
        <w:lastRenderedPageBreak/>
        <w:t>Teraviljasektori olukorra kirjeldu</w:t>
      </w:r>
      <w:r w:rsidR="002F4BBD" w:rsidRPr="00CC472E">
        <w:rPr>
          <w:rFonts w:ascii="Times New Roman" w:hAnsi="Times New Roman" w:cs="Times New Roman"/>
          <w:sz w:val="32"/>
          <w:szCs w:val="32"/>
        </w:rPr>
        <w:t>s ja analüüs</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rsidR="00793B1C" w:rsidRPr="00D373F0" w:rsidRDefault="00793B1C" w:rsidP="00617526">
      <w:pPr>
        <w:adjustRightInd w:val="0"/>
        <w:spacing w:line="276" w:lineRule="auto"/>
        <w:jc w:val="both"/>
        <w:rPr>
          <w:rFonts w:ascii="Times New Roman" w:hAnsi="Times New Roman" w:cs="Times New Roman"/>
          <w:sz w:val="24"/>
          <w:szCs w:val="24"/>
        </w:rPr>
      </w:pPr>
    </w:p>
    <w:p w:rsidR="00B40A65" w:rsidRPr="0024503A" w:rsidRDefault="00793B1C" w:rsidP="00542CF9">
      <w:pPr>
        <w:adjustRightInd w:val="0"/>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 xml:space="preserve">2010. aasta põllumajandusloenduse andmete alusel </w:t>
      </w:r>
      <w:r w:rsidR="003A7A3E">
        <w:rPr>
          <w:rFonts w:ascii="Times New Roman" w:hAnsi="Times New Roman" w:cs="Times New Roman"/>
          <w:sz w:val="24"/>
          <w:szCs w:val="24"/>
        </w:rPr>
        <w:t>on</w:t>
      </w:r>
      <w:r w:rsidRPr="0024503A">
        <w:rPr>
          <w:rFonts w:ascii="Times New Roman" w:hAnsi="Times New Roman" w:cs="Times New Roman"/>
          <w:sz w:val="24"/>
          <w:szCs w:val="24"/>
        </w:rPr>
        <w:t xml:space="preserve"> Eestis</w:t>
      </w:r>
      <w:r w:rsidR="00A16A88">
        <w:rPr>
          <w:rFonts w:ascii="Times New Roman" w:hAnsi="Times New Roman" w:cs="Times New Roman"/>
          <w:sz w:val="24"/>
          <w:szCs w:val="24"/>
        </w:rPr>
        <w:t xml:space="preserve"> kokku 19 613</w:t>
      </w:r>
      <w:r w:rsidRPr="0024503A">
        <w:rPr>
          <w:rFonts w:ascii="Times New Roman" w:hAnsi="Times New Roman" w:cs="Times New Roman"/>
          <w:sz w:val="24"/>
          <w:szCs w:val="24"/>
        </w:rPr>
        <w:t xml:space="preserve"> </w:t>
      </w:r>
      <w:r w:rsidR="0038775E">
        <w:rPr>
          <w:rFonts w:ascii="Times New Roman" w:hAnsi="Times New Roman" w:cs="Times New Roman"/>
          <w:sz w:val="24"/>
          <w:szCs w:val="24"/>
        </w:rPr>
        <w:t>põllumajanduslikku</w:t>
      </w:r>
      <w:r w:rsidR="00A16A88">
        <w:rPr>
          <w:rFonts w:ascii="Times New Roman" w:hAnsi="Times New Roman" w:cs="Times New Roman"/>
          <w:sz w:val="24"/>
          <w:szCs w:val="24"/>
        </w:rPr>
        <w:t xml:space="preserve"> </w:t>
      </w:r>
      <w:r w:rsidR="00A16A88" w:rsidRPr="0024503A">
        <w:rPr>
          <w:rFonts w:ascii="Times New Roman" w:hAnsi="Times New Roman" w:cs="Times New Roman"/>
          <w:sz w:val="24"/>
          <w:szCs w:val="24"/>
        </w:rPr>
        <w:t>majapidami</w:t>
      </w:r>
      <w:r w:rsidR="0038775E">
        <w:rPr>
          <w:rFonts w:ascii="Times New Roman" w:hAnsi="Times New Roman" w:cs="Times New Roman"/>
          <w:sz w:val="24"/>
          <w:szCs w:val="24"/>
        </w:rPr>
        <w:t>st</w:t>
      </w:r>
      <w:r w:rsidR="00A16A88">
        <w:rPr>
          <w:rStyle w:val="FootnoteReference"/>
          <w:rFonts w:ascii="Times New Roman" w:hAnsi="Times New Roman" w:cs="Times New Roman"/>
          <w:sz w:val="24"/>
          <w:szCs w:val="24"/>
        </w:rPr>
        <w:footnoteReference w:id="7"/>
      </w:r>
      <w:r w:rsidR="003A7A3E">
        <w:rPr>
          <w:rFonts w:ascii="Times New Roman" w:hAnsi="Times New Roman" w:cs="Times New Roman"/>
          <w:sz w:val="24"/>
          <w:szCs w:val="24"/>
        </w:rPr>
        <w:t>, millest</w:t>
      </w:r>
      <w:r w:rsidRPr="0024503A">
        <w:rPr>
          <w:rFonts w:ascii="Times New Roman" w:hAnsi="Times New Roman" w:cs="Times New Roman"/>
          <w:sz w:val="24"/>
          <w:szCs w:val="24"/>
        </w:rPr>
        <w:t xml:space="preserve"> põllukultuuride kasvatamise</w:t>
      </w:r>
      <w:r w:rsidR="009E39DD">
        <w:rPr>
          <w:rFonts w:ascii="Times New Roman" w:hAnsi="Times New Roman" w:cs="Times New Roman"/>
          <w:sz w:val="24"/>
          <w:szCs w:val="24"/>
        </w:rPr>
        <w:t>ga</w:t>
      </w:r>
      <w:r w:rsidR="003A7A3E">
        <w:rPr>
          <w:rFonts w:ascii="Times New Roman" w:hAnsi="Times New Roman" w:cs="Times New Roman"/>
          <w:sz w:val="24"/>
          <w:szCs w:val="24"/>
        </w:rPr>
        <w:t xml:space="preserve"> tegeleb 34% ja karjakasvatusega 24%</w:t>
      </w:r>
      <w:r w:rsidRPr="0024503A">
        <w:rPr>
          <w:rFonts w:ascii="Times New Roman" w:hAnsi="Times New Roman" w:cs="Times New Roman"/>
          <w:sz w:val="24"/>
          <w:szCs w:val="24"/>
        </w:rPr>
        <w:t>. Samad majapidamised annavad ka kõige rohkem standardtoodangut</w:t>
      </w:r>
      <w:r w:rsidRPr="0024503A">
        <w:rPr>
          <w:rStyle w:val="FootnoteReference"/>
          <w:rFonts w:ascii="Times New Roman" w:hAnsi="Times New Roman" w:cs="Times New Roman"/>
          <w:sz w:val="24"/>
          <w:szCs w:val="24"/>
        </w:rPr>
        <w:footnoteReference w:id="8"/>
      </w:r>
      <w:r w:rsidR="0038775E">
        <w:rPr>
          <w:rFonts w:ascii="Times New Roman" w:hAnsi="Times New Roman" w:cs="Times New Roman"/>
          <w:sz w:val="24"/>
          <w:szCs w:val="24"/>
        </w:rPr>
        <w:t xml:space="preserve"> </w:t>
      </w:r>
      <w:r w:rsidRPr="0024503A">
        <w:rPr>
          <w:rFonts w:ascii="Times New Roman" w:hAnsi="Times New Roman" w:cs="Times New Roman"/>
          <w:sz w:val="24"/>
          <w:szCs w:val="24"/>
        </w:rPr>
        <w:t>– karjakasvatajad 48% ja põllukultuuride kasvatajad 22% kogu standardtoodangust. Eestis on väga suur osatähtsus (65%) spetsialiseerunud majapidamistel, kes annavad 88% standardtoodangust. Segamajapidamisi on 17% ja nad annavad vaid 12% standardtoodangust. Liigitamata majapidamisi on 18%.</w:t>
      </w:r>
      <w:r w:rsidRPr="0024503A">
        <w:rPr>
          <w:rStyle w:val="FootnoteReference"/>
          <w:rFonts w:ascii="Times New Roman" w:hAnsi="Times New Roman" w:cs="Times New Roman"/>
          <w:sz w:val="24"/>
          <w:szCs w:val="24"/>
        </w:rPr>
        <w:footnoteReference w:id="9"/>
      </w:r>
    </w:p>
    <w:p w:rsidR="00B40A65" w:rsidRPr="0024503A" w:rsidRDefault="00B40A65" w:rsidP="00617526">
      <w:pPr>
        <w:adjustRightInd w:val="0"/>
        <w:spacing w:line="276" w:lineRule="auto"/>
        <w:jc w:val="both"/>
        <w:rPr>
          <w:rFonts w:ascii="Times New Roman" w:hAnsi="Times New Roman" w:cs="Times New Roman"/>
          <w:sz w:val="24"/>
          <w:szCs w:val="24"/>
        </w:rPr>
      </w:pPr>
    </w:p>
    <w:p w:rsidR="009D26AB" w:rsidRPr="0024503A" w:rsidRDefault="00CC472E" w:rsidP="00CC472E">
      <w:pPr>
        <w:pStyle w:val="Heading2"/>
        <w:spacing w:line="276" w:lineRule="auto"/>
        <w:jc w:val="both"/>
        <w:rPr>
          <w:rFonts w:ascii="Times New Roman" w:hAnsi="Times New Roman" w:cs="Times New Roman"/>
          <w:b/>
          <w:sz w:val="28"/>
          <w:szCs w:val="28"/>
        </w:rPr>
      </w:pPr>
      <w:bookmarkStart w:id="198" w:name="_Toc364425068"/>
      <w:bookmarkStart w:id="199" w:name="_Toc369618504"/>
      <w:bookmarkStart w:id="200" w:name="_Toc369619392"/>
      <w:bookmarkStart w:id="201" w:name="_Toc369776427"/>
      <w:bookmarkStart w:id="202" w:name="_Toc369776636"/>
      <w:bookmarkStart w:id="203" w:name="_Toc371429803"/>
      <w:bookmarkStart w:id="204" w:name="_Toc371430306"/>
      <w:bookmarkStart w:id="205" w:name="_Toc371952747"/>
      <w:bookmarkStart w:id="206" w:name="_Toc372023090"/>
      <w:bookmarkStart w:id="207" w:name="_Toc372294685"/>
      <w:bookmarkStart w:id="208" w:name="_Toc374457358"/>
      <w:bookmarkStart w:id="209" w:name="_Toc378697809"/>
      <w:bookmarkStart w:id="210" w:name="_Toc378773256"/>
      <w:bookmarkStart w:id="211" w:name="_Toc379197437"/>
      <w:bookmarkStart w:id="212" w:name="_Toc379205475"/>
      <w:bookmarkStart w:id="213" w:name="_Toc379268171"/>
      <w:bookmarkStart w:id="214" w:name="_Toc379296746"/>
      <w:bookmarkStart w:id="215" w:name="_Toc379373455"/>
      <w:bookmarkStart w:id="216" w:name="_Toc379799839"/>
      <w:bookmarkStart w:id="217" w:name="_Toc381633581"/>
      <w:bookmarkStart w:id="218" w:name="_Toc381633726"/>
      <w:bookmarkStart w:id="219" w:name="_Toc384050894"/>
      <w:bookmarkStart w:id="220" w:name="_Toc384052598"/>
      <w:bookmarkStart w:id="221" w:name="_Toc384283941"/>
      <w:bookmarkStart w:id="222" w:name="_Toc384284052"/>
      <w:bookmarkStart w:id="223" w:name="_Toc384386246"/>
      <w:bookmarkStart w:id="224" w:name="_Toc384386458"/>
      <w:bookmarkStart w:id="225" w:name="_Toc384392324"/>
      <w:bookmarkStart w:id="226" w:name="_Toc385253755"/>
      <w:bookmarkStart w:id="227" w:name="_Toc385335127"/>
      <w:bookmarkStart w:id="228" w:name="_Toc389128796"/>
      <w:bookmarkStart w:id="229" w:name="_Toc389131343"/>
      <w:bookmarkStart w:id="230" w:name="_Toc389223878"/>
      <w:bookmarkStart w:id="231" w:name="_Toc389223940"/>
      <w:bookmarkStart w:id="232" w:name="_Toc391908872"/>
      <w:bookmarkStart w:id="233" w:name="_Toc391991806"/>
      <w:bookmarkStart w:id="234" w:name="_Toc397593026"/>
      <w:bookmarkStart w:id="235" w:name="_Toc398896321"/>
      <w:bookmarkStart w:id="236" w:name="_Toc398896461"/>
      <w:bookmarkStart w:id="237" w:name="_Toc400972833"/>
      <w:r>
        <w:rPr>
          <w:rFonts w:ascii="Times New Roman" w:hAnsi="Times New Roman" w:cs="Times New Roman"/>
          <w:b/>
          <w:sz w:val="28"/>
          <w:szCs w:val="28"/>
        </w:rPr>
        <w:t xml:space="preserve">7.1. </w:t>
      </w:r>
      <w:r w:rsidR="009D26AB" w:rsidRPr="0024503A">
        <w:rPr>
          <w:rFonts w:ascii="Times New Roman" w:hAnsi="Times New Roman" w:cs="Times New Roman"/>
          <w:b/>
          <w:sz w:val="28"/>
          <w:szCs w:val="28"/>
        </w:rPr>
        <w:t>Teravilja tootmine</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rsidR="00553A20" w:rsidRPr="0024503A" w:rsidRDefault="00553A20" w:rsidP="00617526">
      <w:pPr>
        <w:pStyle w:val="BodyText"/>
        <w:spacing w:line="276" w:lineRule="auto"/>
        <w:rPr>
          <w:rFonts w:ascii="Times New Roman" w:hAnsi="Times New Roman" w:cs="Times New Roman"/>
          <w:sz w:val="24"/>
          <w:szCs w:val="24"/>
        </w:rPr>
      </w:pPr>
    </w:p>
    <w:p w:rsidR="005D5165" w:rsidRPr="0024503A" w:rsidRDefault="00B55DD1" w:rsidP="00F36A97">
      <w:pPr>
        <w:pStyle w:val="IntenseQuote"/>
        <w:spacing w:line="276" w:lineRule="auto"/>
        <w:ind w:left="0" w:right="-2"/>
        <w:rPr>
          <w:rStyle w:val="IntenseReference"/>
          <w:rFonts w:ascii="Times New Roman" w:hAnsi="Times New Roman" w:cs="Times New Roman"/>
          <w:sz w:val="24"/>
          <w:szCs w:val="24"/>
        </w:rPr>
      </w:pPr>
      <w:r>
        <w:rPr>
          <w:rStyle w:val="IntenseReference"/>
          <w:rFonts w:ascii="Times New Roman" w:hAnsi="Times New Roman" w:cs="Times New Roman"/>
          <w:sz w:val="24"/>
          <w:szCs w:val="24"/>
        </w:rPr>
        <w:t>Peamisteks</w:t>
      </w:r>
      <w:r w:rsidR="003F50CC">
        <w:rPr>
          <w:rStyle w:val="IntenseReference"/>
          <w:rFonts w:ascii="Times New Roman" w:hAnsi="Times New Roman" w:cs="Times New Roman"/>
          <w:sz w:val="24"/>
          <w:szCs w:val="24"/>
        </w:rPr>
        <w:t xml:space="preserve"> probleemideks teravilja, õlI</w:t>
      </w:r>
      <w:r w:rsidR="005D5165" w:rsidRPr="0024503A">
        <w:rPr>
          <w:rStyle w:val="IntenseReference"/>
          <w:rFonts w:ascii="Times New Roman" w:hAnsi="Times New Roman" w:cs="Times New Roman"/>
          <w:sz w:val="24"/>
          <w:szCs w:val="24"/>
        </w:rPr>
        <w:t xml:space="preserve">kultuuride ja kaunviljade tootmisel Eestis on </w:t>
      </w:r>
      <w:r w:rsidR="00D01C7C">
        <w:rPr>
          <w:rStyle w:val="IntenseReference"/>
          <w:rFonts w:ascii="Times New Roman" w:hAnsi="Times New Roman" w:cs="Times New Roman"/>
          <w:sz w:val="24"/>
          <w:szCs w:val="24"/>
        </w:rPr>
        <w:t xml:space="preserve">JÄTKUVALT Üks MADALAMAID </w:t>
      </w:r>
      <w:r w:rsidR="005D5165" w:rsidRPr="0024503A">
        <w:rPr>
          <w:rStyle w:val="IntenseReference"/>
          <w:rFonts w:ascii="Times New Roman" w:hAnsi="Times New Roman" w:cs="Times New Roman"/>
          <w:sz w:val="24"/>
          <w:szCs w:val="24"/>
        </w:rPr>
        <w:t>keskmi</w:t>
      </w:r>
      <w:r w:rsidR="00D01C7C">
        <w:rPr>
          <w:rStyle w:val="IntenseReference"/>
          <w:rFonts w:ascii="Times New Roman" w:hAnsi="Times New Roman" w:cs="Times New Roman"/>
          <w:sz w:val="24"/>
          <w:szCs w:val="24"/>
        </w:rPr>
        <w:t>si</w:t>
      </w:r>
      <w:r w:rsidR="005D5165" w:rsidRPr="0024503A">
        <w:rPr>
          <w:rStyle w:val="IntenseReference"/>
          <w:rFonts w:ascii="Times New Roman" w:hAnsi="Times New Roman" w:cs="Times New Roman"/>
          <w:sz w:val="24"/>
          <w:szCs w:val="24"/>
        </w:rPr>
        <w:t xml:space="preserve"> saagikus</w:t>
      </w:r>
      <w:r w:rsidR="00D01C7C">
        <w:rPr>
          <w:rStyle w:val="IntenseReference"/>
          <w:rFonts w:ascii="Times New Roman" w:hAnsi="Times New Roman" w:cs="Times New Roman"/>
          <w:sz w:val="24"/>
          <w:szCs w:val="24"/>
        </w:rPr>
        <w:t>I EUROOPA LIIDUS</w:t>
      </w:r>
      <w:r w:rsidR="005D5165" w:rsidRPr="0024503A">
        <w:rPr>
          <w:rStyle w:val="IntenseReference"/>
          <w:rFonts w:ascii="Times New Roman" w:hAnsi="Times New Roman" w:cs="Times New Roman"/>
          <w:sz w:val="24"/>
          <w:szCs w:val="24"/>
        </w:rPr>
        <w:t>, toiduvilja kvaliteedile vastava too</w:t>
      </w:r>
      <w:r w:rsidR="00CC3FC7">
        <w:rPr>
          <w:rStyle w:val="IntenseReference"/>
          <w:rFonts w:ascii="Times New Roman" w:hAnsi="Times New Roman" w:cs="Times New Roman"/>
          <w:sz w:val="24"/>
          <w:szCs w:val="24"/>
        </w:rPr>
        <w:t>dangu vähesus</w:t>
      </w:r>
      <w:r w:rsidR="005D5165" w:rsidRPr="0024503A">
        <w:rPr>
          <w:rStyle w:val="IntenseReference"/>
          <w:rFonts w:ascii="Times New Roman" w:hAnsi="Times New Roman" w:cs="Times New Roman"/>
          <w:sz w:val="24"/>
          <w:szCs w:val="24"/>
        </w:rPr>
        <w:t>, mahetootmise madal tehnoloogiline tase, suur  rendimaade osakaal ning paiguti maa madal boniteet.</w:t>
      </w:r>
    </w:p>
    <w:p w:rsidR="005D5165" w:rsidRPr="0024503A" w:rsidRDefault="005D5165" w:rsidP="00617526">
      <w:pPr>
        <w:pStyle w:val="BodyText"/>
        <w:spacing w:line="276" w:lineRule="auto"/>
        <w:rPr>
          <w:rFonts w:ascii="Times New Roman" w:hAnsi="Times New Roman" w:cs="Times New Roman"/>
          <w:sz w:val="24"/>
          <w:szCs w:val="24"/>
        </w:rPr>
      </w:pPr>
    </w:p>
    <w:p w:rsidR="00586824" w:rsidRDefault="00B40A65" w:rsidP="00617526">
      <w:pPr>
        <w:pStyle w:val="BodyText"/>
        <w:spacing w:line="276" w:lineRule="auto"/>
        <w:rPr>
          <w:rFonts w:ascii="Times New Roman" w:hAnsi="Times New Roman" w:cs="Times New Roman"/>
          <w:sz w:val="24"/>
          <w:szCs w:val="24"/>
        </w:rPr>
      </w:pPr>
      <w:r w:rsidRPr="0024503A">
        <w:rPr>
          <w:rFonts w:ascii="Times New Roman" w:hAnsi="Times New Roman" w:cs="Times New Roman"/>
          <w:sz w:val="24"/>
          <w:szCs w:val="24"/>
        </w:rPr>
        <w:t>Statistikaameti</w:t>
      </w:r>
      <w:r w:rsidR="00F94903">
        <w:rPr>
          <w:rFonts w:ascii="Times New Roman" w:hAnsi="Times New Roman" w:cs="Times New Roman"/>
          <w:sz w:val="24"/>
          <w:szCs w:val="24"/>
        </w:rPr>
        <w:t xml:space="preserve"> 2012. aasta</w:t>
      </w:r>
      <w:r w:rsidRPr="0024503A">
        <w:rPr>
          <w:rFonts w:ascii="Times New Roman" w:hAnsi="Times New Roman" w:cs="Times New Roman"/>
          <w:sz w:val="24"/>
          <w:szCs w:val="24"/>
        </w:rPr>
        <w:t xml:space="preserve"> andmetel Eestis kasutuses olevast kogu põllumajandusmaast</w:t>
      </w:r>
      <w:r w:rsidR="00F94903">
        <w:rPr>
          <w:rStyle w:val="FootnoteReference"/>
          <w:rFonts w:ascii="Times New Roman" w:hAnsi="Times New Roman" w:cs="Times New Roman"/>
          <w:sz w:val="24"/>
          <w:szCs w:val="24"/>
        </w:rPr>
        <w:footnoteReference w:id="10"/>
      </w:r>
      <w:r w:rsidRPr="0024503A">
        <w:rPr>
          <w:rFonts w:ascii="Times New Roman" w:hAnsi="Times New Roman" w:cs="Times New Roman"/>
          <w:sz w:val="24"/>
          <w:szCs w:val="24"/>
        </w:rPr>
        <w:t xml:space="preserve"> </w:t>
      </w:r>
      <w:r w:rsidRPr="0024503A">
        <w:rPr>
          <w:rFonts w:ascii="Times New Roman" w:hAnsi="Times New Roman" w:cs="Times New Roman"/>
          <w:color w:val="000000"/>
          <w:sz w:val="24"/>
          <w:szCs w:val="24"/>
        </w:rPr>
        <w:t xml:space="preserve"> moodustab</w:t>
      </w:r>
      <w:r w:rsidRPr="0024503A">
        <w:rPr>
          <w:rFonts w:ascii="Times New Roman" w:hAnsi="Times New Roman" w:cs="Times New Roman"/>
          <w:sz w:val="24"/>
          <w:szCs w:val="24"/>
        </w:rPr>
        <w:t xml:space="preserve"> teravilja kasvupind</w:t>
      </w:r>
      <w:r w:rsidR="00EE634F" w:rsidRPr="0024503A">
        <w:rPr>
          <w:rFonts w:ascii="Times New Roman" w:hAnsi="Times New Roman" w:cs="Times New Roman"/>
          <w:sz w:val="24"/>
          <w:szCs w:val="24"/>
        </w:rPr>
        <w:t xml:space="preserve"> </w:t>
      </w:r>
      <w:r w:rsidRPr="0024503A">
        <w:rPr>
          <w:rFonts w:ascii="Times New Roman" w:hAnsi="Times New Roman" w:cs="Times New Roman"/>
          <w:sz w:val="24"/>
          <w:szCs w:val="24"/>
        </w:rPr>
        <w:t>30%</w:t>
      </w:r>
      <w:r w:rsidR="00427F0B" w:rsidRPr="0024503A">
        <w:rPr>
          <w:rFonts w:ascii="Times New Roman" w:hAnsi="Times New Roman" w:cs="Times New Roman"/>
          <w:sz w:val="24"/>
          <w:szCs w:val="24"/>
        </w:rPr>
        <w:t>. 2013</w:t>
      </w:r>
      <w:r w:rsidRPr="0024503A">
        <w:rPr>
          <w:rFonts w:ascii="Times New Roman" w:hAnsi="Times New Roman" w:cs="Times New Roman"/>
          <w:sz w:val="24"/>
          <w:szCs w:val="24"/>
        </w:rPr>
        <w:t>. aasta</w:t>
      </w:r>
      <w:r w:rsidR="00F94903">
        <w:rPr>
          <w:rFonts w:ascii="Times New Roman" w:hAnsi="Times New Roman" w:cs="Times New Roman"/>
          <w:sz w:val="24"/>
          <w:szCs w:val="24"/>
        </w:rPr>
        <w:t xml:space="preserve"> Statistikaameti</w:t>
      </w:r>
      <w:r w:rsidRPr="0024503A">
        <w:rPr>
          <w:rFonts w:ascii="Times New Roman" w:hAnsi="Times New Roman" w:cs="Times New Roman"/>
          <w:sz w:val="24"/>
          <w:szCs w:val="24"/>
        </w:rPr>
        <w:t xml:space="preserve"> andmetel moodustas teravilja kasvupind p</w:t>
      </w:r>
      <w:r w:rsidR="00427F0B" w:rsidRPr="0024503A">
        <w:rPr>
          <w:rFonts w:ascii="Times New Roman" w:hAnsi="Times New Roman" w:cs="Times New Roman"/>
          <w:sz w:val="24"/>
          <w:szCs w:val="24"/>
        </w:rPr>
        <w:t>õllukultuuride kasvupinnast 52</w:t>
      </w:r>
      <w:r w:rsidRPr="0024503A">
        <w:rPr>
          <w:rFonts w:ascii="Times New Roman" w:hAnsi="Times New Roman" w:cs="Times New Roman"/>
          <w:sz w:val="24"/>
          <w:szCs w:val="24"/>
        </w:rPr>
        <w:t>%. J</w:t>
      </w:r>
      <w:r w:rsidR="009E2881" w:rsidRPr="0024503A">
        <w:rPr>
          <w:rFonts w:ascii="Times New Roman" w:hAnsi="Times New Roman" w:cs="Times New Roman"/>
          <w:sz w:val="24"/>
          <w:szCs w:val="24"/>
        </w:rPr>
        <w:t>ärgnesid söödakultuurid 29</w:t>
      </w:r>
      <w:r w:rsidRPr="0024503A">
        <w:rPr>
          <w:rFonts w:ascii="Times New Roman" w:hAnsi="Times New Roman" w:cs="Times New Roman"/>
          <w:sz w:val="24"/>
          <w:szCs w:val="24"/>
        </w:rPr>
        <w:t>% ning tehnilised kul</w:t>
      </w:r>
      <w:r w:rsidR="009E2881" w:rsidRPr="0024503A">
        <w:rPr>
          <w:rFonts w:ascii="Times New Roman" w:hAnsi="Times New Roman" w:cs="Times New Roman"/>
          <w:sz w:val="24"/>
          <w:szCs w:val="24"/>
        </w:rPr>
        <w:t>tuurid 15</w:t>
      </w:r>
      <w:r w:rsidRPr="0024503A">
        <w:rPr>
          <w:rFonts w:ascii="Times New Roman" w:hAnsi="Times New Roman" w:cs="Times New Roman"/>
          <w:sz w:val="24"/>
          <w:szCs w:val="24"/>
        </w:rPr>
        <w:t>%, kartul, köögivili ja kaunvili moodustasid kokku 4% põllukultuuride kasvupinnast. Teravilja kogu kasvupind on aastate lõikes olnud suhteliselt stabiilne</w:t>
      </w:r>
      <w:r w:rsidR="004E244A" w:rsidRPr="0024503A">
        <w:rPr>
          <w:rFonts w:ascii="Times New Roman" w:hAnsi="Times New Roman" w:cs="Times New Roman"/>
          <w:sz w:val="24"/>
          <w:szCs w:val="24"/>
        </w:rPr>
        <w:t xml:space="preserve"> (joonis 1)</w:t>
      </w:r>
      <w:r w:rsidRPr="0024503A">
        <w:rPr>
          <w:rFonts w:ascii="Times New Roman" w:hAnsi="Times New Roman" w:cs="Times New Roman"/>
          <w:sz w:val="24"/>
          <w:szCs w:val="24"/>
        </w:rPr>
        <w:t>, jäädes keskmiselt 300 tuhande hektari piirimaale.</w:t>
      </w:r>
      <w:r w:rsidRPr="0024503A" w:rsidDel="000D0C4A">
        <w:rPr>
          <w:rFonts w:ascii="Times New Roman" w:hAnsi="Times New Roman" w:cs="Times New Roman"/>
          <w:sz w:val="24"/>
          <w:szCs w:val="24"/>
        </w:rPr>
        <w:t xml:space="preserve"> </w:t>
      </w:r>
    </w:p>
    <w:p w:rsidR="00586824" w:rsidRPr="00586824" w:rsidRDefault="00586824" w:rsidP="00586824"/>
    <w:p w:rsidR="00586824" w:rsidRPr="00586824" w:rsidRDefault="00586824" w:rsidP="00586824"/>
    <w:p w:rsidR="00586824" w:rsidRDefault="00586824" w:rsidP="00586824"/>
    <w:p w:rsidR="00867E64" w:rsidRPr="00586824" w:rsidRDefault="00586824" w:rsidP="00586824">
      <w:pPr>
        <w:tabs>
          <w:tab w:val="left" w:pos="3225"/>
        </w:tabs>
      </w:pPr>
      <w:r>
        <w:tab/>
      </w:r>
    </w:p>
    <w:p w:rsidR="00867E64" w:rsidRPr="00D549C9" w:rsidRDefault="00867E64" w:rsidP="00617526">
      <w:pPr>
        <w:pStyle w:val="BodyText"/>
        <w:spacing w:line="276" w:lineRule="auto"/>
        <w:rPr>
          <w:sz w:val="24"/>
          <w:szCs w:val="24"/>
        </w:rPr>
      </w:pPr>
      <w:r w:rsidRPr="00142328">
        <w:rPr>
          <w:noProof/>
          <w:sz w:val="24"/>
          <w:szCs w:val="24"/>
        </w:rPr>
        <w:lastRenderedPageBreak/>
        <w:drawing>
          <wp:inline distT="0" distB="0" distL="0" distR="0" wp14:anchorId="32905572" wp14:editId="662AD69F">
            <wp:extent cx="6105525" cy="2524125"/>
            <wp:effectExtent l="0" t="0" r="9525"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67E64" w:rsidRPr="00705327" w:rsidRDefault="00867E64" w:rsidP="00617526">
      <w:pPr>
        <w:pStyle w:val="BodyText"/>
        <w:spacing w:line="276" w:lineRule="auto"/>
        <w:rPr>
          <w:rFonts w:ascii="Arial" w:hAnsi="Arial" w:cs="Arial"/>
        </w:rPr>
      </w:pPr>
      <w:r w:rsidRPr="00705327">
        <w:rPr>
          <w:rFonts w:ascii="Arial" w:hAnsi="Arial" w:cs="Arial"/>
        </w:rPr>
        <w:t>Allikas: SA, PM arvutused</w:t>
      </w:r>
    </w:p>
    <w:p w:rsidR="00867E64" w:rsidRPr="006977B6" w:rsidRDefault="00867E64" w:rsidP="00617526">
      <w:pPr>
        <w:pStyle w:val="BodyText"/>
        <w:spacing w:line="276" w:lineRule="auto"/>
        <w:rPr>
          <w:rFonts w:ascii="Times New Roman" w:hAnsi="Times New Roman" w:cs="Times New Roman"/>
          <w:b/>
          <w:sz w:val="24"/>
          <w:szCs w:val="24"/>
        </w:rPr>
      </w:pPr>
      <w:r w:rsidRPr="006977B6">
        <w:rPr>
          <w:rFonts w:ascii="Times New Roman" w:hAnsi="Times New Roman" w:cs="Times New Roman"/>
          <w:b/>
          <w:sz w:val="24"/>
          <w:szCs w:val="24"/>
        </w:rPr>
        <w:t>Joonis 1. Teravilja ja rapsi kasvupind Eestis aastatel 2004 – 2013</w:t>
      </w:r>
    </w:p>
    <w:p w:rsidR="00867E64" w:rsidRPr="006977B6" w:rsidRDefault="00867E64" w:rsidP="00617526">
      <w:pPr>
        <w:pStyle w:val="BodyText"/>
        <w:spacing w:line="276" w:lineRule="auto"/>
        <w:rPr>
          <w:rFonts w:ascii="Times New Roman" w:hAnsi="Times New Roman" w:cs="Times New Roman"/>
          <w:sz w:val="24"/>
          <w:szCs w:val="24"/>
        </w:rPr>
      </w:pPr>
    </w:p>
    <w:p w:rsidR="00B40A65" w:rsidRPr="0024503A" w:rsidRDefault="008D13FA" w:rsidP="00617526">
      <w:pPr>
        <w:pStyle w:val="BodyText"/>
        <w:spacing w:line="276" w:lineRule="auto"/>
        <w:rPr>
          <w:rFonts w:ascii="Times New Roman" w:hAnsi="Times New Roman" w:cs="Times New Roman"/>
          <w:sz w:val="24"/>
          <w:szCs w:val="24"/>
        </w:rPr>
      </w:pPr>
      <w:r w:rsidRPr="0024503A">
        <w:rPr>
          <w:rFonts w:ascii="Times New Roman" w:hAnsi="Times New Roman" w:cs="Times New Roman"/>
          <w:sz w:val="24"/>
          <w:szCs w:val="24"/>
        </w:rPr>
        <w:t>Küll on aga muutunud suvi- ja taliviljade vahekord, millest viimaste osakaal on hakanud kogu teravilja kasvupinnas suurenema (v.a. 2013</w:t>
      </w:r>
      <w:r w:rsidR="007A4CE6">
        <w:rPr>
          <w:rFonts w:ascii="Times New Roman" w:hAnsi="Times New Roman" w:cs="Times New Roman"/>
          <w:sz w:val="24"/>
          <w:szCs w:val="24"/>
        </w:rPr>
        <w:t>.</w:t>
      </w:r>
      <w:r w:rsidRPr="0024503A">
        <w:rPr>
          <w:rFonts w:ascii="Times New Roman" w:hAnsi="Times New Roman" w:cs="Times New Roman"/>
          <w:sz w:val="24"/>
          <w:szCs w:val="24"/>
        </w:rPr>
        <w:t xml:space="preserve"> aasta</w:t>
      </w:r>
      <w:r w:rsidR="00867E64" w:rsidRPr="0024503A">
        <w:rPr>
          <w:rFonts w:ascii="Times New Roman" w:hAnsi="Times New Roman" w:cs="Times New Roman"/>
          <w:sz w:val="24"/>
          <w:szCs w:val="24"/>
        </w:rPr>
        <w:t>l</w:t>
      </w:r>
      <w:r w:rsidRPr="0024503A">
        <w:rPr>
          <w:rFonts w:ascii="Times New Roman" w:hAnsi="Times New Roman" w:cs="Times New Roman"/>
          <w:sz w:val="24"/>
          <w:szCs w:val="24"/>
        </w:rPr>
        <w:t>, kui vihmase 2012. aasta sügise tõttu oli taliviljade külv raskendatud)</w:t>
      </w:r>
      <w:r w:rsidR="00741F41" w:rsidRPr="0024503A">
        <w:rPr>
          <w:rFonts w:ascii="Times New Roman" w:hAnsi="Times New Roman" w:cs="Times New Roman"/>
          <w:sz w:val="24"/>
          <w:szCs w:val="24"/>
        </w:rPr>
        <w:t xml:space="preserve">. </w:t>
      </w:r>
      <w:r w:rsidR="00100FC9" w:rsidRPr="008E239E">
        <w:rPr>
          <w:rFonts w:ascii="Times New Roman" w:hAnsi="Times New Roman" w:cs="Times New Roman"/>
          <w:sz w:val="24"/>
          <w:szCs w:val="24"/>
        </w:rPr>
        <w:t>Sarnaselt taliviljadele näitab ka talirapsi kasvupind kasvutendentsi. Seega on taliviljade kasvatamine Eestis laienenud, mille peamisteks põhjusteks on suurem saagipotentsiaal ja külvikordade vaheldumine hajutades kevad- ja sügistöid.</w:t>
      </w:r>
      <w:r w:rsidR="00100FC9" w:rsidRPr="00D549C9">
        <w:rPr>
          <w:sz w:val="24"/>
          <w:szCs w:val="24"/>
        </w:rPr>
        <w:t xml:space="preserve"> </w:t>
      </w:r>
      <w:r w:rsidR="00F561E2" w:rsidRPr="0024503A">
        <w:rPr>
          <w:rFonts w:ascii="Times New Roman" w:hAnsi="Times New Roman" w:cs="Times New Roman"/>
          <w:sz w:val="24"/>
          <w:szCs w:val="24"/>
        </w:rPr>
        <w:t xml:space="preserve">Eestis kasvatatakse teravilja põhiliselt söödaviljaks kohalikule loomakasvatusele. </w:t>
      </w:r>
      <w:r w:rsidR="007B1284" w:rsidRPr="0024503A">
        <w:rPr>
          <w:rFonts w:ascii="Times New Roman" w:hAnsi="Times New Roman" w:cs="Times New Roman"/>
          <w:sz w:val="24"/>
          <w:szCs w:val="24"/>
        </w:rPr>
        <w:t>Võrreldes 2004. aastaga on kõige rohkem (</w:t>
      </w:r>
      <w:r w:rsidR="0065613C">
        <w:rPr>
          <w:rFonts w:ascii="Times New Roman" w:hAnsi="Times New Roman" w:cs="Times New Roman"/>
          <w:sz w:val="24"/>
          <w:szCs w:val="24"/>
        </w:rPr>
        <w:t>59</w:t>
      </w:r>
      <w:r w:rsidR="00B40A65" w:rsidRPr="0024503A">
        <w:rPr>
          <w:rFonts w:ascii="Times New Roman" w:hAnsi="Times New Roman" w:cs="Times New Roman"/>
          <w:sz w:val="24"/>
          <w:szCs w:val="24"/>
        </w:rPr>
        <w:t>%)</w:t>
      </w:r>
      <w:r w:rsidR="0065613C">
        <w:rPr>
          <w:rFonts w:ascii="Times New Roman" w:hAnsi="Times New Roman" w:cs="Times New Roman"/>
          <w:sz w:val="24"/>
          <w:szCs w:val="24"/>
        </w:rPr>
        <w:t xml:space="preserve"> 2013. aastaks</w:t>
      </w:r>
      <w:r w:rsidR="00B40A65" w:rsidRPr="0024503A">
        <w:rPr>
          <w:rFonts w:ascii="Times New Roman" w:hAnsi="Times New Roman" w:cs="Times New Roman"/>
          <w:sz w:val="24"/>
          <w:szCs w:val="24"/>
        </w:rPr>
        <w:t xml:space="preserve"> suurenenud nisu kasvupind, samal ajal teiste teraviljade kasvupind on </w:t>
      </w:r>
      <w:r w:rsidR="007B1284" w:rsidRPr="0024503A">
        <w:rPr>
          <w:rFonts w:ascii="Times New Roman" w:hAnsi="Times New Roman" w:cs="Times New Roman"/>
          <w:sz w:val="24"/>
          <w:szCs w:val="24"/>
        </w:rPr>
        <w:t>jäänud samaks</w:t>
      </w:r>
      <w:r w:rsidR="00B40A65" w:rsidRPr="0024503A">
        <w:rPr>
          <w:rFonts w:ascii="Times New Roman" w:hAnsi="Times New Roman" w:cs="Times New Roman"/>
          <w:sz w:val="24"/>
          <w:szCs w:val="24"/>
        </w:rPr>
        <w:t>.</w:t>
      </w:r>
      <w:r w:rsidR="007B1284" w:rsidRPr="0024503A">
        <w:rPr>
          <w:rFonts w:ascii="Times New Roman" w:hAnsi="Times New Roman" w:cs="Times New Roman"/>
          <w:sz w:val="24"/>
          <w:szCs w:val="24"/>
        </w:rPr>
        <w:t xml:space="preserve"> Taliteravilja kasvupind on 2004</w:t>
      </w:r>
      <w:r w:rsidR="00B40A65" w:rsidRPr="0024503A">
        <w:rPr>
          <w:rFonts w:ascii="Times New Roman" w:hAnsi="Times New Roman" w:cs="Times New Roman"/>
          <w:sz w:val="24"/>
          <w:szCs w:val="24"/>
        </w:rPr>
        <w:t xml:space="preserve">. aastaga võrreldes suurenenud </w:t>
      </w:r>
      <w:r w:rsidR="00851DD6">
        <w:rPr>
          <w:rFonts w:ascii="Times New Roman" w:hAnsi="Times New Roman" w:cs="Times New Roman"/>
          <w:sz w:val="24"/>
          <w:szCs w:val="24"/>
        </w:rPr>
        <w:t>2013. aastaks</w:t>
      </w:r>
      <w:r w:rsidR="00CD3864" w:rsidRPr="0024503A">
        <w:rPr>
          <w:rFonts w:ascii="Times New Roman" w:hAnsi="Times New Roman" w:cs="Times New Roman"/>
          <w:sz w:val="24"/>
          <w:szCs w:val="24"/>
        </w:rPr>
        <w:t xml:space="preserve"> </w:t>
      </w:r>
      <w:r w:rsidR="00435A85">
        <w:rPr>
          <w:rFonts w:ascii="Times New Roman" w:hAnsi="Times New Roman" w:cs="Times New Roman"/>
          <w:sz w:val="24"/>
          <w:szCs w:val="24"/>
        </w:rPr>
        <w:t>58</w:t>
      </w:r>
      <w:r w:rsidR="00435A85" w:rsidRPr="0024503A">
        <w:rPr>
          <w:rFonts w:ascii="Times New Roman" w:hAnsi="Times New Roman" w:cs="Times New Roman"/>
          <w:sz w:val="24"/>
          <w:szCs w:val="24"/>
        </w:rPr>
        <w:t>%</w:t>
      </w:r>
      <w:r w:rsidR="00435A85">
        <w:rPr>
          <w:rFonts w:ascii="Times New Roman" w:hAnsi="Times New Roman" w:cs="Times New Roman"/>
          <w:sz w:val="24"/>
          <w:szCs w:val="24"/>
        </w:rPr>
        <w:t xml:space="preserve"> </w:t>
      </w:r>
      <w:r w:rsidR="00CD3864" w:rsidRPr="0024503A">
        <w:rPr>
          <w:rFonts w:ascii="Times New Roman" w:hAnsi="Times New Roman" w:cs="Times New Roman"/>
          <w:sz w:val="24"/>
          <w:szCs w:val="24"/>
        </w:rPr>
        <w:t>ning arvestade</w:t>
      </w:r>
      <w:r w:rsidR="00A37DC4">
        <w:rPr>
          <w:rFonts w:ascii="Times New Roman" w:hAnsi="Times New Roman" w:cs="Times New Roman"/>
          <w:sz w:val="24"/>
          <w:szCs w:val="24"/>
        </w:rPr>
        <w:t xml:space="preserve">s viimaste aastate trendi, </w:t>
      </w:r>
      <w:r w:rsidR="00DF1B5D">
        <w:rPr>
          <w:rFonts w:ascii="Times New Roman" w:hAnsi="Times New Roman" w:cs="Times New Roman"/>
          <w:sz w:val="24"/>
          <w:szCs w:val="24"/>
        </w:rPr>
        <w:t>võib eeldada selle jätkuvat</w:t>
      </w:r>
      <w:r w:rsidR="00DF1B5D" w:rsidRPr="0024503A">
        <w:rPr>
          <w:rFonts w:ascii="Times New Roman" w:hAnsi="Times New Roman" w:cs="Times New Roman"/>
          <w:sz w:val="24"/>
          <w:szCs w:val="24"/>
        </w:rPr>
        <w:t xml:space="preserve"> </w:t>
      </w:r>
      <w:r w:rsidR="00A37DC4">
        <w:rPr>
          <w:rFonts w:ascii="Times New Roman" w:hAnsi="Times New Roman" w:cs="Times New Roman"/>
          <w:sz w:val="24"/>
          <w:szCs w:val="24"/>
        </w:rPr>
        <w:t>suurendamist</w:t>
      </w:r>
      <w:r w:rsidR="00CD3864" w:rsidRPr="0024503A">
        <w:rPr>
          <w:rFonts w:ascii="Times New Roman" w:hAnsi="Times New Roman" w:cs="Times New Roman"/>
          <w:sz w:val="24"/>
          <w:szCs w:val="24"/>
        </w:rPr>
        <w:t xml:space="preserve">. Suviteravilja kasvupind on püsinud </w:t>
      </w:r>
      <w:r w:rsidR="00DF1B5D">
        <w:rPr>
          <w:rFonts w:ascii="Times New Roman" w:hAnsi="Times New Roman" w:cs="Times New Roman"/>
          <w:sz w:val="24"/>
          <w:szCs w:val="24"/>
        </w:rPr>
        <w:t xml:space="preserve">viimasel kümnel aastal </w:t>
      </w:r>
      <w:r w:rsidR="00CD3864" w:rsidRPr="0024503A">
        <w:rPr>
          <w:rFonts w:ascii="Times New Roman" w:hAnsi="Times New Roman" w:cs="Times New Roman"/>
          <w:sz w:val="24"/>
          <w:szCs w:val="24"/>
        </w:rPr>
        <w:t>enamvähem samal tasemel</w:t>
      </w:r>
      <w:r w:rsidR="00FE1DEA">
        <w:rPr>
          <w:rFonts w:ascii="Times New Roman" w:hAnsi="Times New Roman" w:cs="Times New Roman"/>
          <w:sz w:val="24"/>
          <w:szCs w:val="24"/>
        </w:rPr>
        <w:t>.</w:t>
      </w:r>
      <w:r w:rsidR="00CD3864" w:rsidRPr="0024503A">
        <w:rPr>
          <w:rFonts w:ascii="Times New Roman" w:hAnsi="Times New Roman" w:cs="Times New Roman"/>
          <w:sz w:val="24"/>
          <w:szCs w:val="24"/>
        </w:rPr>
        <w:t xml:space="preserve"> </w:t>
      </w:r>
      <w:r w:rsidR="003E0823" w:rsidRPr="00435A85">
        <w:rPr>
          <w:rFonts w:ascii="Times New Roman" w:hAnsi="Times New Roman"/>
          <w:sz w:val="24"/>
        </w:rPr>
        <w:t>Samal ajal k</w:t>
      </w:r>
      <w:r w:rsidR="00B40A65" w:rsidRPr="00435A85">
        <w:rPr>
          <w:rFonts w:ascii="Times New Roman" w:hAnsi="Times New Roman"/>
          <w:sz w:val="24"/>
        </w:rPr>
        <w:t>ui kogu tera</w:t>
      </w:r>
      <w:r w:rsidR="007B1284" w:rsidRPr="00435A85">
        <w:rPr>
          <w:rFonts w:ascii="Times New Roman" w:hAnsi="Times New Roman"/>
          <w:sz w:val="24"/>
        </w:rPr>
        <w:t xml:space="preserve">vilja kasvupind </w:t>
      </w:r>
      <w:r w:rsidR="001D0143">
        <w:rPr>
          <w:rFonts w:ascii="Times New Roman" w:hAnsi="Times New Roman"/>
          <w:sz w:val="24"/>
        </w:rPr>
        <w:t xml:space="preserve">ei </w:t>
      </w:r>
      <w:r w:rsidR="007B1284" w:rsidRPr="00435A85">
        <w:rPr>
          <w:rFonts w:ascii="Times New Roman" w:hAnsi="Times New Roman"/>
          <w:sz w:val="24"/>
        </w:rPr>
        <w:t>ole alates 2004</w:t>
      </w:r>
      <w:r w:rsidR="00B40A65" w:rsidRPr="00435A85">
        <w:rPr>
          <w:rFonts w:ascii="Times New Roman" w:hAnsi="Times New Roman"/>
          <w:sz w:val="24"/>
        </w:rPr>
        <w:t>. aastast oluliselt muut</w:t>
      </w:r>
      <w:r w:rsidR="003D230E" w:rsidRPr="00435A85">
        <w:rPr>
          <w:rFonts w:ascii="Times New Roman" w:hAnsi="Times New Roman"/>
          <w:sz w:val="24"/>
        </w:rPr>
        <w:t>u</w:t>
      </w:r>
      <w:r w:rsidR="00B40A65" w:rsidRPr="00435A85">
        <w:rPr>
          <w:rFonts w:ascii="Times New Roman" w:hAnsi="Times New Roman"/>
          <w:sz w:val="24"/>
        </w:rPr>
        <w:t>nud,</w:t>
      </w:r>
      <w:r w:rsidR="00B40A65" w:rsidRPr="00435A85">
        <w:rPr>
          <w:rFonts w:ascii="Times New Roman" w:hAnsi="Times New Roman"/>
          <w:b/>
          <w:sz w:val="24"/>
        </w:rPr>
        <w:t xml:space="preserve"> </w:t>
      </w:r>
      <w:r w:rsidR="0001408D">
        <w:rPr>
          <w:rFonts w:ascii="Times New Roman" w:hAnsi="Times New Roman" w:cs="Times New Roman"/>
          <w:sz w:val="24"/>
          <w:szCs w:val="24"/>
        </w:rPr>
        <w:t xml:space="preserve">on teraviljatootjate arv </w:t>
      </w:r>
      <w:r w:rsidR="00B40A65" w:rsidRPr="0024503A">
        <w:rPr>
          <w:rFonts w:ascii="Times New Roman" w:hAnsi="Times New Roman" w:cs="Times New Roman"/>
          <w:sz w:val="24"/>
          <w:szCs w:val="24"/>
        </w:rPr>
        <w:t>vähenenud ligi kolm korda</w:t>
      </w:r>
      <w:r w:rsidR="00007B48" w:rsidRPr="0024503A">
        <w:rPr>
          <w:rFonts w:ascii="Times New Roman" w:hAnsi="Times New Roman" w:cs="Times New Roman"/>
          <w:sz w:val="24"/>
          <w:szCs w:val="24"/>
        </w:rPr>
        <w:t>, mille tulemusena on toimunud toot</w:t>
      </w:r>
      <w:r w:rsidR="0065613C">
        <w:rPr>
          <w:rFonts w:ascii="Times New Roman" w:hAnsi="Times New Roman" w:cs="Times New Roman"/>
          <w:sz w:val="24"/>
          <w:szCs w:val="24"/>
        </w:rPr>
        <w:t>mise</w:t>
      </w:r>
      <w:r w:rsidR="00007B48" w:rsidRPr="0024503A">
        <w:rPr>
          <w:rFonts w:ascii="Times New Roman" w:hAnsi="Times New Roman" w:cs="Times New Roman"/>
          <w:sz w:val="24"/>
          <w:szCs w:val="24"/>
        </w:rPr>
        <w:t xml:space="preserve"> kontsentreerumine</w:t>
      </w:r>
      <w:r w:rsidR="004E244A" w:rsidRPr="0024503A">
        <w:rPr>
          <w:rFonts w:ascii="Times New Roman" w:hAnsi="Times New Roman" w:cs="Times New Roman"/>
          <w:sz w:val="24"/>
          <w:szCs w:val="24"/>
        </w:rPr>
        <w:t xml:space="preserve"> (joonis 2)</w:t>
      </w:r>
      <w:r w:rsidR="00B40A65" w:rsidRPr="0024503A">
        <w:rPr>
          <w:rFonts w:ascii="Times New Roman" w:hAnsi="Times New Roman" w:cs="Times New Roman"/>
          <w:sz w:val="24"/>
          <w:szCs w:val="24"/>
        </w:rPr>
        <w:t>.</w:t>
      </w:r>
    </w:p>
    <w:p w:rsidR="00B40A65" w:rsidRPr="00D549C9" w:rsidRDefault="00B40A65" w:rsidP="00617526">
      <w:pPr>
        <w:spacing w:line="276" w:lineRule="auto"/>
        <w:jc w:val="both"/>
        <w:rPr>
          <w:sz w:val="24"/>
          <w:szCs w:val="24"/>
          <w:highlight w:val="yellow"/>
        </w:rPr>
      </w:pPr>
      <w:r w:rsidRPr="004C2338">
        <w:rPr>
          <w:noProof/>
          <w:sz w:val="24"/>
          <w:szCs w:val="24"/>
        </w:rPr>
        <w:drawing>
          <wp:inline distT="0" distB="0" distL="0" distR="0" wp14:anchorId="1478744C" wp14:editId="6C12359D">
            <wp:extent cx="6105525" cy="2295525"/>
            <wp:effectExtent l="0" t="0" r="9525" b="2857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40A65" w:rsidRPr="001363CF" w:rsidRDefault="00B40A65" w:rsidP="00617526">
      <w:pPr>
        <w:spacing w:line="276" w:lineRule="auto"/>
        <w:jc w:val="both"/>
        <w:rPr>
          <w:rFonts w:ascii="Arial" w:hAnsi="Arial" w:cs="Arial"/>
        </w:rPr>
      </w:pPr>
      <w:r w:rsidRPr="001363CF">
        <w:rPr>
          <w:rFonts w:ascii="Arial" w:hAnsi="Arial" w:cs="Arial"/>
        </w:rPr>
        <w:t>Allikas: SA</w:t>
      </w:r>
    </w:p>
    <w:p w:rsidR="00B40A65" w:rsidRPr="006977B6" w:rsidRDefault="00B40A65" w:rsidP="00617526">
      <w:pPr>
        <w:spacing w:line="276" w:lineRule="auto"/>
        <w:jc w:val="both"/>
        <w:rPr>
          <w:rFonts w:ascii="Times New Roman" w:hAnsi="Times New Roman" w:cs="Times New Roman"/>
          <w:b/>
          <w:sz w:val="24"/>
          <w:szCs w:val="24"/>
        </w:rPr>
      </w:pPr>
      <w:r w:rsidRPr="006977B6">
        <w:rPr>
          <w:rFonts w:ascii="Times New Roman" w:hAnsi="Times New Roman" w:cs="Times New Roman"/>
          <w:b/>
          <w:sz w:val="24"/>
          <w:szCs w:val="24"/>
        </w:rPr>
        <w:t>Joonis 2. Teravilja kasvupind ja tootjate arv aastatel 2003–2012</w:t>
      </w:r>
    </w:p>
    <w:p w:rsidR="00B40A65" w:rsidRPr="006977B6" w:rsidRDefault="00B40A65" w:rsidP="00617526">
      <w:pPr>
        <w:pStyle w:val="BodyText"/>
        <w:spacing w:line="276" w:lineRule="auto"/>
        <w:rPr>
          <w:rFonts w:ascii="Times New Roman" w:hAnsi="Times New Roman" w:cs="Times New Roman"/>
          <w:sz w:val="24"/>
          <w:szCs w:val="24"/>
        </w:rPr>
      </w:pPr>
    </w:p>
    <w:p w:rsidR="00B40A65" w:rsidRPr="0067703B" w:rsidRDefault="00B40A65" w:rsidP="0067703B">
      <w:pPr>
        <w:pStyle w:val="BodyText"/>
        <w:spacing w:line="276" w:lineRule="auto"/>
        <w:rPr>
          <w:rFonts w:ascii="Times New Roman" w:hAnsi="Times New Roman" w:cs="Times New Roman"/>
          <w:sz w:val="24"/>
          <w:szCs w:val="24"/>
        </w:rPr>
      </w:pPr>
      <w:r w:rsidRPr="006977B6">
        <w:rPr>
          <w:rFonts w:ascii="Times New Roman" w:hAnsi="Times New Roman" w:cs="Times New Roman"/>
          <w:sz w:val="24"/>
          <w:szCs w:val="24"/>
        </w:rPr>
        <w:t>Teravilja kasvupindade</w:t>
      </w:r>
      <w:r w:rsidRPr="0024503A">
        <w:rPr>
          <w:rFonts w:ascii="Times New Roman" w:hAnsi="Times New Roman" w:cs="Times New Roman"/>
          <w:sz w:val="24"/>
          <w:szCs w:val="24"/>
        </w:rPr>
        <w:t xml:space="preserve"> osas on rendimaade osakaal 63%</w:t>
      </w:r>
      <w:r w:rsidR="009457E9">
        <w:rPr>
          <w:rFonts w:ascii="Times New Roman" w:hAnsi="Times New Roman" w:cs="Times New Roman"/>
          <w:sz w:val="24"/>
          <w:szCs w:val="24"/>
        </w:rPr>
        <w:t>, mis teeb külvikordade planeerimise keeruliseks.</w:t>
      </w:r>
      <w:r w:rsidR="0096747E">
        <w:rPr>
          <w:rFonts w:ascii="Times New Roman" w:hAnsi="Times New Roman" w:cs="Times New Roman"/>
          <w:sz w:val="24"/>
          <w:szCs w:val="24"/>
        </w:rPr>
        <w:t xml:space="preserve"> </w:t>
      </w:r>
      <w:r w:rsidRPr="0024503A">
        <w:rPr>
          <w:rFonts w:ascii="Times New Roman" w:hAnsi="Times New Roman" w:cs="Times New Roman"/>
          <w:sz w:val="24"/>
          <w:szCs w:val="24"/>
        </w:rPr>
        <w:t xml:space="preserve">Mida suurem on põllumajandustootja, seda suurem on ka tema maakasutuses rendimaade osakaal, mis on saanud oluliseks kuluartikliks arvestades maahinna ja sealhulgas ka </w:t>
      </w:r>
      <w:r w:rsidRPr="0024503A">
        <w:rPr>
          <w:rFonts w:ascii="Times New Roman" w:hAnsi="Times New Roman" w:cs="Times New Roman"/>
          <w:sz w:val="24"/>
          <w:szCs w:val="24"/>
        </w:rPr>
        <w:lastRenderedPageBreak/>
        <w:t xml:space="preserve">rendihinna tõusu. Lisaks on jätkuvalt probleemiks maaomanike ja rentnike vahelised lepingud, mis </w:t>
      </w:r>
      <w:r w:rsidR="003C2A0A">
        <w:rPr>
          <w:rFonts w:ascii="Times New Roman" w:hAnsi="Times New Roman" w:cs="Times New Roman"/>
          <w:sz w:val="24"/>
          <w:szCs w:val="24"/>
        </w:rPr>
        <w:t>sageli</w:t>
      </w:r>
      <w:r w:rsidRPr="0024503A">
        <w:rPr>
          <w:rFonts w:ascii="Times New Roman" w:hAnsi="Times New Roman" w:cs="Times New Roman"/>
          <w:sz w:val="24"/>
          <w:szCs w:val="24"/>
        </w:rPr>
        <w:t xml:space="preserve"> sõlmi</w:t>
      </w:r>
      <w:r w:rsidR="00BA15F0">
        <w:rPr>
          <w:rFonts w:ascii="Times New Roman" w:hAnsi="Times New Roman" w:cs="Times New Roman"/>
          <w:sz w:val="24"/>
          <w:szCs w:val="24"/>
        </w:rPr>
        <w:t>takse</w:t>
      </w:r>
      <w:r w:rsidRPr="0024503A">
        <w:rPr>
          <w:rFonts w:ascii="Times New Roman" w:hAnsi="Times New Roman" w:cs="Times New Roman"/>
          <w:sz w:val="24"/>
          <w:szCs w:val="24"/>
        </w:rPr>
        <w:t xml:space="preserve"> suuliselt või juriidiliselt ebapädevalt ja lühiajalistena.</w:t>
      </w:r>
    </w:p>
    <w:p w:rsidR="00B40A65" w:rsidRPr="00D549C9" w:rsidRDefault="00B40A65" w:rsidP="00617526">
      <w:pPr>
        <w:spacing w:line="276" w:lineRule="auto"/>
        <w:jc w:val="both"/>
        <w:rPr>
          <w:sz w:val="24"/>
          <w:szCs w:val="24"/>
        </w:rPr>
      </w:pPr>
      <w:r w:rsidRPr="00D549C9">
        <w:rPr>
          <w:sz w:val="24"/>
          <w:szCs w:val="24"/>
        </w:rPr>
        <w:t xml:space="preserve"> </w:t>
      </w:r>
      <w:r w:rsidR="00970439" w:rsidRPr="00D45CD6">
        <w:rPr>
          <w:noProof/>
          <w:sz w:val="24"/>
          <w:szCs w:val="24"/>
        </w:rPr>
        <w:drawing>
          <wp:inline distT="0" distB="0" distL="0" distR="0" wp14:anchorId="119FB61C" wp14:editId="3719FD34">
            <wp:extent cx="6049925" cy="2243470"/>
            <wp:effectExtent l="0" t="0" r="27305" b="2349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40A65" w:rsidRPr="00BC686A" w:rsidRDefault="00B40A65" w:rsidP="00617526">
      <w:pPr>
        <w:spacing w:line="276" w:lineRule="auto"/>
        <w:jc w:val="both"/>
        <w:rPr>
          <w:rFonts w:ascii="Arial" w:hAnsi="Arial" w:cs="Arial"/>
        </w:rPr>
      </w:pPr>
      <w:r w:rsidRPr="00BC686A">
        <w:rPr>
          <w:rFonts w:ascii="Arial" w:hAnsi="Arial" w:cs="Arial"/>
        </w:rPr>
        <w:t>Allikas: SA</w:t>
      </w:r>
    </w:p>
    <w:p w:rsidR="006E14DB" w:rsidRPr="00D549C9" w:rsidRDefault="00D734C4" w:rsidP="00617526">
      <w:pPr>
        <w:spacing w:line="276" w:lineRule="auto"/>
        <w:jc w:val="both"/>
        <w:rPr>
          <w:b/>
          <w:sz w:val="24"/>
          <w:szCs w:val="24"/>
        </w:rPr>
      </w:pPr>
      <w:r w:rsidRPr="00D549C9">
        <w:rPr>
          <w:b/>
          <w:sz w:val="24"/>
          <w:szCs w:val="24"/>
        </w:rPr>
        <w:t>Joonis 3</w:t>
      </w:r>
      <w:r w:rsidR="00B40A65" w:rsidRPr="00D549C9">
        <w:rPr>
          <w:b/>
          <w:sz w:val="24"/>
          <w:szCs w:val="24"/>
        </w:rPr>
        <w:t>. Teravilja saak Eestis aastatel 200</w:t>
      </w:r>
      <w:r w:rsidR="00970439" w:rsidRPr="00D549C9">
        <w:rPr>
          <w:b/>
          <w:sz w:val="24"/>
          <w:szCs w:val="24"/>
        </w:rPr>
        <w:t>4</w:t>
      </w:r>
      <w:r w:rsidR="00B40A65" w:rsidRPr="00D549C9">
        <w:rPr>
          <w:b/>
          <w:sz w:val="24"/>
          <w:szCs w:val="24"/>
        </w:rPr>
        <w:t>–2013</w:t>
      </w:r>
    </w:p>
    <w:p w:rsidR="00D549C9" w:rsidRPr="0024503A" w:rsidRDefault="00D549C9" w:rsidP="00617526">
      <w:pPr>
        <w:spacing w:line="276" w:lineRule="auto"/>
        <w:jc w:val="both"/>
        <w:rPr>
          <w:rFonts w:ascii="Times New Roman" w:hAnsi="Times New Roman" w:cs="Times New Roman"/>
          <w:sz w:val="24"/>
          <w:szCs w:val="24"/>
        </w:rPr>
      </w:pPr>
    </w:p>
    <w:p w:rsidR="00F561E2" w:rsidRPr="0024503A" w:rsidRDefault="00F561E2" w:rsidP="00617526">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200</w:t>
      </w:r>
      <w:r w:rsidR="0029051B" w:rsidRPr="0024503A">
        <w:rPr>
          <w:rFonts w:ascii="Times New Roman" w:hAnsi="Times New Roman" w:cs="Times New Roman"/>
          <w:sz w:val="24"/>
          <w:szCs w:val="24"/>
        </w:rPr>
        <w:t>4</w:t>
      </w:r>
      <w:r w:rsidRPr="0024503A">
        <w:rPr>
          <w:rFonts w:ascii="Times New Roman" w:hAnsi="Times New Roman" w:cs="Times New Roman"/>
          <w:sz w:val="24"/>
          <w:szCs w:val="24"/>
        </w:rPr>
        <w:t xml:space="preserve">. aastaga võrreldes on teraviljade kogusaak </w:t>
      </w:r>
      <w:r w:rsidR="00FD7CC2">
        <w:rPr>
          <w:rFonts w:ascii="Times New Roman" w:hAnsi="Times New Roman" w:cs="Times New Roman"/>
          <w:sz w:val="24"/>
          <w:szCs w:val="24"/>
        </w:rPr>
        <w:t xml:space="preserve">2013. aastaks </w:t>
      </w:r>
      <w:r w:rsidRPr="0024503A">
        <w:rPr>
          <w:rFonts w:ascii="Times New Roman" w:hAnsi="Times New Roman" w:cs="Times New Roman"/>
          <w:sz w:val="24"/>
          <w:szCs w:val="24"/>
        </w:rPr>
        <w:t>suurenenud ligemale kaks korda (joonis 3)</w:t>
      </w:r>
      <w:r w:rsidR="00FD7CC2">
        <w:rPr>
          <w:rFonts w:ascii="Times New Roman" w:hAnsi="Times New Roman" w:cs="Times New Roman"/>
          <w:sz w:val="24"/>
          <w:szCs w:val="24"/>
        </w:rPr>
        <w:t>.</w:t>
      </w:r>
      <w:r w:rsidRPr="0024503A">
        <w:rPr>
          <w:rFonts w:ascii="Times New Roman" w:hAnsi="Times New Roman" w:cs="Times New Roman"/>
          <w:sz w:val="24"/>
          <w:szCs w:val="24"/>
        </w:rPr>
        <w:t xml:space="preserve"> Kogusaagi suurenemine on otseselt seotud teraviljade saagikuse tõusuga</w:t>
      </w:r>
      <w:r w:rsidR="0083164A" w:rsidRPr="0024503A">
        <w:rPr>
          <w:rFonts w:ascii="Times New Roman" w:hAnsi="Times New Roman" w:cs="Times New Roman"/>
          <w:sz w:val="24"/>
          <w:szCs w:val="24"/>
        </w:rPr>
        <w:t xml:space="preserve"> ning talivilja</w:t>
      </w:r>
      <w:r w:rsidR="00E30B26">
        <w:rPr>
          <w:rFonts w:ascii="Times New Roman" w:hAnsi="Times New Roman" w:cs="Times New Roman"/>
          <w:sz w:val="24"/>
          <w:szCs w:val="24"/>
        </w:rPr>
        <w:t xml:space="preserve"> kasvu</w:t>
      </w:r>
      <w:r w:rsidR="0083164A" w:rsidRPr="0024503A">
        <w:rPr>
          <w:rFonts w:ascii="Times New Roman" w:hAnsi="Times New Roman" w:cs="Times New Roman"/>
          <w:sz w:val="24"/>
          <w:szCs w:val="24"/>
        </w:rPr>
        <w:t>pindade suurenemisega</w:t>
      </w:r>
      <w:r w:rsidR="00867E64" w:rsidRPr="0024503A">
        <w:rPr>
          <w:rFonts w:ascii="Times New Roman" w:hAnsi="Times New Roman" w:cs="Times New Roman"/>
          <w:sz w:val="24"/>
          <w:szCs w:val="24"/>
        </w:rPr>
        <w:t>.</w:t>
      </w:r>
    </w:p>
    <w:p w:rsidR="00F561E2" w:rsidRPr="0024503A" w:rsidRDefault="00F561E2" w:rsidP="00617526">
      <w:pPr>
        <w:spacing w:line="276" w:lineRule="auto"/>
        <w:jc w:val="both"/>
        <w:rPr>
          <w:rFonts w:ascii="Times New Roman" w:hAnsi="Times New Roman" w:cs="Times New Roman"/>
          <w:b/>
          <w:sz w:val="24"/>
          <w:szCs w:val="24"/>
        </w:rPr>
      </w:pPr>
    </w:p>
    <w:p w:rsidR="00B40A65" w:rsidRPr="0024503A" w:rsidRDefault="00B40A65" w:rsidP="00617526">
      <w:pPr>
        <w:pStyle w:val="BodyText"/>
        <w:spacing w:line="276" w:lineRule="auto"/>
        <w:rPr>
          <w:rFonts w:ascii="Times New Roman" w:hAnsi="Times New Roman" w:cs="Times New Roman"/>
          <w:sz w:val="24"/>
          <w:szCs w:val="24"/>
        </w:rPr>
      </w:pPr>
      <w:r w:rsidRPr="0024503A">
        <w:rPr>
          <w:rFonts w:ascii="Times New Roman" w:hAnsi="Times New Roman" w:cs="Times New Roman"/>
          <w:sz w:val="24"/>
          <w:szCs w:val="24"/>
        </w:rPr>
        <w:t xml:space="preserve">Erinevatel põhjustel (geograafiline asend, vähene investeerimisvõime jne) on Eesti keskmine saagikus jätkuvalt Euroopa üks madalaimaid. </w:t>
      </w:r>
      <w:r w:rsidR="00CF7AE0">
        <w:rPr>
          <w:rFonts w:ascii="Times New Roman" w:hAnsi="Times New Roman" w:cs="Times New Roman"/>
          <w:sz w:val="24"/>
          <w:szCs w:val="24"/>
        </w:rPr>
        <w:t>Viimase kümne</w:t>
      </w:r>
      <w:r w:rsidR="00D10922">
        <w:rPr>
          <w:rFonts w:ascii="Times New Roman" w:hAnsi="Times New Roman" w:cs="Times New Roman"/>
          <w:sz w:val="24"/>
          <w:szCs w:val="24"/>
        </w:rPr>
        <w:t xml:space="preserve"> aasta keskmine</w:t>
      </w:r>
      <w:r w:rsidRPr="0024503A">
        <w:rPr>
          <w:rFonts w:ascii="Times New Roman" w:hAnsi="Times New Roman" w:cs="Times New Roman"/>
          <w:sz w:val="24"/>
          <w:szCs w:val="24"/>
        </w:rPr>
        <w:t xml:space="preserve"> teravilja saagikus </w:t>
      </w:r>
      <w:r w:rsidR="00D10922">
        <w:rPr>
          <w:rFonts w:ascii="Times New Roman" w:hAnsi="Times New Roman" w:cs="Times New Roman"/>
          <w:sz w:val="24"/>
          <w:szCs w:val="24"/>
        </w:rPr>
        <w:t>Eestis on</w:t>
      </w:r>
      <w:r w:rsidRPr="0024503A">
        <w:rPr>
          <w:rFonts w:ascii="Times New Roman" w:hAnsi="Times New Roman" w:cs="Times New Roman"/>
          <w:sz w:val="24"/>
          <w:szCs w:val="24"/>
        </w:rPr>
        <w:t xml:space="preserve"> </w:t>
      </w:r>
      <w:r w:rsidR="00D10922">
        <w:rPr>
          <w:rFonts w:ascii="Times New Roman" w:hAnsi="Times New Roman" w:cs="Times New Roman"/>
          <w:sz w:val="24"/>
          <w:szCs w:val="24"/>
        </w:rPr>
        <w:t>2,7</w:t>
      </w:r>
      <w:r w:rsidRPr="0024503A">
        <w:rPr>
          <w:rFonts w:ascii="Times New Roman" w:hAnsi="Times New Roman" w:cs="Times New Roman"/>
          <w:sz w:val="24"/>
          <w:szCs w:val="24"/>
        </w:rPr>
        <w:t xml:space="preserve"> tonni </w:t>
      </w:r>
      <w:r w:rsidR="00D10922">
        <w:rPr>
          <w:rFonts w:ascii="Times New Roman" w:hAnsi="Times New Roman" w:cs="Times New Roman"/>
          <w:sz w:val="24"/>
          <w:szCs w:val="24"/>
        </w:rPr>
        <w:t>hektarilt</w:t>
      </w:r>
      <w:r w:rsidRPr="0024503A">
        <w:rPr>
          <w:rFonts w:ascii="Times New Roman" w:hAnsi="Times New Roman" w:cs="Times New Roman"/>
          <w:sz w:val="24"/>
          <w:szCs w:val="24"/>
        </w:rPr>
        <w:t xml:space="preserve"> (2</w:t>
      </w:r>
      <w:r w:rsidR="00FD1E09">
        <w:rPr>
          <w:rFonts w:ascii="Times New Roman" w:hAnsi="Times New Roman" w:cs="Times New Roman"/>
          <w:sz w:val="24"/>
          <w:szCs w:val="24"/>
        </w:rPr>
        <w:t>012. ja 2013. aastatel olid keskmised</w:t>
      </w:r>
      <w:r w:rsidRPr="0024503A">
        <w:rPr>
          <w:rFonts w:ascii="Times New Roman" w:hAnsi="Times New Roman" w:cs="Times New Roman"/>
          <w:sz w:val="24"/>
          <w:szCs w:val="24"/>
        </w:rPr>
        <w:t xml:space="preserve"> saa</w:t>
      </w:r>
      <w:r w:rsidR="00A4158B" w:rsidRPr="0024503A">
        <w:rPr>
          <w:rFonts w:ascii="Times New Roman" w:hAnsi="Times New Roman" w:cs="Times New Roman"/>
          <w:sz w:val="24"/>
          <w:szCs w:val="24"/>
        </w:rPr>
        <w:t>gi</w:t>
      </w:r>
      <w:r w:rsidR="00FD1E09">
        <w:rPr>
          <w:rFonts w:ascii="Times New Roman" w:hAnsi="Times New Roman" w:cs="Times New Roman"/>
          <w:sz w:val="24"/>
          <w:szCs w:val="24"/>
        </w:rPr>
        <w:t>kused</w:t>
      </w:r>
      <w:r w:rsidR="00A4158B" w:rsidRPr="0024503A">
        <w:rPr>
          <w:rFonts w:ascii="Times New Roman" w:hAnsi="Times New Roman" w:cs="Times New Roman"/>
          <w:sz w:val="24"/>
          <w:szCs w:val="24"/>
        </w:rPr>
        <w:t xml:space="preserve"> vastavalt 3,4 ja 3,1</w:t>
      </w:r>
      <w:r w:rsidR="00EE634F" w:rsidRPr="0024503A">
        <w:rPr>
          <w:rFonts w:ascii="Times New Roman" w:hAnsi="Times New Roman" w:cs="Times New Roman"/>
          <w:sz w:val="24"/>
          <w:szCs w:val="24"/>
        </w:rPr>
        <w:t xml:space="preserve"> tonni hektari kohta</w:t>
      </w:r>
      <w:r w:rsidRPr="0024503A">
        <w:rPr>
          <w:rFonts w:ascii="Times New Roman" w:hAnsi="Times New Roman" w:cs="Times New Roman"/>
          <w:sz w:val="24"/>
          <w:szCs w:val="24"/>
        </w:rPr>
        <w:t>), samas ELi keskmine on üle 5 tonni hektari kohta</w:t>
      </w:r>
      <w:r w:rsidR="00D734C4" w:rsidRPr="0024503A">
        <w:rPr>
          <w:rFonts w:ascii="Times New Roman" w:hAnsi="Times New Roman" w:cs="Times New Roman"/>
          <w:sz w:val="24"/>
          <w:szCs w:val="24"/>
        </w:rPr>
        <w:t xml:space="preserve"> (joonis 4)</w:t>
      </w:r>
      <w:r w:rsidRPr="0024503A">
        <w:rPr>
          <w:rFonts w:ascii="Times New Roman" w:hAnsi="Times New Roman" w:cs="Times New Roman"/>
          <w:sz w:val="24"/>
          <w:szCs w:val="24"/>
        </w:rPr>
        <w:t>. Võrreldes Soomega jääb suviviljade keskmine saagikus Eestis olenevalt aastast kuni 1 t/ha väiksemaks, samal ajal kui taliviljade puhul on Eestis saagikus viimastel aastatel jõudnud samale tasemele Soomega. Eestis on probleemiks teravilja saagikuste suurem iga-aastane muutlikkus</w:t>
      </w:r>
      <w:r w:rsidR="00672956" w:rsidRPr="0024503A">
        <w:rPr>
          <w:rFonts w:ascii="Times New Roman" w:hAnsi="Times New Roman" w:cs="Times New Roman"/>
          <w:sz w:val="24"/>
          <w:szCs w:val="24"/>
        </w:rPr>
        <w:t xml:space="preserve">, mida </w:t>
      </w:r>
      <w:r w:rsidR="00C95122">
        <w:rPr>
          <w:rFonts w:ascii="Times New Roman" w:hAnsi="Times New Roman" w:cs="Times New Roman"/>
          <w:sz w:val="24"/>
          <w:szCs w:val="24"/>
        </w:rPr>
        <w:t>on võimalik</w:t>
      </w:r>
      <w:r w:rsidR="00C95122" w:rsidRPr="0024503A">
        <w:rPr>
          <w:rFonts w:ascii="Times New Roman" w:hAnsi="Times New Roman" w:cs="Times New Roman"/>
          <w:sz w:val="24"/>
          <w:szCs w:val="24"/>
        </w:rPr>
        <w:t xml:space="preserve"> </w:t>
      </w:r>
      <w:r w:rsidR="00672956" w:rsidRPr="0024503A">
        <w:rPr>
          <w:rFonts w:ascii="Times New Roman" w:hAnsi="Times New Roman" w:cs="Times New Roman"/>
          <w:sz w:val="24"/>
          <w:szCs w:val="24"/>
        </w:rPr>
        <w:t>Soome näitel muutlikest ilmastikuoludest hoolimata teataval määral vähendada.</w:t>
      </w:r>
    </w:p>
    <w:p w:rsidR="008241C5" w:rsidRPr="00D549C9" w:rsidRDefault="00F237AD" w:rsidP="00617526">
      <w:pPr>
        <w:pStyle w:val="BodyText"/>
        <w:spacing w:line="276" w:lineRule="auto"/>
        <w:rPr>
          <w:sz w:val="24"/>
          <w:szCs w:val="24"/>
        </w:rPr>
      </w:pPr>
      <w:r w:rsidRPr="00225B17">
        <w:rPr>
          <w:noProof/>
          <w:sz w:val="24"/>
          <w:szCs w:val="24"/>
        </w:rPr>
        <w:drawing>
          <wp:inline distT="0" distB="0" distL="0" distR="0" wp14:anchorId="7B139418" wp14:editId="3925659D">
            <wp:extent cx="6086475" cy="2324100"/>
            <wp:effectExtent l="0" t="0" r="9525"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40A65" w:rsidRPr="00766282" w:rsidRDefault="00B40A65" w:rsidP="00617526">
      <w:pPr>
        <w:pStyle w:val="BodyText"/>
        <w:spacing w:line="276" w:lineRule="auto"/>
        <w:rPr>
          <w:rFonts w:ascii="Arial" w:hAnsi="Arial" w:cs="Arial"/>
        </w:rPr>
      </w:pPr>
      <w:r w:rsidRPr="00766282">
        <w:rPr>
          <w:rFonts w:ascii="Arial" w:hAnsi="Arial" w:cs="Arial"/>
        </w:rPr>
        <w:t xml:space="preserve">Allikas: </w:t>
      </w:r>
      <w:proofErr w:type="spellStart"/>
      <w:r w:rsidRPr="00766282">
        <w:rPr>
          <w:rFonts w:ascii="Arial" w:hAnsi="Arial" w:cs="Arial"/>
        </w:rPr>
        <w:t>E</w:t>
      </w:r>
      <w:r w:rsidR="005C46B6" w:rsidRPr="00766282">
        <w:rPr>
          <w:rFonts w:ascii="Arial" w:hAnsi="Arial" w:cs="Arial"/>
        </w:rPr>
        <w:t>urostat</w:t>
      </w:r>
      <w:proofErr w:type="spellEnd"/>
    </w:p>
    <w:p w:rsidR="00526D97" w:rsidRDefault="00D734C4" w:rsidP="0009155D">
      <w:pPr>
        <w:pStyle w:val="BodyText"/>
        <w:spacing w:line="276" w:lineRule="auto"/>
        <w:rPr>
          <w:rFonts w:ascii="Times New Roman" w:hAnsi="Times New Roman" w:cs="Times New Roman"/>
          <w:sz w:val="24"/>
          <w:szCs w:val="24"/>
        </w:rPr>
      </w:pPr>
      <w:r w:rsidRPr="006977B6">
        <w:rPr>
          <w:rFonts w:ascii="Times New Roman" w:hAnsi="Times New Roman" w:cs="Times New Roman"/>
          <w:b/>
          <w:sz w:val="24"/>
          <w:szCs w:val="24"/>
        </w:rPr>
        <w:t>Joonis 4</w:t>
      </w:r>
      <w:r w:rsidR="00B40A65" w:rsidRPr="006977B6">
        <w:rPr>
          <w:rFonts w:ascii="Times New Roman" w:hAnsi="Times New Roman" w:cs="Times New Roman"/>
          <w:b/>
          <w:sz w:val="24"/>
          <w:szCs w:val="24"/>
        </w:rPr>
        <w:t>. Nisu ja odra saagikused Eestis võrreldes EL keskmisega aastatel 2004–2013</w:t>
      </w:r>
    </w:p>
    <w:p w:rsidR="006E7754" w:rsidRDefault="006E7754" w:rsidP="0009155D">
      <w:pPr>
        <w:pStyle w:val="BodyText"/>
        <w:spacing w:line="276" w:lineRule="auto"/>
        <w:rPr>
          <w:rFonts w:ascii="Times New Roman" w:hAnsi="Times New Roman" w:cs="Times New Roman"/>
          <w:sz w:val="24"/>
          <w:szCs w:val="24"/>
        </w:rPr>
      </w:pPr>
    </w:p>
    <w:p w:rsidR="00B40A65" w:rsidRDefault="00370085" w:rsidP="0009155D">
      <w:pPr>
        <w:pStyle w:val="BodyText"/>
        <w:spacing w:line="276" w:lineRule="auto"/>
        <w:rPr>
          <w:rFonts w:ascii="Times New Roman" w:hAnsi="Times New Roman" w:cs="Times New Roman"/>
          <w:sz w:val="24"/>
          <w:szCs w:val="24"/>
        </w:rPr>
      </w:pPr>
      <w:r w:rsidRPr="0024503A">
        <w:rPr>
          <w:rFonts w:ascii="Times New Roman" w:hAnsi="Times New Roman" w:cs="Times New Roman"/>
          <w:sz w:val="24"/>
          <w:szCs w:val="24"/>
        </w:rPr>
        <w:t>2013</w:t>
      </w:r>
      <w:r w:rsidR="00344A70" w:rsidRPr="0024503A">
        <w:rPr>
          <w:rFonts w:ascii="Times New Roman" w:hAnsi="Times New Roman" w:cs="Times New Roman"/>
          <w:sz w:val="24"/>
          <w:szCs w:val="24"/>
        </w:rPr>
        <w:t>. aastal moodustas Eesti teravilja kogusaak 0,4%</w:t>
      </w:r>
      <w:r w:rsidR="000C04BD">
        <w:rPr>
          <w:rFonts w:ascii="Times New Roman" w:hAnsi="Times New Roman" w:cs="Times New Roman"/>
          <w:sz w:val="24"/>
          <w:szCs w:val="24"/>
        </w:rPr>
        <w:t xml:space="preserve"> kogu ELi teravilja saagist, kuid</w:t>
      </w:r>
      <w:r w:rsidR="00344A70" w:rsidRPr="0024503A">
        <w:rPr>
          <w:rFonts w:ascii="Times New Roman" w:hAnsi="Times New Roman" w:cs="Times New Roman"/>
          <w:sz w:val="24"/>
          <w:szCs w:val="24"/>
        </w:rPr>
        <w:t xml:space="preserve"> el</w:t>
      </w:r>
      <w:r w:rsidRPr="0024503A">
        <w:rPr>
          <w:rFonts w:ascii="Times New Roman" w:hAnsi="Times New Roman" w:cs="Times New Roman"/>
          <w:sz w:val="24"/>
          <w:szCs w:val="24"/>
        </w:rPr>
        <w:t xml:space="preserve">aniku kohta arvestatuna </w:t>
      </w:r>
      <w:r w:rsidR="00C650DC">
        <w:rPr>
          <w:rFonts w:ascii="Times New Roman" w:hAnsi="Times New Roman" w:cs="Times New Roman"/>
          <w:sz w:val="24"/>
          <w:szCs w:val="24"/>
        </w:rPr>
        <w:t xml:space="preserve">toodeti </w:t>
      </w:r>
      <w:r w:rsidRPr="0024503A">
        <w:rPr>
          <w:rFonts w:ascii="Times New Roman" w:hAnsi="Times New Roman" w:cs="Times New Roman"/>
          <w:sz w:val="24"/>
          <w:szCs w:val="24"/>
        </w:rPr>
        <w:t>ligi 660</w:t>
      </w:r>
      <w:r w:rsidR="00344A70" w:rsidRPr="0024503A">
        <w:rPr>
          <w:rFonts w:ascii="Times New Roman" w:hAnsi="Times New Roman" w:cs="Times New Roman"/>
          <w:sz w:val="24"/>
          <w:szCs w:val="24"/>
        </w:rPr>
        <w:t xml:space="preserve"> kg teravilja, </w:t>
      </w:r>
      <w:r w:rsidRPr="0024503A">
        <w:rPr>
          <w:rFonts w:ascii="Times New Roman" w:hAnsi="Times New Roman" w:cs="Times New Roman"/>
          <w:sz w:val="24"/>
          <w:szCs w:val="24"/>
        </w:rPr>
        <w:t>mis on</w:t>
      </w:r>
      <w:r w:rsidR="000C04BD">
        <w:rPr>
          <w:rFonts w:ascii="Times New Roman" w:hAnsi="Times New Roman" w:cs="Times New Roman"/>
          <w:sz w:val="24"/>
          <w:szCs w:val="24"/>
        </w:rPr>
        <w:t xml:space="preserve"> lähedane EL-28 keskmisele näitajale </w:t>
      </w:r>
      <w:r w:rsidR="00D734C4" w:rsidRPr="0024503A">
        <w:rPr>
          <w:rFonts w:ascii="Times New Roman" w:hAnsi="Times New Roman" w:cs="Times New Roman"/>
          <w:sz w:val="24"/>
          <w:szCs w:val="24"/>
        </w:rPr>
        <w:t>(joonis 5)</w:t>
      </w:r>
      <w:r w:rsidR="00344A70" w:rsidRPr="0024503A">
        <w:rPr>
          <w:rFonts w:ascii="Times New Roman" w:hAnsi="Times New Roman" w:cs="Times New Roman"/>
          <w:sz w:val="24"/>
          <w:szCs w:val="24"/>
        </w:rPr>
        <w:t xml:space="preserve">. See </w:t>
      </w:r>
      <w:r w:rsidR="00344A70" w:rsidRPr="0024503A">
        <w:rPr>
          <w:rFonts w:ascii="Times New Roman" w:hAnsi="Times New Roman" w:cs="Times New Roman"/>
          <w:sz w:val="24"/>
          <w:szCs w:val="24"/>
        </w:rPr>
        <w:lastRenderedPageBreak/>
        <w:t>tähendab, et Eesti toodab küll väikese osa ELi kogumahust, kuid elaniku kohta toodame ikkagi arvestatava koguse. Seevastu näiteks 2010. aastal, kui Eestis ja mitmel pool mujal Ida-Euroopas valitses põud, oli Eesti osakaal 0,2% E</w:t>
      </w:r>
      <w:r w:rsidR="00364331" w:rsidRPr="0024503A">
        <w:rPr>
          <w:rFonts w:ascii="Times New Roman" w:hAnsi="Times New Roman" w:cs="Times New Roman"/>
          <w:sz w:val="24"/>
          <w:szCs w:val="24"/>
        </w:rPr>
        <w:t xml:space="preserve">Li toodangust ja toodeti 506 kilogrammi </w:t>
      </w:r>
      <w:r w:rsidR="00344A70" w:rsidRPr="0024503A">
        <w:rPr>
          <w:rFonts w:ascii="Times New Roman" w:hAnsi="Times New Roman" w:cs="Times New Roman"/>
          <w:sz w:val="24"/>
          <w:szCs w:val="24"/>
        </w:rPr>
        <w:t xml:space="preserve">elaniku kohta, mis oli pisut alla </w:t>
      </w:r>
      <w:r w:rsidR="0044508E">
        <w:rPr>
          <w:rFonts w:ascii="Times New Roman" w:hAnsi="Times New Roman" w:cs="Times New Roman"/>
          <w:sz w:val="24"/>
          <w:szCs w:val="24"/>
        </w:rPr>
        <w:t>2010.</w:t>
      </w:r>
      <w:r w:rsidR="0044508E" w:rsidRPr="0024503A">
        <w:rPr>
          <w:rFonts w:ascii="Times New Roman" w:hAnsi="Times New Roman" w:cs="Times New Roman"/>
          <w:sz w:val="24"/>
          <w:szCs w:val="24"/>
        </w:rPr>
        <w:t xml:space="preserve"> </w:t>
      </w:r>
      <w:r w:rsidR="00344A70" w:rsidRPr="0024503A">
        <w:rPr>
          <w:rFonts w:ascii="Times New Roman" w:hAnsi="Times New Roman" w:cs="Times New Roman"/>
          <w:sz w:val="24"/>
          <w:szCs w:val="24"/>
        </w:rPr>
        <w:t>aasta</w:t>
      </w:r>
      <w:r w:rsidR="0044508E">
        <w:rPr>
          <w:rFonts w:ascii="Times New Roman" w:hAnsi="Times New Roman" w:cs="Times New Roman"/>
          <w:sz w:val="24"/>
          <w:szCs w:val="24"/>
        </w:rPr>
        <w:t xml:space="preserve"> ELi</w:t>
      </w:r>
      <w:r w:rsidR="00344A70" w:rsidRPr="0024503A">
        <w:rPr>
          <w:rFonts w:ascii="Times New Roman" w:hAnsi="Times New Roman" w:cs="Times New Roman"/>
          <w:sz w:val="24"/>
          <w:szCs w:val="24"/>
        </w:rPr>
        <w:t xml:space="preserve"> keskmise taseme. Maailmas on toodang elaniku kohta viimastel aastate</w:t>
      </w:r>
      <w:r w:rsidR="00364331" w:rsidRPr="0024503A">
        <w:rPr>
          <w:rFonts w:ascii="Times New Roman" w:hAnsi="Times New Roman" w:cs="Times New Roman"/>
          <w:sz w:val="24"/>
          <w:szCs w:val="24"/>
        </w:rPr>
        <w:t xml:space="preserve">l </w:t>
      </w:r>
      <w:r w:rsidR="003E7FA2" w:rsidRPr="0024503A">
        <w:rPr>
          <w:rFonts w:ascii="Times New Roman" w:hAnsi="Times New Roman" w:cs="Times New Roman"/>
          <w:sz w:val="24"/>
          <w:szCs w:val="24"/>
        </w:rPr>
        <w:t>püsinud</w:t>
      </w:r>
      <w:r w:rsidR="00364331" w:rsidRPr="0024503A">
        <w:rPr>
          <w:rFonts w:ascii="Times New Roman" w:hAnsi="Times New Roman" w:cs="Times New Roman"/>
          <w:sz w:val="24"/>
          <w:szCs w:val="24"/>
        </w:rPr>
        <w:t xml:space="preserve"> vahemikus 300–400 kilogrammi </w:t>
      </w:r>
      <w:r w:rsidR="00344A70" w:rsidRPr="0024503A">
        <w:rPr>
          <w:rFonts w:ascii="Times New Roman" w:hAnsi="Times New Roman" w:cs="Times New Roman"/>
          <w:sz w:val="24"/>
          <w:szCs w:val="24"/>
        </w:rPr>
        <w:t>elaniku kohta.</w:t>
      </w:r>
    </w:p>
    <w:p w:rsidR="0067703B" w:rsidRPr="0024503A" w:rsidRDefault="0067703B" w:rsidP="0009155D">
      <w:pPr>
        <w:pStyle w:val="BodyText"/>
        <w:spacing w:line="276" w:lineRule="auto"/>
        <w:rPr>
          <w:rFonts w:ascii="Times New Roman" w:hAnsi="Times New Roman" w:cs="Times New Roman"/>
          <w:sz w:val="24"/>
          <w:szCs w:val="24"/>
        </w:rPr>
      </w:pPr>
    </w:p>
    <w:p w:rsidR="00344A70" w:rsidRPr="00D549C9" w:rsidRDefault="00370085" w:rsidP="00617526">
      <w:pPr>
        <w:pStyle w:val="CommentText"/>
        <w:spacing w:line="276" w:lineRule="auto"/>
        <w:jc w:val="both"/>
        <w:rPr>
          <w:sz w:val="24"/>
          <w:szCs w:val="24"/>
        </w:rPr>
      </w:pPr>
      <w:r w:rsidRPr="004C2338">
        <w:rPr>
          <w:noProof/>
          <w:sz w:val="24"/>
          <w:szCs w:val="24"/>
        </w:rPr>
        <w:drawing>
          <wp:inline distT="0" distB="0" distL="0" distR="0" wp14:anchorId="6AB80C7A" wp14:editId="31C3995C">
            <wp:extent cx="6071191" cy="2402958"/>
            <wp:effectExtent l="0" t="0" r="25400" b="1651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44A70" w:rsidRPr="001F7D67" w:rsidRDefault="00344A70" w:rsidP="00617526">
      <w:pPr>
        <w:pStyle w:val="BodyText"/>
        <w:spacing w:line="276" w:lineRule="auto"/>
        <w:rPr>
          <w:rFonts w:ascii="Arial" w:hAnsi="Arial" w:cs="Arial"/>
        </w:rPr>
      </w:pPr>
      <w:r w:rsidRPr="001F7D67">
        <w:rPr>
          <w:rFonts w:ascii="Arial" w:hAnsi="Arial" w:cs="Arial"/>
        </w:rPr>
        <w:t xml:space="preserve">Allikas: </w:t>
      </w:r>
      <w:proofErr w:type="spellStart"/>
      <w:r w:rsidRPr="001F7D67">
        <w:rPr>
          <w:rFonts w:ascii="Arial" w:hAnsi="Arial" w:cs="Arial"/>
        </w:rPr>
        <w:t>E</w:t>
      </w:r>
      <w:r w:rsidR="005C46B6" w:rsidRPr="001F7D67">
        <w:rPr>
          <w:rFonts w:ascii="Arial" w:hAnsi="Arial" w:cs="Arial"/>
        </w:rPr>
        <w:t>urostat</w:t>
      </w:r>
      <w:proofErr w:type="spellEnd"/>
    </w:p>
    <w:p w:rsidR="00672956" w:rsidRDefault="00D734C4" w:rsidP="0024503A">
      <w:pPr>
        <w:pStyle w:val="BodyText"/>
        <w:spacing w:line="276" w:lineRule="auto"/>
        <w:rPr>
          <w:rFonts w:ascii="Times New Roman" w:hAnsi="Times New Roman" w:cs="Times New Roman"/>
          <w:b/>
          <w:sz w:val="24"/>
          <w:szCs w:val="24"/>
        </w:rPr>
      </w:pPr>
      <w:r w:rsidRPr="006977B6">
        <w:rPr>
          <w:rFonts w:ascii="Times New Roman" w:hAnsi="Times New Roman" w:cs="Times New Roman"/>
          <w:b/>
          <w:sz w:val="24"/>
          <w:szCs w:val="24"/>
        </w:rPr>
        <w:t>Joonis 5</w:t>
      </w:r>
      <w:r w:rsidR="00344A70" w:rsidRPr="006977B6">
        <w:rPr>
          <w:rFonts w:ascii="Times New Roman" w:hAnsi="Times New Roman" w:cs="Times New Roman"/>
          <w:b/>
          <w:sz w:val="24"/>
          <w:szCs w:val="24"/>
        </w:rPr>
        <w:t>. EL liikmesriikide osat</w:t>
      </w:r>
      <w:r w:rsidR="00370085" w:rsidRPr="006977B6">
        <w:rPr>
          <w:rFonts w:ascii="Times New Roman" w:hAnsi="Times New Roman" w:cs="Times New Roman"/>
          <w:b/>
          <w:sz w:val="24"/>
          <w:szCs w:val="24"/>
        </w:rPr>
        <w:t>ähtsus teravilja kasvatuses 2013</w:t>
      </w:r>
      <w:r w:rsidR="00344A70" w:rsidRPr="006977B6">
        <w:rPr>
          <w:rFonts w:ascii="Times New Roman" w:hAnsi="Times New Roman" w:cs="Times New Roman"/>
          <w:b/>
          <w:sz w:val="24"/>
          <w:szCs w:val="24"/>
        </w:rPr>
        <w:t>. aastal</w:t>
      </w:r>
    </w:p>
    <w:p w:rsidR="001F7D67" w:rsidRPr="006977B6" w:rsidRDefault="001F7D67" w:rsidP="0024503A">
      <w:pPr>
        <w:pStyle w:val="BodyText"/>
        <w:spacing w:line="276" w:lineRule="auto"/>
        <w:rPr>
          <w:rFonts w:ascii="Times New Roman" w:hAnsi="Times New Roman" w:cs="Times New Roman"/>
          <w:b/>
          <w:sz w:val="24"/>
          <w:szCs w:val="24"/>
        </w:rPr>
      </w:pPr>
    </w:p>
    <w:p w:rsidR="00963593" w:rsidRDefault="00B40A65" w:rsidP="00617526">
      <w:pPr>
        <w:pStyle w:val="CommentText"/>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 xml:space="preserve">Ka </w:t>
      </w:r>
      <w:r w:rsidR="00921A24">
        <w:rPr>
          <w:rFonts w:ascii="Times New Roman" w:hAnsi="Times New Roman" w:cs="Times New Roman"/>
          <w:sz w:val="24"/>
          <w:szCs w:val="24"/>
        </w:rPr>
        <w:t xml:space="preserve">Eesti </w:t>
      </w:r>
      <w:r w:rsidRPr="0024503A">
        <w:rPr>
          <w:rFonts w:ascii="Times New Roman" w:hAnsi="Times New Roman" w:cs="Times New Roman"/>
          <w:sz w:val="24"/>
          <w:szCs w:val="24"/>
        </w:rPr>
        <w:t>klimaatiliste tingimuste ja mullaviljakuse juures on võimalik saagikust oluliselt tõsta. Seda näitavad ka viljelusvõistlustel</w:t>
      </w:r>
      <w:r w:rsidR="006B2B74">
        <w:rPr>
          <w:rStyle w:val="FootnoteReference"/>
          <w:rFonts w:ascii="Times New Roman" w:hAnsi="Times New Roman" w:cs="Times New Roman"/>
          <w:sz w:val="24"/>
          <w:szCs w:val="24"/>
        </w:rPr>
        <w:footnoteReference w:id="11"/>
      </w:r>
      <w:r w:rsidRPr="0024503A">
        <w:rPr>
          <w:rFonts w:ascii="Times New Roman" w:hAnsi="Times New Roman" w:cs="Times New Roman"/>
          <w:sz w:val="24"/>
          <w:szCs w:val="24"/>
        </w:rPr>
        <w:t xml:space="preserve"> saadud tulemused, kus teravilj</w:t>
      </w:r>
      <w:r w:rsidR="006B7CA3" w:rsidRPr="0024503A">
        <w:rPr>
          <w:rFonts w:ascii="Times New Roman" w:hAnsi="Times New Roman" w:cs="Times New Roman"/>
          <w:sz w:val="24"/>
          <w:szCs w:val="24"/>
        </w:rPr>
        <w:t>a rekordsaagid ulatuvad üle 7 tonni hektari kohta</w:t>
      </w:r>
      <w:r w:rsidR="003E7FA2" w:rsidRPr="0024503A">
        <w:rPr>
          <w:rFonts w:ascii="Times New Roman" w:hAnsi="Times New Roman" w:cs="Times New Roman"/>
          <w:sz w:val="24"/>
          <w:szCs w:val="24"/>
        </w:rPr>
        <w:t>. Üldiselt võib järeldada</w:t>
      </w:r>
      <w:r w:rsidRPr="0024503A">
        <w:rPr>
          <w:rFonts w:ascii="Times New Roman" w:hAnsi="Times New Roman" w:cs="Times New Roman"/>
          <w:sz w:val="24"/>
          <w:szCs w:val="24"/>
        </w:rPr>
        <w:t xml:space="preserve">, et mida suurem on tootja majapidamises kasutatav põllumaa, seda kõrgem </w:t>
      </w:r>
      <w:r w:rsidR="00D734C4" w:rsidRPr="0024503A">
        <w:rPr>
          <w:rFonts w:ascii="Times New Roman" w:hAnsi="Times New Roman" w:cs="Times New Roman"/>
          <w:sz w:val="24"/>
          <w:szCs w:val="24"/>
        </w:rPr>
        <w:t>on ka saavutatav saagikus (joonis 6). N</w:t>
      </w:r>
      <w:r w:rsidRPr="0024503A">
        <w:rPr>
          <w:rFonts w:ascii="Times New Roman" w:hAnsi="Times New Roman" w:cs="Times New Roman"/>
          <w:sz w:val="24"/>
          <w:szCs w:val="24"/>
        </w:rPr>
        <w:t>äiteks 201</w:t>
      </w:r>
      <w:r w:rsidR="00963593" w:rsidRPr="0024503A">
        <w:rPr>
          <w:rFonts w:ascii="Times New Roman" w:hAnsi="Times New Roman" w:cs="Times New Roman"/>
          <w:sz w:val="24"/>
          <w:szCs w:val="24"/>
        </w:rPr>
        <w:t>2</w:t>
      </w:r>
      <w:r w:rsidRPr="0024503A">
        <w:rPr>
          <w:rFonts w:ascii="Times New Roman" w:hAnsi="Times New Roman" w:cs="Times New Roman"/>
          <w:sz w:val="24"/>
          <w:szCs w:val="24"/>
        </w:rPr>
        <w:t xml:space="preserve">. aasta FADN andmete kohaselt oli </w:t>
      </w:r>
      <w:r w:rsidR="00963593" w:rsidRPr="0024503A">
        <w:rPr>
          <w:rFonts w:ascii="Times New Roman" w:hAnsi="Times New Roman" w:cs="Times New Roman"/>
          <w:sz w:val="24"/>
          <w:szCs w:val="24"/>
        </w:rPr>
        <w:t>8</w:t>
      </w:r>
      <w:r w:rsidR="006B7CA3" w:rsidRPr="0024503A">
        <w:rPr>
          <w:rFonts w:ascii="Times New Roman" w:hAnsi="Times New Roman" w:cs="Times New Roman"/>
          <w:sz w:val="24"/>
          <w:szCs w:val="24"/>
        </w:rPr>
        <w:t> </w:t>
      </w:r>
      <w:r w:rsidR="00963593" w:rsidRPr="0024503A">
        <w:rPr>
          <w:rFonts w:ascii="Times New Roman" w:hAnsi="Times New Roman" w:cs="Times New Roman"/>
          <w:sz w:val="24"/>
          <w:szCs w:val="24"/>
        </w:rPr>
        <w:t>000–25 000 euro standardkogutoodanguga ett</w:t>
      </w:r>
      <w:r w:rsidR="006B7CA3" w:rsidRPr="0024503A">
        <w:rPr>
          <w:rFonts w:ascii="Times New Roman" w:hAnsi="Times New Roman" w:cs="Times New Roman"/>
          <w:sz w:val="24"/>
          <w:szCs w:val="24"/>
        </w:rPr>
        <w:t>evõtte keskmine saagikus 2,95 tonni hektarilt</w:t>
      </w:r>
      <w:r w:rsidR="00963593" w:rsidRPr="0024503A">
        <w:rPr>
          <w:rFonts w:ascii="Times New Roman" w:hAnsi="Times New Roman" w:cs="Times New Roman"/>
          <w:sz w:val="24"/>
          <w:szCs w:val="24"/>
        </w:rPr>
        <w:t>, kuid 100</w:t>
      </w:r>
      <w:r w:rsidR="006B7CA3" w:rsidRPr="0024503A">
        <w:rPr>
          <w:rFonts w:ascii="Times New Roman" w:hAnsi="Times New Roman" w:cs="Times New Roman"/>
          <w:sz w:val="24"/>
          <w:szCs w:val="24"/>
        </w:rPr>
        <w:t> </w:t>
      </w:r>
      <w:r w:rsidR="00963593" w:rsidRPr="0024503A">
        <w:rPr>
          <w:rFonts w:ascii="Times New Roman" w:hAnsi="Times New Roman" w:cs="Times New Roman"/>
          <w:sz w:val="24"/>
          <w:szCs w:val="24"/>
        </w:rPr>
        <w:t>000–</w:t>
      </w:r>
      <w:r w:rsidR="003042E4" w:rsidRPr="0024503A">
        <w:rPr>
          <w:rFonts w:ascii="Times New Roman" w:hAnsi="Times New Roman" w:cs="Times New Roman"/>
          <w:sz w:val="24"/>
          <w:szCs w:val="24"/>
        </w:rPr>
        <w:t>500 000 euro standardkogutoodanguga ettevõttes keskmise</w:t>
      </w:r>
      <w:r w:rsidR="006B7CA3" w:rsidRPr="0024503A">
        <w:rPr>
          <w:rFonts w:ascii="Times New Roman" w:hAnsi="Times New Roman" w:cs="Times New Roman"/>
          <w:sz w:val="24"/>
          <w:szCs w:val="24"/>
        </w:rPr>
        <w:t>lt 4,35 tonni hektarilt</w:t>
      </w:r>
      <w:r w:rsidR="00560D87" w:rsidRPr="0024503A">
        <w:rPr>
          <w:rFonts w:ascii="Times New Roman" w:hAnsi="Times New Roman" w:cs="Times New Roman"/>
          <w:sz w:val="24"/>
          <w:szCs w:val="24"/>
        </w:rPr>
        <w:t>.</w:t>
      </w:r>
    </w:p>
    <w:p w:rsidR="003031D2" w:rsidRPr="0024503A" w:rsidRDefault="003031D2" w:rsidP="00617526">
      <w:pPr>
        <w:pStyle w:val="CommentText"/>
        <w:spacing w:line="276" w:lineRule="auto"/>
        <w:jc w:val="both"/>
        <w:rPr>
          <w:rFonts w:ascii="Times New Roman" w:hAnsi="Times New Roman" w:cs="Times New Roman"/>
          <w:sz w:val="24"/>
          <w:szCs w:val="24"/>
        </w:rPr>
      </w:pPr>
    </w:p>
    <w:p w:rsidR="00B40A65" w:rsidRPr="00D549C9" w:rsidRDefault="00B40A65" w:rsidP="00617526">
      <w:pPr>
        <w:pStyle w:val="BodyText"/>
        <w:spacing w:line="276" w:lineRule="auto"/>
        <w:rPr>
          <w:sz w:val="24"/>
          <w:szCs w:val="24"/>
        </w:rPr>
      </w:pPr>
      <w:r w:rsidRPr="004C2338">
        <w:rPr>
          <w:noProof/>
          <w:sz w:val="16"/>
          <w:szCs w:val="16"/>
        </w:rPr>
        <w:drawing>
          <wp:inline distT="0" distB="0" distL="0" distR="0" wp14:anchorId="37DF2D9F" wp14:editId="07E60661">
            <wp:extent cx="6115050" cy="2209800"/>
            <wp:effectExtent l="0" t="0" r="19050" b="1905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40A65" w:rsidRPr="00FE0C3F" w:rsidRDefault="00B40A65" w:rsidP="00617526">
      <w:pPr>
        <w:pStyle w:val="BodyText"/>
        <w:spacing w:line="276" w:lineRule="auto"/>
        <w:rPr>
          <w:rFonts w:ascii="Arial" w:hAnsi="Arial" w:cs="Arial"/>
        </w:rPr>
      </w:pPr>
      <w:r w:rsidRPr="00FE0C3F">
        <w:rPr>
          <w:rFonts w:ascii="Arial" w:hAnsi="Arial" w:cs="Arial"/>
        </w:rPr>
        <w:t>Allikas: SA</w:t>
      </w:r>
    </w:p>
    <w:p w:rsidR="00B40A65" w:rsidRDefault="00B40A65" w:rsidP="00617526">
      <w:pPr>
        <w:pStyle w:val="BodyText"/>
        <w:spacing w:line="276" w:lineRule="auto"/>
        <w:rPr>
          <w:b/>
          <w:sz w:val="24"/>
          <w:szCs w:val="24"/>
        </w:rPr>
      </w:pPr>
      <w:r w:rsidRPr="00D549C9">
        <w:rPr>
          <w:b/>
          <w:sz w:val="24"/>
          <w:szCs w:val="24"/>
        </w:rPr>
        <w:lastRenderedPageBreak/>
        <w:t xml:space="preserve">Joonis 6. Teravilja saagikus kasvupinna suuruse järgi ettevõttes 2012. aastal </w:t>
      </w:r>
    </w:p>
    <w:p w:rsidR="00B40A65" w:rsidRPr="0024503A" w:rsidRDefault="00B40A65" w:rsidP="00617526">
      <w:pPr>
        <w:pStyle w:val="BodyText"/>
        <w:spacing w:line="276" w:lineRule="auto"/>
        <w:rPr>
          <w:rFonts w:ascii="Times New Roman" w:hAnsi="Times New Roman" w:cs="Times New Roman"/>
          <w:sz w:val="24"/>
          <w:szCs w:val="24"/>
        </w:rPr>
      </w:pPr>
      <w:r w:rsidRPr="0024503A">
        <w:rPr>
          <w:rFonts w:ascii="Times New Roman" w:hAnsi="Times New Roman" w:cs="Times New Roman"/>
          <w:sz w:val="24"/>
          <w:szCs w:val="24"/>
        </w:rPr>
        <w:t>Teravilja saagikust Eestis mõjutavad olenevalt aastast ilmastik ja agrotehnilised aspektid – väetamine, taimekaitse, mullaharimis- ja külvitehnoloogia jne. Väga olulis</w:t>
      </w:r>
      <w:r w:rsidR="006F7800">
        <w:rPr>
          <w:rFonts w:ascii="Times New Roman" w:hAnsi="Times New Roman" w:cs="Times New Roman"/>
          <w:sz w:val="24"/>
          <w:szCs w:val="24"/>
        </w:rPr>
        <w:t xml:space="preserve">eks teguriks on ka integreeritud taimekaitse rakendamine koos </w:t>
      </w:r>
      <w:r w:rsidRPr="0024503A">
        <w:rPr>
          <w:rFonts w:ascii="Times New Roman" w:hAnsi="Times New Roman" w:cs="Times New Roman"/>
          <w:sz w:val="24"/>
          <w:szCs w:val="24"/>
        </w:rPr>
        <w:t>sertifitseeritud seemne ja uute sortide kasutami</w:t>
      </w:r>
      <w:r w:rsidR="006F7800">
        <w:rPr>
          <w:rFonts w:ascii="Times New Roman" w:hAnsi="Times New Roman" w:cs="Times New Roman"/>
          <w:sz w:val="24"/>
          <w:szCs w:val="24"/>
        </w:rPr>
        <w:t>sega.</w:t>
      </w:r>
      <w:r w:rsidRPr="0024503A">
        <w:rPr>
          <w:rFonts w:ascii="Times New Roman" w:hAnsi="Times New Roman" w:cs="Times New Roman"/>
          <w:sz w:val="24"/>
          <w:szCs w:val="24"/>
        </w:rPr>
        <w:t xml:space="preserve"> </w:t>
      </w:r>
      <w:r w:rsidR="003E7FA2" w:rsidRPr="0024503A">
        <w:rPr>
          <w:rFonts w:ascii="Times New Roman" w:hAnsi="Times New Roman" w:cs="Times New Roman"/>
          <w:sz w:val="24"/>
          <w:szCs w:val="24"/>
        </w:rPr>
        <w:t>Äärmiselt oluline on ka uute sortide aretamine</w:t>
      </w:r>
      <w:r w:rsidR="005A750D">
        <w:rPr>
          <w:rFonts w:ascii="Times New Roman" w:hAnsi="Times New Roman" w:cs="Times New Roman"/>
          <w:sz w:val="24"/>
          <w:szCs w:val="24"/>
        </w:rPr>
        <w:t>, mis oleksid</w:t>
      </w:r>
      <w:r w:rsidRPr="0024503A">
        <w:rPr>
          <w:rFonts w:ascii="Times New Roman" w:hAnsi="Times New Roman" w:cs="Times New Roman"/>
          <w:sz w:val="24"/>
          <w:szCs w:val="24"/>
        </w:rPr>
        <w:t xml:space="preserve"> suurema saagipotentsiaaliga ja vastupidavamad </w:t>
      </w:r>
      <w:r w:rsidR="00BB60F6">
        <w:rPr>
          <w:rFonts w:ascii="Times New Roman" w:hAnsi="Times New Roman" w:cs="Times New Roman"/>
          <w:sz w:val="24"/>
          <w:szCs w:val="24"/>
        </w:rPr>
        <w:t>Eesti</w:t>
      </w:r>
      <w:r w:rsidR="00BB60F6" w:rsidRPr="0024503A">
        <w:rPr>
          <w:rFonts w:ascii="Times New Roman" w:hAnsi="Times New Roman" w:cs="Times New Roman"/>
          <w:sz w:val="24"/>
          <w:szCs w:val="24"/>
        </w:rPr>
        <w:t xml:space="preserve"> </w:t>
      </w:r>
      <w:r w:rsidRPr="0024503A">
        <w:rPr>
          <w:rFonts w:ascii="Times New Roman" w:hAnsi="Times New Roman" w:cs="Times New Roman"/>
          <w:sz w:val="24"/>
          <w:szCs w:val="24"/>
        </w:rPr>
        <w:t>oludele (eriti taliviljade puhul).</w:t>
      </w:r>
    </w:p>
    <w:p w:rsidR="00DC3919" w:rsidRDefault="00DC3919" w:rsidP="00DC3919">
      <w:pPr>
        <w:spacing w:line="276" w:lineRule="auto"/>
        <w:jc w:val="both"/>
        <w:rPr>
          <w:rFonts w:ascii="Times New Roman" w:eastAsia="Times New Roman" w:hAnsi="Times New Roman" w:cs="Times New Roman"/>
          <w:sz w:val="24"/>
          <w:szCs w:val="24"/>
          <w:lang w:eastAsia="en-US"/>
        </w:rPr>
      </w:pPr>
    </w:p>
    <w:p w:rsidR="00DC3919" w:rsidRDefault="00DC3919" w:rsidP="00DC3919">
      <w:pPr>
        <w:spacing w:line="276"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I</w:t>
      </w:r>
      <w:r w:rsidRPr="00E30B26">
        <w:rPr>
          <w:rFonts w:ascii="Times New Roman" w:eastAsia="Times New Roman" w:hAnsi="Times New Roman" w:cs="Times New Roman"/>
          <w:sz w:val="24"/>
          <w:szCs w:val="24"/>
          <w:lang w:eastAsia="en-US"/>
        </w:rPr>
        <w:t xml:space="preserve">ntegreeritud taimekaitse on kasutatavate taimekaitseabinõude hoolikas </w:t>
      </w:r>
      <w:r w:rsidR="004F28C5">
        <w:rPr>
          <w:rFonts w:ascii="Times New Roman" w:eastAsia="Times New Roman" w:hAnsi="Times New Roman" w:cs="Times New Roman"/>
          <w:sz w:val="24"/>
          <w:szCs w:val="24"/>
          <w:lang w:eastAsia="en-US"/>
        </w:rPr>
        <w:t>valimine</w:t>
      </w:r>
      <w:r w:rsidRPr="00E30B26">
        <w:rPr>
          <w:rFonts w:ascii="Times New Roman" w:eastAsia="Times New Roman" w:hAnsi="Times New Roman" w:cs="Times New Roman"/>
          <w:sz w:val="24"/>
          <w:szCs w:val="24"/>
          <w:lang w:eastAsia="en-US"/>
        </w:rPr>
        <w:t xml:space="preserve"> ning sellele järgnev kahjulike organismide populatsioonide arengut tõkestavate sobivate meetmete rakendamine selliselt, et taimekaitsevahendi ja muude abinõude kasutamine püsiks majanduslikult ja ökoloogiliselt põhjendatud tasemel ning oht inimese tervisele ja keskkonnale oleks vähendatud või viidud miinimumini.</w:t>
      </w:r>
      <w:r w:rsidRPr="00E30B26">
        <w:rPr>
          <w:rFonts w:ascii="Times New Roman" w:eastAsia="Times New Roman" w:hAnsi="Times New Roman" w:cs="Times New Roman"/>
          <w:color w:val="000000"/>
          <w:sz w:val="24"/>
          <w:szCs w:val="24"/>
        </w:rPr>
        <w:t xml:space="preserve"> Seega tuleb alustada taimekahjustajate levikut ennetavate abinõudega, mida saab osaliselt teha juba külviplaanide koostamise ajal. Seejärel tuleb teha vaatlusi igal konkreetsel põllul või alal või kasutada üldiseid kahjustajate leviku andmeid ning alles siis, kui kahjustajate levik ohustab kasvatatavat kultuurtaime, tuleb asuda tõrjeabinõusid rakendama. </w:t>
      </w:r>
      <w:r w:rsidRPr="00E30B26">
        <w:rPr>
          <w:rFonts w:ascii="Times New Roman" w:eastAsia="Times New Roman" w:hAnsi="Times New Roman" w:cs="Times New Roman"/>
          <w:color w:val="000000"/>
          <w:sz w:val="24"/>
          <w:szCs w:val="24"/>
          <w:lang w:eastAsia="en-US"/>
        </w:rPr>
        <w:t>Integreeritud taimekaitse põhimõtete arvestamine</w:t>
      </w:r>
      <w:r w:rsidR="004F28C5">
        <w:rPr>
          <w:rFonts w:ascii="Times New Roman" w:eastAsia="Times New Roman" w:hAnsi="Times New Roman" w:cs="Times New Roman"/>
          <w:color w:val="000000"/>
          <w:sz w:val="24"/>
          <w:szCs w:val="24"/>
          <w:lang w:eastAsia="en-US"/>
        </w:rPr>
        <w:t xml:space="preserve"> on alates 2014. aasta 1. jaanuarist</w:t>
      </w:r>
      <w:r w:rsidRPr="00E30B26">
        <w:rPr>
          <w:rFonts w:ascii="Times New Roman" w:eastAsia="Times New Roman" w:hAnsi="Times New Roman" w:cs="Times New Roman"/>
          <w:color w:val="000000"/>
          <w:sz w:val="24"/>
          <w:szCs w:val="24"/>
          <w:lang w:eastAsia="en-US"/>
        </w:rPr>
        <w:t xml:space="preserve"> kohustuslik </w:t>
      </w:r>
      <w:r w:rsidRPr="00E30B26">
        <w:rPr>
          <w:rFonts w:ascii="Times New Roman" w:eastAsia="Times New Roman" w:hAnsi="Times New Roman" w:cs="Times New Roman"/>
          <w:sz w:val="24"/>
          <w:szCs w:val="24"/>
          <w:lang w:eastAsia="en-US"/>
        </w:rPr>
        <w:t xml:space="preserve">kõikidele taimekaitsevahendite kasutajatele, kuid põllukultuuri ja sektoripõhiste integreeritud taimekaitsesuuniste järgimine jääb vabatahtlikuks. </w:t>
      </w:r>
      <w:r w:rsidR="00206889" w:rsidRPr="00206889">
        <w:rPr>
          <w:rFonts w:ascii="Times New Roman" w:eastAsia="Times New Roman" w:hAnsi="Times New Roman" w:cs="Times New Roman"/>
          <w:color w:val="000000"/>
          <w:sz w:val="24"/>
          <w:szCs w:val="24"/>
          <w:lang w:eastAsia="en-US"/>
        </w:rPr>
        <w:t>Taimekaitsevahendite säästva kasuta</w:t>
      </w:r>
      <w:r w:rsidR="00461E79">
        <w:rPr>
          <w:rFonts w:ascii="Times New Roman" w:eastAsia="Times New Roman" w:hAnsi="Times New Roman" w:cs="Times New Roman"/>
          <w:color w:val="000000"/>
          <w:sz w:val="24"/>
          <w:szCs w:val="24"/>
          <w:lang w:eastAsia="en-US"/>
        </w:rPr>
        <w:t>mise tegevuskava aastateks 2013–</w:t>
      </w:r>
      <w:r w:rsidR="00206889" w:rsidRPr="00206889">
        <w:rPr>
          <w:rFonts w:ascii="Times New Roman" w:eastAsia="Times New Roman" w:hAnsi="Times New Roman" w:cs="Times New Roman"/>
          <w:color w:val="000000"/>
          <w:sz w:val="24"/>
          <w:szCs w:val="24"/>
          <w:lang w:eastAsia="en-US"/>
        </w:rPr>
        <w:t>2017 raames planeeritakse muuhulgas ka integreeritud taimekaitse rakendamist hõlbustavate tegevuste elluviimist.</w:t>
      </w:r>
    </w:p>
    <w:p w:rsidR="009C5E07" w:rsidRDefault="009C5E07" w:rsidP="00DC3919">
      <w:pPr>
        <w:spacing w:line="276" w:lineRule="auto"/>
        <w:jc w:val="both"/>
        <w:rPr>
          <w:rFonts w:ascii="Times New Roman" w:eastAsia="Times New Roman" w:hAnsi="Times New Roman" w:cs="Times New Roman"/>
          <w:color w:val="000000"/>
          <w:sz w:val="24"/>
          <w:szCs w:val="24"/>
          <w:lang w:eastAsia="en-US"/>
        </w:rPr>
      </w:pPr>
    </w:p>
    <w:p w:rsidR="00DC3919" w:rsidRPr="0024503A" w:rsidRDefault="00DC3919" w:rsidP="00DC3919">
      <w:pPr>
        <w:spacing w:line="276" w:lineRule="auto"/>
        <w:jc w:val="both"/>
        <w:rPr>
          <w:rFonts w:ascii="Times New Roman" w:hAnsi="Times New Roman" w:cs="Times New Roman"/>
          <w:b/>
          <w:sz w:val="24"/>
          <w:szCs w:val="24"/>
        </w:rPr>
      </w:pPr>
      <w:r w:rsidRPr="00D176B1">
        <w:rPr>
          <w:rFonts w:ascii="Times New Roman" w:eastAsia="Times New Roman" w:hAnsi="Times New Roman" w:cs="Times New Roman"/>
          <w:color w:val="000000"/>
          <w:sz w:val="24"/>
          <w:szCs w:val="24"/>
          <w:lang w:eastAsia="en-US"/>
        </w:rPr>
        <w:t>Põllumajandusministeeriumi tellimusel tegi Turu-uuringute AS 2009. aastal uuringu</w:t>
      </w:r>
      <w:r w:rsidRPr="00D176B1">
        <w:rPr>
          <w:rFonts w:ascii="Times New Roman" w:eastAsia="Times New Roman" w:hAnsi="Times New Roman" w:cs="Times New Roman"/>
          <w:color w:val="000000"/>
          <w:sz w:val="24"/>
          <w:szCs w:val="24"/>
          <w:vertAlign w:val="superscript"/>
          <w:lang w:eastAsia="en-US"/>
        </w:rPr>
        <w:footnoteReference w:id="12"/>
      </w:r>
      <w:r w:rsidRPr="00D176B1">
        <w:rPr>
          <w:rFonts w:ascii="Times New Roman" w:eastAsia="Times New Roman" w:hAnsi="Times New Roman" w:cs="Times New Roman"/>
          <w:color w:val="000000"/>
          <w:sz w:val="24"/>
          <w:szCs w:val="24"/>
          <w:lang w:eastAsia="en-US"/>
        </w:rPr>
        <w:t>, mille eesmärgiks oli välja selgitada intensiivse taimekasvatusega tegelevate põllumajandustootjate teadlikkus integreeritud taimekaitse põhimõtetest ja nende kasutamisest praktikas.</w:t>
      </w:r>
      <w:r>
        <w:rPr>
          <w:rFonts w:ascii="Times New Roman" w:eastAsia="Times New Roman" w:hAnsi="Times New Roman" w:cs="Times New Roman"/>
          <w:color w:val="000000"/>
          <w:sz w:val="24"/>
          <w:szCs w:val="24"/>
          <w:lang w:eastAsia="en-US"/>
        </w:rPr>
        <w:t xml:space="preserve"> </w:t>
      </w:r>
      <w:r w:rsidRPr="00D176B1">
        <w:rPr>
          <w:rFonts w:ascii="Times New Roman" w:eastAsia="Times New Roman" w:hAnsi="Times New Roman" w:cs="Times New Roman"/>
          <w:color w:val="000000"/>
          <w:sz w:val="24"/>
          <w:szCs w:val="24"/>
          <w:lang w:eastAsia="en-US"/>
        </w:rPr>
        <w:t>Uuringu tulemusel selgus, et teataval määral rakendatakse integreeritud taimek</w:t>
      </w:r>
      <w:r w:rsidR="00811BF7">
        <w:rPr>
          <w:rFonts w:ascii="Times New Roman" w:eastAsia="Times New Roman" w:hAnsi="Times New Roman" w:cs="Times New Roman"/>
          <w:color w:val="000000"/>
          <w:sz w:val="24"/>
          <w:szCs w:val="24"/>
          <w:lang w:eastAsia="en-US"/>
        </w:rPr>
        <w:t>aitse põhimõtteid juba praegugi.</w:t>
      </w:r>
      <w:r w:rsidRPr="00D176B1">
        <w:rPr>
          <w:rFonts w:ascii="Times New Roman" w:eastAsia="Times New Roman" w:hAnsi="Times New Roman" w:cs="Times New Roman"/>
          <w:color w:val="000000"/>
          <w:sz w:val="24"/>
          <w:szCs w:val="24"/>
          <w:lang w:eastAsia="en-US"/>
        </w:rPr>
        <w:t xml:space="preserve"> Rakendatakse viljavaheldust, kasutatakse sertifitseeritud seemet, taimekahjustajate leviku hindamine toimub kohapeal tehtavate visuaalsete vaatluste teel, valdavalt rakendatakse taimekaitsevahendite rotatsiooni ning taimekaitsevahendite valikul ja kasutusnormide määramisel kasutatakse ka nõustaja abi. Positiivsete tulemustena mainiti, et integreeritud taimekaitse põhimõtete rakendamisega on enamasti saavutatud taimekaitsevahendite kasutuskoguste vähenemine ja kulude kokkuhoid (nt töötundide ja taimekaitsevahendite arvelt) ning teatavatel juhtudel on see olnud müügiargumendiks toodangu realiseerimisel.</w:t>
      </w:r>
      <w:r w:rsidR="00206889" w:rsidRPr="00206889">
        <w:t xml:space="preserve"> </w:t>
      </w:r>
    </w:p>
    <w:p w:rsidR="0009155D" w:rsidRDefault="0009155D" w:rsidP="00617526">
      <w:pPr>
        <w:pStyle w:val="BodyText"/>
        <w:spacing w:line="276" w:lineRule="auto"/>
        <w:rPr>
          <w:rFonts w:ascii="Times New Roman" w:hAnsi="Times New Roman" w:cs="Times New Roman"/>
          <w:sz w:val="24"/>
          <w:szCs w:val="24"/>
        </w:rPr>
      </w:pPr>
    </w:p>
    <w:p w:rsidR="007405E1" w:rsidRPr="007405E1" w:rsidRDefault="007405E1" w:rsidP="007405E1">
      <w:pPr>
        <w:spacing w:line="276" w:lineRule="auto"/>
        <w:jc w:val="both"/>
        <w:rPr>
          <w:rFonts w:ascii="Times New Roman" w:hAnsi="Times New Roman" w:cs="Times New Roman"/>
          <w:sz w:val="24"/>
          <w:szCs w:val="24"/>
        </w:rPr>
      </w:pPr>
      <w:r w:rsidRPr="007405E1">
        <w:rPr>
          <w:rFonts w:ascii="Times New Roman" w:hAnsi="Times New Roman" w:cs="Times New Roman"/>
          <w:sz w:val="24"/>
          <w:szCs w:val="24"/>
        </w:rPr>
        <w:t xml:space="preserve">Kvaliteetne seeme on sisendiks kogu toiduahelale, mille tulemuseks on nii kvaliteetsem tooraine toiduainetööstusele kui ka loomasööda valmistamisele. Sertifitseeritud seemne kasutamine tagab suurema saagikuse, sest seemnete idanevus, liigi- ja sordiehtsus on kontrollitud ning seemned on vabad haigustest ja kahjustajatest. Samuti seab toiduainetööstus väga kõrged standardid kokkuostetavale viljale ning seetõttu on ääretult oluline sobiva sordi ja sertifitseeritud seemne kasutamine. Sertifitseeritud seemne kasutamine ei ole kohustuslik, seega võidakse kasutada ka omatarbeks toodetud seemet, kuid nii võib väheneda saagikus, suureneda umbrohtumus ning levida </w:t>
      </w:r>
      <w:r w:rsidRPr="007405E1">
        <w:rPr>
          <w:rFonts w:ascii="Times New Roman" w:hAnsi="Times New Roman" w:cs="Times New Roman"/>
          <w:sz w:val="24"/>
          <w:szCs w:val="24"/>
        </w:rPr>
        <w:lastRenderedPageBreak/>
        <w:t>haigused. Statistikaameti 2011. aasta andmetel oli teraviljakasvatuses kasutatud seemnetest vaid 10% sertifitseeritud, kuigi see näitaja erines oluliselt liigiti (nt kaera puhul 12,5%). 2011. aastal MTÜ Eesti Seemneliidu tellimusel ja Turu-uuringute AS poolt läbiviidud uuringust selgus, et valdavalt ostetakse õlikultuuride (raps) puhul sertifitseeritud seemet ja teiste põllumajanduskultuuride (eeskätt teravili) puhul lähtutakse põhimõttest, et sertifitseeritud seemet ostetakse niipalju kui on vaja</w:t>
      </w:r>
      <w:r w:rsidR="00C650DC">
        <w:rPr>
          <w:rFonts w:ascii="Times New Roman" w:hAnsi="Times New Roman" w:cs="Times New Roman"/>
          <w:sz w:val="24"/>
          <w:szCs w:val="24"/>
        </w:rPr>
        <w:t xml:space="preserve"> MAK keskkonnasõbraliku majandamise toetuse nõude täitmiseks. MAK </w:t>
      </w:r>
      <w:r w:rsidR="00E451B1">
        <w:rPr>
          <w:rFonts w:ascii="Times New Roman" w:hAnsi="Times New Roman" w:cs="Times New Roman"/>
          <w:sz w:val="24"/>
          <w:szCs w:val="24"/>
        </w:rPr>
        <w:t>2007–</w:t>
      </w:r>
      <w:r w:rsidR="00C650DC">
        <w:rPr>
          <w:rFonts w:ascii="Times New Roman" w:hAnsi="Times New Roman" w:cs="Times New Roman"/>
          <w:sz w:val="24"/>
          <w:szCs w:val="24"/>
        </w:rPr>
        <w:t>2014 k</w:t>
      </w:r>
      <w:r w:rsidRPr="007405E1">
        <w:rPr>
          <w:rFonts w:ascii="Times New Roman" w:hAnsi="Times New Roman" w:cs="Times New Roman"/>
          <w:sz w:val="24"/>
          <w:szCs w:val="24"/>
        </w:rPr>
        <w:t>eskkonnasõbraliku majan</w:t>
      </w:r>
      <w:r w:rsidR="00C650DC">
        <w:rPr>
          <w:rFonts w:ascii="Times New Roman" w:hAnsi="Times New Roman" w:cs="Times New Roman"/>
          <w:sz w:val="24"/>
          <w:szCs w:val="24"/>
        </w:rPr>
        <w:t>damise toetuse nõude kohaselt oli</w:t>
      </w:r>
      <w:r w:rsidRPr="007405E1">
        <w:rPr>
          <w:rFonts w:ascii="Times New Roman" w:hAnsi="Times New Roman" w:cs="Times New Roman"/>
          <w:sz w:val="24"/>
          <w:szCs w:val="24"/>
        </w:rPr>
        <w:t xml:space="preserve"> vaja 15% külvidest teha sertifitseeritud seemnega.</w:t>
      </w:r>
      <w:r w:rsidR="00C650DC">
        <w:rPr>
          <w:rFonts w:ascii="Times New Roman" w:hAnsi="Times New Roman" w:cs="Times New Roman"/>
          <w:sz w:val="24"/>
          <w:szCs w:val="24"/>
        </w:rPr>
        <w:t xml:space="preserve"> MAK </w:t>
      </w:r>
      <w:r w:rsidR="00E451B1">
        <w:rPr>
          <w:rFonts w:ascii="Times New Roman" w:hAnsi="Times New Roman" w:cs="Times New Roman"/>
          <w:sz w:val="24"/>
          <w:szCs w:val="24"/>
        </w:rPr>
        <w:t>2014–</w:t>
      </w:r>
      <w:r w:rsidR="00C650DC">
        <w:rPr>
          <w:rFonts w:ascii="Times New Roman" w:hAnsi="Times New Roman" w:cs="Times New Roman"/>
          <w:sz w:val="24"/>
          <w:szCs w:val="24"/>
        </w:rPr>
        <w:t>2020 keskkonnasõbraliku majandamise toetusega kavandatakse suurendada just sertifitseeritud teraviljaseemne kasutamist</w:t>
      </w:r>
      <w:r w:rsidR="00E451B1">
        <w:rPr>
          <w:rFonts w:ascii="Times New Roman" w:hAnsi="Times New Roman" w:cs="Times New Roman"/>
          <w:sz w:val="24"/>
          <w:szCs w:val="24"/>
        </w:rPr>
        <w:t xml:space="preserve"> </w:t>
      </w:r>
      <w:r w:rsidR="00C650DC">
        <w:rPr>
          <w:rFonts w:ascii="Times New Roman" w:hAnsi="Times New Roman" w:cs="Times New Roman"/>
          <w:sz w:val="24"/>
          <w:szCs w:val="24"/>
        </w:rPr>
        <w:t>15%-l</w:t>
      </w:r>
      <w:r w:rsidR="00C650DC" w:rsidRPr="001B400D">
        <w:rPr>
          <w:rFonts w:ascii="Times New Roman" w:hAnsi="Times New Roman" w:cs="Times New Roman"/>
          <w:sz w:val="24"/>
          <w:szCs w:val="24"/>
        </w:rPr>
        <w:t xml:space="preserve"> teraviljade külvipinnast</w:t>
      </w:r>
      <w:r w:rsidR="00E451B1">
        <w:rPr>
          <w:rFonts w:ascii="Times New Roman" w:hAnsi="Times New Roman" w:cs="Times New Roman"/>
          <w:sz w:val="24"/>
          <w:szCs w:val="24"/>
        </w:rPr>
        <w:t>.</w:t>
      </w:r>
      <w:r w:rsidRPr="007405E1">
        <w:rPr>
          <w:rFonts w:ascii="Times New Roman" w:hAnsi="Times New Roman" w:cs="Times New Roman"/>
          <w:sz w:val="24"/>
          <w:szCs w:val="24"/>
        </w:rPr>
        <w:t xml:space="preserve"> </w:t>
      </w:r>
    </w:p>
    <w:p w:rsidR="00DC3919" w:rsidRDefault="00B40A65" w:rsidP="00DC3919">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 xml:space="preserve"> </w:t>
      </w:r>
    </w:p>
    <w:p w:rsidR="00DC3919" w:rsidRDefault="00DC3919" w:rsidP="00DC3919">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Euroopa Komisjoni tellitud uuringu</w:t>
      </w:r>
      <w:r w:rsidRPr="0024503A">
        <w:rPr>
          <w:rStyle w:val="FootnoteReference"/>
          <w:rFonts w:ascii="Times New Roman" w:hAnsi="Times New Roman" w:cs="Times New Roman"/>
          <w:sz w:val="24"/>
          <w:szCs w:val="24"/>
        </w:rPr>
        <w:footnoteReference w:id="13"/>
      </w:r>
      <w:r w:rsidRPr="0024503A">
        <w:rPr>
          <w:rFonts w:ascii="Times New Roman" w:hAnsi="Times New Roman" w:cs="Times New Roman"/>
          <w:sz w:val="24"/>
          <w:szCs w:val="24"/>
        </w:rPr>
        <w:t xml:space="preserve"> järgi on Põhja-Euroopas järgmise saja aasta jooksul oodata temperatuuri märkimisväärset </w:t>
      </w:r>
      <w:r w:rsidR="00FD6E7E">
        <w:rPr>
          <w:rFonts w:ascii="Times New Roman" w:hAnsi="Times New Roman" w:cs="Times New Roman"/>
          <w:sz w:val="24"/>
          <w:szCs w:val="24"/>
        </w:rPr>
        <w:t>tõusu</w:t>
      </w:r>
      <w:r w:rsidR="00FD6E7E" w:rsidRPr="0024503A">
        <w:rPr>
          <w:rFonts w:ascii="Times New Roman" w:hAnsi="Times New Roman" w:cs="Times New Roman"/>
          <w:sz w:val="24"/>
          <w:szCs w:val="24"/>
        </w:rPr>
        <w:t xml:space="preserve"> </w:t>
      </w:r>
      <w:r w:rsidRPr="0024503A">
        <w:rPr>
          <w:rFonts w:ascii="Times New Roman" w:hAnsi="Times New Roman" w:cs="Times New Roman"/>
          <w:sz w:val="24"/>
          <w:szCs w:val="24"/>
        </w:rPr>
        <w:t>(3</w:t>
      </w:r>
      <w:r>
        <w:rPr>
          <w:rFonts w:ascii="Times New Roman" w:hAnsi="Times New Roman" w:cs="Times New Roman"/>
          <w:sz w:val="24"/>
          <w:szCs w:val="24"/>
        </w:rPr>
        <w:t>–</w:t>
      </w:r>
      <w:r w:rsidRPr="0024503A">
        <w:rPr>
          <w:rFonts w:ascii="Times New Roman" w:hAnsi="Times New Roman" w:cs="Times New Roman"/>
          <w:sz w:val="24"/>
          <w:szCs w:val="24"/>
        </w:rPr>
        <w:t>4 kraadi aastaks 2100), millega kaasneb ka sademete hulga oluline kasv. Uuringu projektsiooni järgi muutuvad talved oluliselt soojemaks ja niiskemaks, millega kaasneb talviste üleujutuste risk. Tihedad vihmasajud ja tormid muutuvad samuti</w:t>
      </w:r>
      <w:r w:rsidR="00B05ABB">
        <w:rPr>
          <w:rFonts w:ascii="Times New Roman" w:hAnsi="Times New Roman" w:cs="Times New Roman"/>
          <w:sz w:val="24"/>
          <w:szCs w:val="24"/>
        </w:rPr>
        <w:t xml:space="preserve"> senisest oluliselt sagedamaks.</w:t>
      </w:r>
      <w:r w:rsidRPr="0024503A">
        <w:rPr>
          <w:rFonts w:ascii="Times New Roman" w:hAnsi="Times New Roman" w:cs="Times New Roman"/>
          <w:sz w:val="24"/>
          <w:szCs w:val="24"/>
        </w:rPr>
        <w:t xml:space="preserve"> S</w:t>
      </w:r>
      <w:r w:rsidR="00C650DC">
        <w:rPr>
          <w:rFonts w:ascii="Times New Roman" w:hAnsi="Times New Roman" w:cs="Times New Roman"/>
          <w:sz w:val="24"/>
          <w:szCs w:val="24"/>
        </w:rPr>
        <w:t>amuti</w:t>
      </w:r>
      <w:r w:rsidRPr="0024503A">
        <w:rPr>
          <w:rFonts w:ascii="Times New Roman" w:hAnsi="Times New Roman" w:cs="Times New Roman"/>
          <w:sz w:val="24"/>
          <w:szCs w:val="24"/>
        </w:rPr>
        <w:t xml:space="preserve"> </w:t>
      </w:r>
      <w:r>
        <w:rPr>
          <w:rFonts w:ascii="Times New Roman" w:hAnsi="Times New Roman" w:cs="Times New Roman"/>
          <w:sz w:val="24"/>
          <w:szCs w:val="24"/>
        </w:rPr>
        <w:t>toob kliima soojenemine tõenäoliselt kaasa</w:t>
      </w:r>
      <w:r w:rsidRPr="0024503A">
        <w:rPr>
          <w:rFonts w:ascii="Times New Roman" w:hAnsi="Times New Roman" w:cs="Times New Roman"/>
          <w:sz w:val="24"/>
          <w:szCs w:val="24"/>
        </w:rPr>
        <w:t xml:space="preserve"> vegetatsiooniperioodi pikenemi</w:t>
      </w:r>
      <w:r>
        <w:rPr>
          <w:rFonts w:ascii="Times New Roman" w:hAnsi="Times New Roman" w:cs="Times New Roman"/>
          <w:sz w:val="24"/>
          <w:szCs w:val="24"/>
        </w:rPr>
        <w:t>s</w:t>
      </w:r>
      <w:r w:rsidRPr="0024503A">
        <w:rPr>
          <w:rFonts w:ascii="Times New Roman" w:hAnsi="Times New Roman" w:cs="Times New Roman"/>
          <w:sz w:val="24"/>
          <w:szCs w:val="24"/>
        </w:rPr>
        <w:t>e ja saagikuse kasv</w:t>
      </w:r>
      <w:r>
        <w:rPr>
          <w:rFonts w:ascii="Times New Roman" w:hAnsi="Times New Roman" w:cs="Times New Roman"/>
          <w:sz w:val="24"/>
          <w:szCs w:val="24"/>
        </w:rPr>
        <w:t>u</w:t>
      </w:r>
      <w:r w:rsidRPr="0024503A">
        <w:rPr>
          <w:rFonts w:ascii="Times New Roman" w:hAnsi="Times New Roman" w:cs="Times New Roman"/>
          <w:sz w:val="24"/>
          <w:szCs w:val="24"/>
        </w:rPr>
        <w:t>. Kliima soojenemisega kaasnevateks riskideks on taimehaiguste ja -kahjustajate levik, üleujutused, vee kvaliteedi langus, erakorraliste ilmastikunähtuste (põuad ja üleujutused) sageduse suurenemine.</w:t>
      </w:r>
    </w:p>
    <w:p w:rsidR="00B40A65" w:rsidRPr="0024503A" w:rsidRDefault="00B40A65" w:rsidP="00617526">
      <w:pPr>
        <w:pStyle w:val="BodyText"/>
        <w:spacing w:line="276" w:lineRule="auto"/>
        <w:rPr>
          <w:rFonts w:ascii="Times New Roman" w:hAnsi="Times New Roman" w:cs="Times New Roman"/>
          <w:sz w:val="24"/>
          <w:szCs w:val="24"/>
        </w:rPr>
      </w:pPr>
    </w:p>
    <w:p w:rsidR="00C650DC" w:rsidRDefault="00B40A65" w:rsidP="00617526">
      <w:pPr>
        <w:pStyle w:val="BodyText"/>
        <w:spacing w:line="276" w:lineRule="auto"/>
        <w:rPr>
          <w:rFonts w:ascii="Times New Roman" w:hAnsi="Times New Roman" w:cs="Times New Roman"/>
          <w:sz w:val="24"/>
          <w:szCs w:val="24"/>
        </w:rPr>
      </w:pPr>
      <w:r w:rsidRPr="0024503A">
        <w:rPr>
          <w:rFonts w:ascii="Times New Roman" w:hAnsi="Times New Roman" w:cs="Times New Roman"/>
          <w:sz w:val="24"/>
          <w:szCs w:val="24"/>
        </w:rPr>
        <w:t>Taimede kasvuks olulisteks toiteelementideks on lämmastik, fosfor, kaalium, väävel ja magneesium. Muldade optimaalse väetamise abil on võimalik parandada taimede toitumistingimusi, mille tõttu teravilja saagikus suureneb ning kvaliteet paraneb. Mõistlikus koguses väetiste kasutamisega tõuseks ka mulla viljakus ning ei kaasneks keskkonnareostust. Veeseaduse</w:t>
      </w:r>
      <w:r w:rsidRPr="0024503A">
        <w:rPr>
          <w:rStyle w:val="FootnoteReference"/>
          <w:rFonts w:ascii="Times New Roman" w:hAnsi="Times New Roman" w:cs="Times New Roman"/>
          <w:sz w:val="24"/>
          <w:szCs w:val="24"/>
        </w:rPr>
        <w:footnoteReference w:id="14"/>
      </w:r>
      <w:r w:rsidRPr="0024503A">
        <w:rPr>
          <w:rFonts w:ascii="Times New Roman" w:hAnsi="Times New Roman" w:cs="Times New Roman"/>
          <w:sz w:val="24"/>
          <w:szCs w:val="24"/>
        </w:rPr>
        <w:t xml:space="preserve"> kohaselt tuleks näiteks lä</w:t>
      </w:r>
      <w:r w:rsidR="009418BB" w:rsidRPr="0024503A">
        <w:rPr>
          <w:rFonts w:ascii="Times New Roman" w:hAnsi="Times New Roman" w:cs="Times New Roman"/>
          <w:sz w:val="24"/>
          <w:szCs w:val="24"/>
        </w:rPr>
        <w:t>mmastikväetiste puhul üle 100 kilogrammi hektarile</w:t>
      </w:r>
      <w:r w:rsidRPr="0024503A">
        <w:rPr>
          <w:rFonts w:ascii="Times New Roman" w:hAnsi="Times New Roman" w:cs="Times New Roman"/>
          <w:sz w:val="24"/>
          <w:szCs w:val="24"/>
        </w:rPr>
        <w:t xml:space="preserve"> anda jaotatult. See võte vähendab lämmastiku väljaleostumise- ning teraviljade lamandumisohtu ja suurendab terade valgusisaldust.</w:t>
      </w:r>
      <w:r w:rsidR="00F561E2" w:rsidRPr="0024503A">
        <w:rPr>
          <w:rFonts w:ascii="Times New Roman" w:hAnsi="Times New Roman" w:cs="Times New Roman"/>
          <w:sz w:val="24"/>
          <w:szCs w:val="24"/>
        </w:rPr>
        <w:t xml:space="preserve"> </w:t>
      </w:r>
    </w:p>
    <w:p w:rsidR="00C650DC" w:rsidRDefault="00C650DC" w:rsidP="00617526">
      <w:pPr>
        <w:pStyle w:val="BodyText"/>
        <w:spacing w:line="276" w:lineRule="auto"/>
        <w:rPr>
          <w:rFonts w:ascii="Times New Roman" w:hAnsi="Times New Roman" w:cs="Times New Roman"/>
          <w:sz w:val="24"/>
          <w:szCs w:val="24"/>
        </w:rPr>
      </w:pPr>
    </w:p>
    <w:p w:rsidR="005D5165" w:rsidRPr="0024503A" w:rsidRDefault="00B40A65" w:rsidP="00617526">
      <w:pPr>
        <w:pStyle w:val="BodyText"/>
        <w:spacing w:line="276" w:lineRule="auto"/>
        <w:rPr>
          <w:rFonts w:ascii="Times New Roman" w:hAnsi="Times New Roman" w:cs="Times New Roman"/>
          <w:sz w:val="24"/>
          <w:szCs w:val="24"/>
        </w:rPr>
      </w:pPr>
      <w:r w:rsidRPr="0024503A">
        <w:rPr>
          <w:rFonts w:ascii="Times New Roman" w:hAnsi="Times New Roman" w:cs="Times New Roman"/>
          <w:sz w:val="24"/>
          <w:szCs w:val="24"/>
        </w:rPr>
        <w:t>Muldade puhu</w:t>
      </w:r>
      <w:r w:rsidR="00F561E2" w:rsidRPr="0024503A">
        <w:rPr>
          <w:rFonts w:ascii="Times New Roman" w:hAnsi="Times New Roman" w:cs="Times New Roman"/>
          <w:sz w:val="24"/>
          <w:szCs w:val="24"/>
        </w:rPr>
        <w:t xml:space="preserve">l on oluliseks teguriks ka </w:t>
      </w:r>
      <w:r w:rsidRPr="0024503A">
        <w:rPr>
          <w:rFonts w:ascii="Times New Roman" w:hAnsi="Times New Roman" w:cs="Times New Roman"/>
          <w:sz w:val="24"/>
          <w:szCs w:val="24"/>
        </w:rPr>
        <w:t>veerežiim. 55% (522 tuh</w:t>
      </w:r>
      <w:r w:rsidR="009418BB" w:rsidRPr="0024503A">
        <w:rPr>
          <w:rFonts w:ascii="Times New Roman" w:hAnsi="Times New Roman" w:cs="Times New Roman"/>
          <w:sz w:val="24"/>
          <w:szCs w:val="24"/>
        </w:rPr>
        <w:t>at hektarit</w:t>
      </w:r>
      <w:r w:rsidRPr="0024503A">
        <w:rPr>
          <w:rFonts w:ascii="Times New Roman" w:hAnsi="Times New Roman" w:cs="Times New Roman"/>
          <w:sz w:val="24"/>
          <w:szCs w:val="24"/>
        </w:rPr>
        <w:t xml:space="preserve"> MSR</w:t>
      </w:r>
      <w:r w:rsidRPr="0024503A">
        <w:rPr>
          <w:rStyle w:val="FootnoteReference"/>
          <w:rFonts w:ascii="Times New Roman" w:hAnsi="Times New Roman" w:cs="Times New Roman"/>
          <w:sz w:val="24"/>
          <w:szCs w:val="24"/>
        </w:rPr>
        <w:footnoteReference w:id="15"/>
      </w:r>
      <w:r w:rsidRPr="0024503A">
        <w:rPr>
          <w:rFonts w:ascii="Times New Roman" w:hAnsi="Times New Roman" w:cs="Times New Roman"/>
          <w:sz w:val="24"/>
          <w:szCs w:val="24"/>
        </w:rPr>
        <w:t xml:space="preserve"> 02.12.2013) Eesti kasutusel olevast maast on kuivendatud. Saagikoristuse perioodil liigniiskuse vähendamine on maaparandussüsteemide</w:t>
      </w:r>
      <w:r w:rsidR="00FD6E7E">
        <w:rPr>
          <w:rFonts w:ascii="Times New Roman" w:hAnsi="Times New Roman" w:cs="Times New Roman"/>
          <w:sz w:val="24"/>
          <w:szCs w:val="24"/>
        </w:rPr>
        <w:t xml:space="preserve"> </w:t>
      </w:r>
      <w:r w:rsidR="002B455A">
        <w:rPr>
          <w:rFonts w:ascii="Times New Roman" w:hAnsi="Times New Roman" w:cs="Times New Roman"/>
          <w:sz w:val="24"/>
          <w:szCs w:val="24"/>
        </w:rPr>
        <w:t>korrastamise</w:t>
      </w:r>
      <w:r w:rsidRPr="0024503A">
        <w:rPr>
          <w:rFonts w:ascii="Times New Roman" w:hAnsi="Times New Roman" w:cs="Times New Roman"/>
          <w:sz w:val="24"/>
          <w:szCs w:val="24"/>
        </w:rPr>
        <w:t xml:space="preserve"> </w:t>
      </w:r>
      <w:r w:rsidR="00295B2C">
        <w:rPr>
          <w:rFonts w:ascii="Times New Roman" w:hAnsi="Times New Roman" w:cs="Times New Roman"/>
          <w:sz w:val="24"/>
          <w:szCs w:val="24"/>
        </w:rPr>
        <w:t>üks prioriteete</w:t>
      </w:r>
      <w:r w:rsidRPr="0024503A">
        <w:rPr>
          <w:rFonts w:ascii="Times New Roman" w:hAnsi="Times New Roman" w:cs="Times New Roman"/>
          <w:sz w:val="24"/>
          <w:szCs w:val="24"/>
        </w:rPr>
        <w:t>.</w:t>
      </w:r>
      <w:r w:rsidR="00CC1953" w:rsidRPr="0024503A">
        <w:rPr>
          <w:rFonts w:ascii="Times New Roman" w:hAnsi="Times New Roman" w:cs="Times New Roman"/>
          <w:sz w:val="24"/>
          <w:szCs w:val="24"/>
        </w:rPr>
        <w:t xml:space="preserve"> Seega on väga oluline jätkuv investeerimine maaparandussüsteemide hooldamisse ja korrastamisse.</w:t>
      </w:r>
    </w:p>
    <w:p w:rsidR="005D5165" w:rsidRPr="0024503A" w:rsidRDefault="00B40A65" w:rsidP="001F5FC4">
      <w:pPr>
        <w:pStyle w:val="Heading3"/>
        <w:rPr>
          <w:rFonts w:ascii="Times New Roman" w:hAnsi="Times New Roman" w:cs="Times New Roman"/>
          <w:b w:val="0"/>
        </w:rPr>
      </w:pPr>
      <w:bookmarkStart w:id="238" w:name="_Toc378697810"/>
      <w:bookmarkStart w:id="239" w:name="_Toc378773257"/>
      <w:bookmarkStart w:id="240" w:name="_Toc379197438"/>
      <w:bookmarkStart w:id="241" w:name="_Toc379205476"/>
      <w:bookmarkStart w:id="242" w:name="_Toc379268172"/>
      <w:bookmarkStart w:id="243" w:name="_Toc379296747"/>
      <w:bookmarkStart w:id="244" w:name="_Toc379373456"/>
      <w:bookmarkStart w:id="245" w:name="_Toc379799840"/>
      <w:bookmarkStart w:id="246" w:name="_Toc381633582"/>
      <w:bookmarkStart w:id="247" w:name="_Toc381633727"/>
      <w:bookmarkStart w:id="248" w:name="_Toc384050895"/>
      <w:bookmarkStart w:id="249" w:name="_Toc384052599"/>
      <w:bookmarkStart w:id="250" w:name="_Toc384283942"/>
      <w:bookmarkStart w:id="251" w:name="_Toc384284053"/>
      <w:bookmarkStart w:id="252" w:name="_Toc384386247"/>
      <w:bookmarkStart w:id="253" w:name="_Toc384386459"/>
      <w:bookmarkStart w:id="254" w:name="_Toc384392325"/>
      <w:bookmarkStart w:id="255" w:name="_Toc385253756"/>
      <w:bookmarkStart w:id="256" w:name="_Toc385335128"/>
      <w:bookmarkStart w:id="257" w:name="_Toc389128797"/>
      <w:bookmarkStart w:id="258" w:name="_Toc389131344"/>
      <w:bookmarkStart w:id="259" w:name="_Toc389223879"/>
      <w:bookmarkStart w:id="260" w:name="_Toc389223941"/>
      <w:bookmarkStart w:id="261" w:name="_Toc391908873"/>
      <w:bookmarkStart w:id="262" w:name="_Toc391991807"/>
      <w:bookmarkStart w:id="263" w:name="_Toc397593027"/>
      <w:bookmarkStart w:id="264" w:name="_Toc398896322"/>
      <w:bookmarkStart w:id="265" w:name="_Toc398896462"/>
      <w:bookmarkStart w:id="266" w:name="_Toc400972834"/>
      <w:r w:rsidRPr="0024503A">
        <w:rPr>
          <w:rFonts w:ascii="Times New Roman" w:hAnsi="Times New Roman" w:cs="Times New Roman"/>
        </w:rPr>
        <w:t>Nisu</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rsidR="00DD1FE9" w:rsidRPr="0024503A" w:rsidRDefault="00DD1FE9" w:rsidP="004F1638">
      <w:pPr>
        <w:pStyle w:val="BodyText"/>
        <w:spacing w:line="276" w:lineRule="auto"/>
        <w:ind w:firstLine="720"/>
        <w:rPr>
          <w:rFonts w:ascii="Times New Roman" w:hAnsi="Times New Roman" w:cs="Times New Roman"/>
          <w:sz w:val="24"/>
          <w:szCs w:val="24"/>
        </w:rPr>
      </w:pPr>
    </w:p>
    <w:p w:rsidR="00B40A65" w:rsidRPr="0024503A" w:rsidRDefault="00B40A65" w:rsidP="00617526">
      <w:pPr>
        <w:pStyle w:val="BodyText"/>
        <w:spacing w:line="276" w:lineRule="auto"/>
        <w:rPr>
          <w:rFonts w:ascii="Times New Roman" w:hAnsi="Times New Roman" w:cs="Times New Roman"/>
          <w:sz w:val="24"/>
          <w:szCs w:val="24"/>
        </w:rPr>
      </w:pPr>
      <w:r w:rsidRPr="0024503A">
        <w:rPr>
          <w:rFonts w:ascii="Times New Roman" w:hAnsi="Times New Roman" w:cs="Times New Roman"/>
          <w:sz w:val="24"/>
          <w:szCs w:val="24"/>
        </w:rPr>
        <w:t xml:space="preserve">Nisu on maailma üks tähtsamaid ja enamkasvatatavaid teravilju. Suurimad nisu kasvatajad maailmas on EL (enim Prantsusmaa ja Saksamaa), Hiina, India ning USA. Selle </w:t>
      </w:r>
      <w:r w:rsidR="004A4026">
        <w:rPr>
          <w:rFonts w:ascii="Times New Roman" w:hAnsi="Times New Roman" w:cs="Times New Roman"/>
          <w:sz w:val="24"/>
          <w:szCs w:val="24"/>
        </w:rPr>
        <w:t>põllumajandus</w:t>
      </w:r>
      <w:r w:rsidRPr="0024503A">
        <w:rPr>
          <w:rFonts w:ascii="Times New Roman" w:hAnsi="Times New Roman" w:cs="Times New Roman"/>
          <w:sz w:val="24"/>
          <w:szCs w:val="24"/>
        </w:rPr>
        <w:t xml:space="preserve">kultuuri kvaliteedi üks olulisi näitajaid on kleepvalgu sisaldus, millest sõltub ka nisujahu küpsetusomadus. Mida enam on kleepvalku nisujahus, seda paremini saab sellest </w:t>
      </w:r>
      <w:r w:rsidRPr="0024503A">
        <w:rPr>
          <w:rFonts w:ascii="Times New Roman" w:hAnsi="Times New Roman" w:cs="Times New Roman"/>
          <w:sz w:val="24"/>
          <w:szCs w:val="24"/>
        </w:rPr>
        <w:lastRenderedPageBreak/>
        <w:t>küpsetada saia, sepikut ja teisi pagaritooteid.</w:t>
      </w:r>
      <w:r w:rsidR="0083389F" w:rsidRPr="0024503A">
        <w:rPr>
          <w:rFonts w:ascii="Times New Roman" w:hAnsi="Times New Roman" w:cs="Times New Roman"/>
          <w:sz w:val="24"/>
          <w:szCs w:val="24"/>
        </w:rPr>
        <w:t xml:space="preserve"> </w:t>
      </w:r>
      <w:r w:rsidR="000D19D4" w:rsidRPr="0024503A">
        <w:rPr>
          <w:rFonts w:ascii="Times New Roman" w:hAnsi="Times New Roman" w:cs="Times New Roman"/>
          <w:sz w:val="24"/>
          <w:szCs w:val="24"/>
        </w:rPr>
        <w:t xml:space="preserve">Heade küpsetusomadustega </w:t>
      </w:r>
      <w:r w:rsidRPr="0024503A">
        <w:rPr>
          <w:rFonts w:ascii="Times New Roman" w:hAnsi="Times New Roman" w:cs="Times New Roman"/>
          <w:sz w:val="24"/>
          <w:szCs w:val="24"/>
        </w:rPr>
        <w:t xml:space="preserve">nisu </w:t>
      </w:r>
      <w:r w:rsidR="001D487A" w:rsidRPr="0024503A">
        <w:rPr>
          <w:rFonts w:ascii="Times New Roman" w:hAnsi="Times New Roman" w:cs="Times New Roman"/>
          <w:sz w:val="24"/>
          <w:szCs w:val="24"/>
        </w:rPr>
        <w:t xml:space="preserve">kvaliteetse </w:t>
      </w:r>
      <w:r w:rsidRPr="0024503A">
        <w:rPr>
          <w:rFonts w:ascii="Times New Roman" w:hAnsi="Times New Roman" w:cs="Times New Roman"/>
          <w:sz w:val="24"/>
          <w:szCs w:val="24"/>
        </w:rPr>
        <w:t>kleepv</w:t>
      </w:r>
      <w:r w:rsidR="00E26B7D" w:rsidRPr="0024503A">
        <w:rPr>
          <w:rFonts w:ascii="Times New Roman" w:hAnsi="Times New Roman" w:cs="Times New Roman"/>
          <w:sz w:val="24"/>
          <w:szCs w:val="24"/>
        </w:rPr>
        <w:t>algu sisaldus jääb vahemikku 2</w:t>
      </w:r>
      <w:r w:rsidR="001D487A" w:rsidRPr="0024503A">
        <w:rPr>
          <w:rFonts w:ascii="Times New Roman" w:hAnsi="Times New Roman" w:cs="Times New Roman"/>
          <w:sz w:val="24"/>
          <w:szCs w:val="24"/>
        </w:rPr>
        <w:t>4</w:t>
      </w:r>
      <w:r w:rsidR="00E26B7D" w:rsidRPr="0024503A">
        <w:rPr>
          <w:rFonts w:ascii="Times New Roman" w:hAnsi="Times New Roman" w:cs="Times New Roman"/>
          <w:sz w:val="24"/>
          <w:szCs w:val="24"/>
        </w:rPr>
        <w:t>–</w:t>
      </w:r>
      <w:r w:rsidRPr="0024503A">
        <w:rPr>
          <w:rFonts w:ascii="Times New Roman" w:hAnsi="Times New Roman" w:cs="Times New Roman"/>
          <w:sz w:val="24"/>
          <w:szCs w:val="24"/>
        </w:rPr>
        <w:t>3</w:t>
      </w:r>
      <w:r w:rsidR="001D487A" w:rsidRPr="0024503A">
        <w:rPr>
          <w:rFonts w:ascii="Times New Roman" w:hAnsi="Times New Roman" w:cs="Times New Roman"/>
          <w:sz w:val="24"/>
          <w:szCs w:val="24"/>
        </w:rPr>
        <w:t>0</w:t>
      </w:r>
      <w:r w:rsidRPr="0024503A">
        <w:rPr>
          <w:rFonts w:ascii="Times New Roman" w:hAnsi="Times New Roman" w:cs="Times New Roman"/>
          <w:sz w:val="24"/>
          <w:szCs w:val="24"/>
        </w:rPr>
        <w:t xml:space="preserve">%. Nisu tarbitakse peamiselt toiduviljana (leib, sai, kondiitritooted, pastad, manna jm). Oma suure proteiini- ja väikese toorkiusisalduse tõttu sobib nisu hästi ka </w:t>
      </w:r>
      <w:r w:rsidR="00473791">
        <w:rPr>
          <w:rFonts w:ascii="Times New Roman" w:hAnsi="Times New Roman" w:cs="Times New Roman"/>
          <w:sz w:val="24"/>
          <w:szCs w:val="24"/>
        </w:rPr>
        <w:t>segasöötadesse</w:t>
      </w:r>
      <w:r w:rsidRPr="0024503A">
        <w:rPr>
          <w:rFonts w:ascii="Times New Roman" w:hAnsi="Times New Roman" w:cs="Times New Roman"/>
          <w:sz w:val="24"/>
          <w:szCs w:val="24"/>
        </w:rPr>
        <w:t xml:space="preserve">. </w:t>
      </w:r>
    </w:p>
    <w:p w:rsidR="00B40A65" w:rsidRPr="0024503A" w:rsidRDefault="00B40A65" w:rsidP="00617526">
      <w:pPr>
        <w:pStyle w:val="BodyText"/>
        <w:spacing w:line="276" w:lineRule="auto"/>
        <w:rPr>
          <w:rFonts w:ascii="Times New Roman" w:hAnsi="Times New Roman" w:cs="Times New Roman"/>
          <w:sz w:val="24"/>
          <w:szCs w:val="24"/>
        </w:rPr>
      </w:pPr>
    </w:p>
    <w:p w:rsidR="00B40A65" w:rsidRPr="0024503A" w:rsidRDefault="00B40A65" w:rsidP="00617526">
      <w:pPr>
        <w:pStyle w:val="BodyText"/>
        <w:spacing w:line="276" w:lineRule="auto"/>
        <w:rPr>
          <w:rFonts w:ascii="Times New Roman" w:hAnsi="Times New Roman" w:cs="Times New Roman"/>
          <w:sz w:val="24"/>
          <w:szCs w:val="24"/>
        </w:rPr>
      </w:pPr>
      <w:r w:rsidRPr="0024503A">
        <w:rPr>
          <w:rFonts w:ascii="Times New Roman" w:hAnsi="Times New Roman" w:cs="Times New Roman"/>
          <w:sz w:val="24"/>
          <w:szCs w:val="24"/>
        </w:rPr>
        <w:t xml:space="preserve">Nisu on kasvutingimuste suhtes nõudlikum kultuur kui teised teraviljad, </w:t>
      </w:r>
      <w:r w:rsidR="00B91675">
        <w:rPr>
          <w:rFonts w:ascii="Times New Roman" w:hAnsi="Times New Roman" w:cs="Times New Roman"/>
          <w:sz w:val="24"/>
          <w:szCs w:val="24"/>
        </w:rPr>
        <w:t xml:space="preserve">kuna nisu </w:t>
      </w:r>
      <w:r w:rsidRPr="0024503A">
        <w:rPr>
          <w:rFonts w:ascii="Times New Roman" w:hAnsi="Times New Roman" w:cs="Times New Roman"/>
          <w:sz w:val="24"/>
          <w:szCs w:val="24"/>
        </w:rPr>
        <w:t xml:space="preserve">juurestik on suhteliselt nõrga toitainete omastamise võimega ja ka veevajadus on suurem kui odral ja taliviljadel. Eestis kasvatatakse pehme nisu sorte kuna kõva nisu vajab kasvuks kuivemat ja mandrilisemat kliimat. </w:t>
      </w:r>
    </w:p>
    <w:p w:rsidR="00B40A65" w:rsidRPr="0024503A" w:rsidRDefault="00B40A65" w:rsidP="00617526">
      <w:pPr>
        <w:pStyle w:val="BodyText"/>
        <w:spacing w:line="276" w:lineRule="auto"/>
        <w:rPr>
          <w:rFonts w:ascii="Times New Roman" w:hAnsi="Times New Roman" w:cs="Times New Roman"/>
          <w:sz w:val="24"/>
          <w:szCs w:val="24"/>
        </w:rPr>
      </w:pPr>
    </w:p>
    <w:p w:rsidR="00B40A65" w:rsidRPr="0024503A" w:rsidRDefault="00B40A65" w:rsidP="00617526">
      <w:pPr>
        <w:pStyle w:val="BodyText"/>
        <w:spacing w:line="276" w:lineRule="auto"/>
        <w:rPr>
          <w:rFonts w:ascii="Times New Roman" w:hAnsi="Times New Roman" w:cs="Times New Roman"/>
          <w:sz w:val="24"/>
          <w:szCs w:val="24"/>
        </w:rPr>
      </w:pPr>
      <w:r w:rsidRPr="0024503A">
        <w:rPr>
          <w:rFonts w:ascii="Times New Roman" w:hAnsi="Times New Roman" w:cs="Times New Roman"/>
          <w:sz w:val="24"/>
          <w:szCs w:val="24"/>
        </w:rPr>
        <w:t>Eestis kasvatavate teraviljade kasvupinnast on alates 2010. aastast moodustanud suurima osa nisu. 201</w:t>
      </w:r>
      <w:r w:rsidR="00B91675">
        <w:rPr>
          <w:rFonts w:ascii="Times New Roman" w:hAnsi="Times New Roman" w:cs="Times New Roman"/>
          <w:sz w:val="24"/>
          <w:szCs w:val="24"/>
        </w:rPr>
        <w:t>3</w:t>
      </w:r>
      <w:r w:rsidRPr="0024503A">
        <w:rPr>
          <w:rFonts w:ascii="Times New Roman" w:hAnsi="Times New Roman" w:cs="Times New Roman"/>
          <w:sz w:val="24"/>
          <w:szCs w:val="24"/>
        </w:rPr>
        <w:t xml:space="preserve">. </w:t>
      </w:r>
      <w:r w:rsidRPr="0024503A">
        <w:rPr>
          <w:rFonts w:ascii="Times New Roman" w:hAnsi="Times New Roman" w:cs="Times New Roman"/>
          <w:color w:val="000000" w:themeColor="text1"/>
          <w:sz w:val="24"/>
          <w:szCs w:val="24"/>
        </w:rPr>
        <w:t>aastal moodustas nisu kasvupind kogu teravilja kasvupinnast 4</w:t>
      </w:r>
      <w:r w:rsidR="00B91675">
        <w:rPr>
          <w:rFonts w:ascii="Times New Roman" w:hAnsi="Times New Roman" w:cs="Times New Roman"/>
          <w:color w:val="000000" w:themeColor="text1"/>
          <w:sz w:val="24"/>
          <w:szCs w:val="24"/>
        </w:rPr>
        <w:t>0</w:t>
      </w:r>
      <w:r w:rsidRPr="0024503A">
        <w:rPr>
          <w:rFonts w:ascii="Times New Roman" w:hAnsi="Times New Roman" w:cs="Times New Roman"/>
          <w:color w:val="000000" w:themeColor="text1"/>
          <w:sz w:val="24"/>
          <w:szCs w:val="24"/>
        </w:rPr>
        <w:t>% ning võrreldes 2004. aastaga on nisu kasvupind</w:t>
      </w:r>
      <w:r w:rsidR="00B91675">
        <w:rPr>
          <w:rFonts w:ascii="Times New Roman" w:hAnsi="Times New Roman" w:cs="Times New Roman"/>
          <w:color w:val="000000" w:themeColor="text1"/>
          <w:sz w:val="24"/>
          <w:szCs w:val="24"/>
        </w:rPr>
        <w:t xml:space="preserve"> 2013. aastaks</w:t>
      </w:r>
      <w:r w:rsidRPr="0024503A">
        <w:rPr>
          <w:rFonts w:ascii="Times New Roman" w:hAnsi="Times New Roman" w:cs="Times New Roman"/>
          <w:color w:val="000000" w:themeColor="text1"/>
          <w:sz w:val="24"/>
          <w:szCs w:val="24"/>
        </w:rPr>
        <w:t xml:space="preserve"> suurenenud 59%, kokku 124,</w:t>
      </w:r>
      <w:r w:rsidR="00B91675">
        <w:rPr>
          <w:rFonts w:ascii="Times New Roman" w:hAnsi="Times New Roman" w:cs="Times New Roman"/>
          <w:color w:val="000000" w:themeColor="text1"/>
          <w:sz w:val="24"/>
          <w:szCs w:val="24"/>
        </w:rPr>
        <w:t>7</w:t>
      </w:r>
      <w:r w:rsidRPr="0024503A">
        <w:rPr>
          <w:rFonts w:ascii="Times New Roman" w:hAnsi="Times New Roman" w:cs="Times New Roman"/>
          <w:color w:val="000000" w:themeColor="text1"/>
          <w:sz w:val="24"/>
          <w:szCs w:val="24"/>
        </w:rPr>
        <w:t xml:space="preserve"> tuhande hektarini</w:t>
      </w:r>
      <w:r w:rsidR="00D734C4" w:rsidRPr="0024503A">
        <w:rPr>
          <w:rFonts w:ascii="Times New Roman" w:hAnsi="Times New Roman" w:cs="Times New Roman"/>
          <w:color w:val="000000" w:themeColor="text1"/>
          <w:sz w:val="24"/>
          <w:szCs w:val="24"/>
        </w:rPr>
        <w:t xml:space="preserve"> (joonis 7)</w:t>
      </w:r>
      <w:r w:rsidRPr="0024503A">
        <w:rPr>
          <w:rFonts w:ascii="Times New Roman" w:hAnsi="Times New Roman" w:cs="Times New Roman"/>
          <w:color w:val="000000" w:themeColor="text1"/>
          <w:sz w:val="24"/>
          <w:szCs w:val="24"/>
        </w:rPr>
        <w:t>. Eriti olulise</w:t>
      </w:r>
      <w:r w:rsidR="00886210">
        <w:rPr>
          <w:rFonts w:ascii="Times New Roman" w:hAnsi="Times New Roman" w:cs="Times New Roman"/>
          <w:color w:val="000000" w:themeColor="text1"/>
          <w:sz w:val="24"/>
          <w:szCs w:val="24"/>
        </w:rPr>
        <w:t>lt on</w:t>
      </w:r>
      <w:r w:rsidRPr="0024503A">
        <w:rPr>
          <w:rFonts w:ascii="Times New Roman" w:hAnsi="Times New Roman" w:cs="Times New Roman"/>
          <w:color w:val="000000" w:themeColor="text1"/>
          <w:sz w:val="24"/>
          <w:szCs w:val="24"/>
        </w:rPr>
        <w:t xml:space="preserve"> </w:t>
      </w:r>
      <w:r w:rsidR="00886210">
        <w:rPr>
          <w:rFonts w:ascii="Times New Roman" w:hAnsi="Times New Roman" w:cs="Times New Roman"/>
          <w:color w:val="000000" w:themeColor="text1"/>
          <w:sz w:val="24"/>
          <w:szCs w:val="24"/>
        </w:rPr>
        <w:t>suurendatud</w:t>
      </w:r>
      <w:r w:rsidR="00516DD8" w:rsidRPr="0024503A">
        <w:rPr>
          <w:rFonts w:ascii="Times New Roman" w:hAnsi="Times New Roman" w:cs="Times New Roman"/>
          <w:color w:val="000000" w:themeColor="text1"/>
          <w:sz w:val="24"/>
          <w:szCs w:val="24"/>
        </w:rPr>
        <w:t xml:space="preserve"> </w:t>
      </w:r>
      <w:r w:rsidRPr="0024503A">
        <w:rPr>
          <w:rFonts w:ascii="Times New Roman" w:hAnsi="Times New Roman" w:cs="Times New Roman"/>
          <w:color w:val="000000" w:themeColor="text1"/>
          <w:sz w:val="24"/>
          <w:szCs w:val="24"/>
        </w:rPr>
        <w:t>nimetatud perioodil talinisu kasvupind</w:t>
      </w:r>
      <w:r w:rsidR="00886210">
        <w:rPr>
          <w:rFonts w:ascii="Times New Roman" w:hAnsi="Times New Roman" w:cs="Times New Roman"/>
          <w:color w:val="000000" w:themeColor="text1"/>
          <w:sz w:val="24"/>
          <w:szCs w:val="24"/>
        </w:rPr>
        <w:t>a</w:t>
      </w:r>
      <w:r w:rsidRPr="0024503A">
        <w:rPr>
          <w:rFonts w:ascii="Times New Roman" w:hAnsi="Times New Roman" w:cs="Times New Roman"/>
          <w:color w:val="000000" w:themeColor="text1"/>
          <w:sz w:val="24"/>
          <w:szCs w:val="24"/>
        </w:rPr>
        <w:t xml:space="preserve"> (</w:t>
      </w:r>
      <w:r w:rsidR="00900802">
        <w:rPr>
          <w:rFonts w:ascii="Times New Roman" w:hAnsi="Times New Roman" w:cs="Times New Roman"/>
          <w:color w:val="000000" w:themeColor="text1"/>
          <w:sz w:val="24"/>
          <w:szCs w:val="24"/>
        </w:rPr>
        <w:t>96</w:t>
      </w:r>
      <w:r w:rsidRPr="0024503A">
        <w:rPr>
          <w:rFonts w:ascii="Times New Roman" w:hAnsi="Times New Roman" w:cs="Times New Roman"/>
          <w:color w:val="000000" w:themeColor="text1"/>
          <w:sz w:val="24"/>
          <w:szCs w:val="24"/>
        </w:rPr>
        <w:t>%)</w:t>
      </w:r>
      <w:r w:rsidR="00900802">
        <w:rPr>
          <w:rFonts w:ascii="Times New Roman" w:hAnsi="Times New Roman" w:cs="Times New Roman"/>
          <w:color w:val="000000" w:themeColor="text1"/>
          <w:sz w:val="24"/>
          <w:szCs w:val="24"/>
        </w:rPr>
        <w:t>.</w:t>
      </w:r>
      <w:r w:rsidRPr="0024503A">
        <w:rPr>
          <w:rFonts w:ascii="Times New Roman" w:hAnsi="Times New Roman" w:cs="Times New Roman"/>
          <w:color w:val="000000" w:themeColor="text1"/>
          <w:sz w:val="24"/>
          <w:szCs w:val="24"/>
        </w:rPr>
        <w:t xml:space="preserve"> 2013. aastal oli odra kasvupind natukene suurem</w:t>
      </w:r>
      <w:r w:rsidR="00C650DC">
        <w:rPr>
          <w:rFonts w:ascii="Times New Roman" w:hAnsi="Times New Roman" w:cs="Times New Roman"/>
          <w:color w:val="000000" w:themeColor="text1"/>
          <w:sz w:val="24"/>
          <w:szCs w:val="24"/>
        </w:rPr>
        <w:t xml:space="preserve"> kui nisul</w:t>
      </w:r>
      <w:r w:rsidRPr="0024503A">
        <w:rPr>
          <w:rFonts w:ascii="Times New Roman" w:hAnsi="Times New Roman" w:cs="Times New Roman"/>
          <w:color w:val="000000" w:themeColor="text1"/>
          <w:sz w:val="24"/>
          <w:szCs w:val="24"/>
        </w:rPr>
        <w:t xml:space="preserve">, kuna </w:t>
      </w:r>
      <w:r w:rsidRPr="0024503A">
        <w:rPr>
          <w:rFonts w:ascii="Times New Roman" w:hAnsi="Times New Roman" w:cs="Times New Roman"/>
          <w:sz w:val="24"/>
          <w:szCs w:val="24"/>
        </w:rPr>
        <w:t xml:space="preserve">2012. aasta sügistööde aegne vihmane ilm takistas taliviljade külvi ning seetõttu jäid talinisu kasvupinnad tavapärasest väiksemaks. Nisu toodang on viimastel aastatel olnud 300–350 tuhande tonni piires, kuid 2012. aastal </w:t>
      </w:r>
      <w:r w:rsidR="00433B12" w:rsidRPr="0024503A">
        <w:rPr>
          <w:rFonts w:ascii="Times New Roman" w:hAnsi="Times New Roman" w:cs="Times New Roman"/>
          <w:sz w:val="24"/>
          <w:szCs w:val="24"/>
        </w:rPr>
        <w:t>ulatus ligi 500 tuhande tonnini ning 2013. aastal langes 400 tuhande tonnini.</w:t>
      </w:r>
      <w:r w:rsidR="00C410E1" w:rsidRPr="0024503A">
        <w:rPr>
          <w:rFonts w:ascii="Times New Roman" w:hAnsi="Times New Roman" w:cs="Times New Roman"/>
          <w:sz w:val="24"/>
          <w:szCs w:val="24"/>
        </w:rPr>
        <w:t xml:space="preserve"> 2013</w:t>
      </w:r>
      <w:r w:rsidRPr="0024503A">
        <w:rPr>
          <w:rFonts w:ascii="Times New Roman" w:hAnsi="Times New Roman" w:cs="Times New Roman"/>
          <w:sz w:val="24"/>
          <w:szCs w:val="24"/>
        </w:rPr>
        <w:t>. aas</w:t>
      </w:r>
      <w:r w:rsidR="00C410E1" w:rsidRPr="0024503A">
        <w:rPr>
          <w:rFonts w:ascii="Times New Roman" w:hAnsi="Times New Roman" w:cs="Times New Roman"/>
          <w:sz w:val="24"/>
          <w:szCs w:val="24"/>
        </w:rPr>
        <w:t>ta saagikus oli talinisul 3,1</w:t>
      </w:r>
      <w:r w:rsidR="009418BB" w:rsidRPr="0024503A">
        <w:rPr>
          <w:rFonts w:ascii="Times New Roman" w:hAnsi="Times New Roman" w:cs="Times New Roman"/>
          <w:sz w:val="24"/>
          <w:szCs w:val="24"/>
        </w:rPr>
        <w:t xml:space="preserve"> tonni hektarilt</w:t>
      </w:r>
      <w:r w:rsidR="007F6C6E" w:rsidRPr="0024503A">
        <w:rPr>
          <w:rFonts w:ascii="Times New Roman" w:hAnsi="Times New Roman" w:cs="Times New Roman"/>
          <w:sz w:val="24"/>
          <w:szCs w:val="24"/>
        </w:rPr>
        <w:t xml:space="preserve"> ning suvinisul 3,4</w:t>
      </w:r>
      <w:r w:rsidR="009418BB" w:rsidRPr="0024503A">
        <w:rPr>
          <w:rFonts w:ascii="Times New Roman" w:hAnsi="Times New Roman" w:cs="Times New Roman"/>
          <w:sz w:val="24"/>
          <w:szCs w:val="24"/>
        </w:rPr>
        <w:t xml:space="preserve"> tonni hektarilt</w:t>
      </w:r>
      <w:r w:rsidRPr="0024503A">
        <w:rPr>
          <w:rFonts w:ascii="Times New Roman" w:hAnsi="Times New Roman" w:cs="Times New Roman"/>
          <w:sz w:val="24"/>
          <w:szCs w:val="24"/>
        </w:rPr>
        <w:t>. 201</w:t>
      </w:r>
      <w:r w:rsidR="00075328" w:rsidRPr="0024503A">
        <w:rPr>
          <w:rFonts w:ascii="Times New Roman" w:hAnsi="Times New Roman" w:cs="Times New Roman"/>
          <w:sz w:val="24"/>
          <w:szCs w:val="24"/>
        </w:rPr>
        <w:t>2</w:t>
      </w:r>
      <w:r w:rsidRPr="0024503A">
        <w:rPr>
          <w:rFonts w:ascii="Times New Roman" w:hAnsi="Times New Roman" w:cs="Times New Roman"/>
          <w:sz w:val="24"/>
          <w:szCs w:val="24"/>
        </w:rPr>
        <w:t>/201</w:t>
      </w:r>
      <w:r w:rsidR="00075328" w:rsidRPr="0024503A">
        <w:rPr>
          <w:rFonts w:ascii="Times New Roman" w:hAnsi="Times New Roman" w:cs="Times New Roman"/>
          <w:sz w:val="24"/>
          <w:szCs w:val="24"/>
        </w:rPr>
        <w:t>3</w:t>
      </w:r>
      <w:r w:rsidR="00BC2CBE">
        <w:rPr>
          <w:rFonts w:ascii="Times New Roman" w:hAnsi="Times New Roman" w:cs="Times New Roman"/>
          <w:sz w:val="24"/>
          <w:szCs w:val="24"/>
        </w:rPr>
        <w:t>.</w:t>
      </w:r>
      <w:r w:rsidRPr="0024503A">
        <w:rPr>
          <w:rFonts w:ascii="Times New Roman" w:hAnsi="Times New Roman" w:cs="Times New Roman"/>
          <w:sz w:val="24"/>
          <w:szCs w:val="24"/>
        </w:rPr>
        <w:t xml:space="preserve"> turustusaastal oli nisuga isevarustatuse tase </w:t>
      </w:r>
      <w:r w:rsidR="00075328" w:rsidRPr="0024503A">
        <w:rPr>
          <w:rFonts w:ascii="Times New Roman" w:hAnsi="Times New Roman" w:cs="Times New Roman"/>
          <w:sz w:val="24"/>
          <w:szCs w:val="24"/>
        </w:rPr>
        <w:t>239</w:t>
      </w:r>
      <w:r w:rsidRPr="0024503A">
        <w:rPr>
          <w:rFonts w:ascii="Times New Roman" w:hAnsi="Times New Roman" w:cs="Times New Roman"/>
          <w:sz w:val="24"/>
          <w:szCs w:val="24"/>
        </w:rPr>
        <w:t>% (2004/2005</w:t>
      </w:r>
      <w:r w:rsidR="00BC2CBE">
        <w:rPr>
          <w:rFonts w:ascii="Times New Roman" w:hAnsi="Times New Roman" w:cs="Times New Roman"/>
          <w:sz w:val="24"/>
          <w:szCs w:val="24"/>
        </w:rPr>
        <w:t>.</w:t>
      </w:r>
      <w:r w:rsidRPr="0024503A">
        <w:rPr>
          <w:rFonts w:ascii="Times New Roman" w:hAnsi="Times New Roman" w:cs="Times New Roman"/>
          <w:sz w:val="24"/>
          <w:szCs w:val="24"/>
        </w:rPr>
        <w:t xml:space="preserve"> turustusaastal vaid 86%). Nisu </w:t>
      </w:r>
      <w:r w:rsidR="00783350" w:rsidRPr="0024503A">
        <w:rPr>
          <w:rFonts w:ascii="Times New Roman" w:hAnsi="Times New Roman" w:cs="Times New Roman"/>
          <w:sz w:val="24"/>
          <w:szCs w:val="24"/>
        </w:rPr>
        <w:t>203</w:t>
      </w:r>
      <w:r w:rsidRPr="0024503A">
        <w:rPr>
          <w:rFonts w:ascii="Times New Roman" w:hAnsi="Times New Roman" w:cs="Times New Roman"/>
          <w:sz w:val="24"/>
          <w:szCs w:val="24"/>
        </w:rPr>
        <w:t xml:space="preserve"> tuhande tonnisest kogutarbimisest kasutati </w:t>
      </w:r>
      <w:r w:rsidR="00783350" w:rsidRPr="0024503A">
        <w:rPr>
          <w:rFonts w:ascii="Times New Roman" w:hAnsi="Times New Roman" w:cs="Times New Roman"/>
          <w:sz w:val="24"/>
          <w:szCs w:val="24"/>
        </w:rPr>
        <w:t>51</w:t>
      </w:r>
      <w:r w:rsidRPr="0024503A">
        <w:rPr>
          <w:rFonts w:ascii="Times New Roman" w:hAnsi="Times New Roman" w:cs="Times New Roman"/>
          <w:sz w:val="24"/>
          <w:szCs w:val="24"/>
        </w:rPr>
        <w:t xml:space="preserve">% loomasöödaks, inimtarbimine moodustas </w:t>
      </w:r>
      <w:r w:rsidR="00783350" w:rsidRPr="0024503A">
        <w:rPr>
          <w:rFonts w:ascii="Times New Roman" w:hAnsi="Times New Roman" w:cs="Times New Roman"/>
          <w:sz w:val="24"/>
          <w:szCs w:val="24"/>
        </w:rPr>
        <w:t>34</w:t>
      </w:r>
      <w:r w:rsidRPr="0024503A">
        <w:rPr>
          <w:rFonts w:ascii="Times New Roman" w:hAnsi="Times New Roman" w:cs="Times New Roman"/>
          <w:sz w:val="24"/>
          <w:szCs w:val="24"/>
        </w:rPr>
        <w:t xml:space="preserve">%. Nisu </w:t>
      </w:r>
      <w:r w:rsidR="004432CA">
        <w:rPr>
          <w:rFonts w:ascii="Times New Roman" w:hAnsi="Times New Roman" w:cs="Times New Roman"/>
          <w:sz w:val="24"/>
          <w:szCs w:val="24"/>
        </w:rPr>
        <w:t>kasutamine</w:t>
      </w:r>
      <w:r w:rsidR="009D3412">
        <w:rPr>
          <w:rFonts w:ascii="Times New Roman" w:hAnsi="Times New Roman" w:cs="Times New Roman"/>
          <w:sz w:val="24"/>
          <w:szCs w:val="24"/>
        </w:rPr>
        <w:t xml:space="preserve"> loomasöödana</w:t>
      </w:r>
      <w:r w:rsidRPr="0024503A">
        <w:rPr>
          <w:rFonts w:ascii="Times New Roman" w:hAnsi="Times New Roman" w:cs="Times New Roman"/>
          <w:sz w:val="24"/>
          <w:szCs w:val="24"/>
        </w:rPr>
        <w:t xml:space="preserve"> on paljuski sõltuv koristatud teravilja kvaliteedist (toiduvili </w:t>
      </w:r>
      <w:r w:rsidRPr="00365C45">
        <w:rPr>
          <w:rFonts w:ascii="Times New Roman" w:hAnsi="Times New Roman" w:cs="Times New Roman"/>
          <w:i/>
          <w:sz w:val="24"/>
          <w:szCs w:val="24"/>
        </w:rPr>
        <w:t>vs</w:t>
      </w:r>
      <w:r w:rsidRPr="0024503A">
        <w:rPr>
          <w:rFonts w:ascii="Times New Roman" w:hAnsi="Times New Roman" w:cs="Times New Roman"/>
          <w:sz w:val="24"/>
          <w:szCs w:val="24"/>
        </w:rPr>
        <w:t xml:space="preserve"> söödavili). 201</w:t>
      </w:r>
      <w:r w:rsidR="00AC4688" w:rsidRPr="0024503A">
        <w:rPr>
          <w:rFonts w:ascii="Times New Roman" w:hAnsi="Times New Roman" w:cs="Times New Roman"/>
          <w:sz w:val="24"/>
          <w:szCs w:val="24"/>
        </w:rPr>
        <w:t>2</w:t>
      </w:r>
      <w:r w:rsidRPr="0024503A">
        <w:rPr>
          <w:rFonts w:ascii="Times New Roman" w:hAnsi="Times New Roman" w:cs="Times New Roman"/>
          <w:sz w:val="24"/>
          <w:szCs w:val="24"/>
        </w:rPr>
        <w:t>/201</w:t>
      </w:r>
      <w:r w:rsidR="00AC4688" w:rsidRPr="0024503A">
        <w:rPr>
          <w:rFonts w:ascii="Times New Roman" w:hAnsi="Times New Roman" w:cs="Times New Roman"/>
          <w:sz w:val="24"/>
          <w:szCs w:val="24"/>
        </w:rPr>
        <w:t>3</w:t>
      </w:r>
      <w:r w:rsidR="00067CAA">
        <w:rPr>
          <w:rFonts w:ascii="Times New Roman" w:hAnsi="Times New Roman" w:cs="Times New Roman"/>
          <w:sz w:val="24"/>
          <w:szCs w:val="24"/>
        </w:rPr>
        <w:t>.</w:t>
      </w:r>
      <w:r w:rsidRPr="0024503A">
        <w:rPr>
          <w:rFonts w:ascii="Times New Roman" w:hAnsi="Times New Roman" w:cs="Times New Roman"/>
          <w:sz w:val="24"/>
          <w:szCs w:val="24"/>
        </w:rPr>
        <w:t xml:space="preserve"> turustusaastal moodustas nisu väljavedu </w:t>
      </w:r>
      <w:r w:rsidR="00AC4688" w:rsidRPr="0024503A">
        <w:rPr>
          <w:rFonts w:ascii="Times New Roman" w:hAnsi="Times New Roman" w:cs="Times New Roman"/>
          <w:sz w:val="24"/>
          <w:szCs w:val="24"/>
        </w:rPr>
        <w:t>54</w:t>
      </w:r>
      <w:r w:rsidRPr="0024503A">
        <w:rPr>
          <w:rFonts w:ascii="Times New Roman" w:hAnsi="Times New Roman" w:cs="Times New Roman"/>
          <w:sz w:val="24"/>
          <w:szCs w:val="24"/>
        </w:rPr>
        <w:t>% kogusaagist. Maailma nisu toodangust tarbitakse 66% inimeste poolt ja 22% loomasöödana.</w:t>
      </w:r>
    </w:p>
    <w:p w:rsidR="00B40A65" w:rsidRPr="00D549C9" w:rsidRDefault="00B40A65" w:rsidP="00617526">
      <w:pPr>
        <w:pStyle w:val="BodyText"/>
        <w:spacing w:line="276" w:lineRule="auto"/>
        <w:rPr>
          <w:sz w:val="24"/>
          <w:szCs w:val="24"/>
        </w:rPr>
      </w:pPr>
    </w:p>
    <w:p w:rsidR="00B40A65" w:rsidRPr="00D549C9" w:rsidRDefault="00AD2555" w:rsidP="00617526">
      <w:pPr>
        <w:pStyle w:val="BodyText"/>
        <w:spacing w:line="276" w:lineRule="auto"/>
        <w:rPr>
          <w:sz w:val="24"/>
          <w:szCs w:val="24"/>
        </w:rPr>
      </w:pPr>
      <w:r w:rsidRPr="004C2338">
        <w:rPr>
          <w:noProof/>
          <w:sz w:val="24"/>
          <w:szCs w:val="24"/>
        </w:rPr>
        <w:drawing>
          <wp:inline distT="0" distB="0" distL="0" distR="0" wp14:anchorId="1E8F7402" wp14:editId="0062301F">
            <wp:extent cx="6076950" cy="2486025"/>
            <wp:effectExtent l="0" t="0" r="1905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40A65" w:rsidRPr="00EE3FB5" w:rsidRDefault="00B40A65" w:rsidP="00617526">
      <w:pPr>
        <w:pStyle w:val="BodyText"/>
        <w:spacing w:line="276" w:lineRule="auto"/>
        <w:rPr>
          <w:rFonts w:ascii="Arial" w:hAnsi="Arial" w:cs="Arial"/>
        </w:rPr>
      </w:pPr>
      <w:r w:rsidRPr="00EE3FB5">
        <w:rPr>
          <w:rFonts w:ascii="Arial" w:hAnsi="Arial" w:cs="Arial"/>
        </w:rPr>
        <w:t>Allikas: SA, PM arvutused</w:t>
      </w:r>
    </w:p>
    <w:p w:rsidR="003816DA" w:rsidRPr="006977B6" w:rsidRDefault="00B40A65" w:rsidP="00617526">
      <w:pPr>
        <w:spacing w:line="276" w:lineRule="auto"/>
        <w:jc w:val="both"/>
        <w:rPr>
          <w:rFonts w:ascii="Times New Roman" w:hAnsi="Times New Roman" w:cs="Times New Roman"/>
          <w:b/>
          <w:bCs/>
          <w:sz w:val="24"/>
          <w:szCs w:val="24"/>
        </w:rPr>
      </w:pPr>
      <w:r w:rsidRPr="006977B6">
        <w:rPr>
          <w:rFonts w:ascii="Times New Roman" w:hAnsi="Times New Roman" w:cs="Times New Roman"/>
          <w:b/>
          <w:sz w:val="24"/>
          <w:szCs w:val="24"/>
        </w:rPr>
        <w:t>Joonis 7. Suvi-</w:t>
      </w:r>
      <w:r w:rsidR="00886210">
        <w:rPr>
          <w:rFonts w:ascii="Times New Roman" w:hAnsi="Times New Roman" w:cs="Times New Roman"/>
          <w:b/>
          <w:sz w:val="24"/>
          <w:szCs w:val="24"/>
        </w:rPr>
        <w:t xml:space="preserve"> (SN)</w:t>
      </w:r>
      <w:r w:rsidRPr="006977B6">
        <w:rPr>
          <w:rFonts w:ascii="Times New Roman" w:hAnsi="Times New Roman" w:cs="Times New Roman"/>
          <w:b/>
          <w:sz w:val="24"/>
          <w:szCs w:val="24"/>
        </w:rPr>
        <w:t xml:space="preserve"> ja talinisu</w:t>
      </w:r>
      <w:r w:rsidR="00886210">
        <w:rPr>
          <w:rFonts w:ascii="Times New Roman" w:hAnsi="Times New Roman" w:cs="Times New Roman"/>
          <w:b/>
          <w:sz w:val="24"/>
          <w:szCs w:val="24"/>
        </w:rPr>
        <w:t xml:space="preserve"> (TN)</w:t>
      </w:r>
      <w:r w:rsidRPr="006977B6">
        <w:rPr>
          <w:rFonts w:ascii="Times New Roman" w:hAnsi="Times New Roman" w:cs="Times New Roman"/>
          <w:b/>
          <w:bCs/>
          <w:sz w:val="24"/>
          <w:szCs w:val="24"/>
        </w:rPr>
        <w:t xml:space="preserve"> saak, kasvupind ja saagikus aastatel 2004</w:t>
      </w:r>
      <w:r w:rsidR="005D5165" w:rsidRPr="006977B6">
        <w:rPr>
          <w:rFonts w:ascii="Times New Roman" w:hAnsi="Times New Roman" w:cs="Times New Roman"/>
          <w:b/>
          <w:bCs/>
          <w:sz w:val="24"/>
          <w:szCs w:val="24"/>
        </w:rPr>
        <w:t>–</w:t>
      </w:r>
      <w:r w:rsidRPr="006977B6">
        <w:rPr>
          <w:rFonts w:ascii="Times New Roman" w:hAnsi="Times New Roman" w:cs="Times New Roman"/>
          <w:b/>
          <w:bCs/>
          <w:sz w:val="24"/>
          <w:szCs w:val="24"/>
        </w:rPr>
        <w:t>2013</w:t>
      </w:r>
    </w:p>
    <w:p w:rsidR="00B40A65" w:rsidRPr="0024503A" w:rsidRDefault="00B40A65" w:rsidP="00617526">
      <w:pPr>
        <w:pStyle w:val="Heading3"/>
        <w:spacing w:line="276" w:lineRule="auto"/>
        <w:rPr>
          <w:rFonts w:ascii="Times New Roman" w:hAnsi="Times New Roman" w:cs="Times New Roman"/>
          <w:b w:val="0"/>
        </w:rPr>
      </w:pPr>
      <w:bookmarkStart w:id="267" w:name="_Toc378697811"/>
      <w:bookmarkStart w:id="268" w:name="_Toc378773258"/>
      <w:bookmarkStart w:id="269" w:name="_Toc379197439"/>
      <w:bookmarkStart w:id="270" w:name="_Toc379205477"/>
      <w:bookmarkStart w:id="271" w:name="_Toc379268173"/>
      <w:bookmarkStart w:id="272" w:name="_Toc379296748"/>
      <w:bookmarkStart w:id="273" w:name="_Toc379373457"/>
      <w:bookmarkStart w:id="274" w:name="_Toc379799841"/>
      <w:bookmarkStart w:id="275" w:name="_Toc381633583"/>
      <w:bookmarkStart w:id="276" w:name="_Toc381633728"/>
      <w:bookmarkStart w:id="277" w:name="_Toc384050896"/>
      <w:bookmarkStart w:id="278" w:name="_Toc384052600"/>
      <w:bookmarkStart w:id="279" w:name="_Toc384283943"/>
      <w:bookmarkStart w:id="280" w:name="_Toc384284054"/>
      <w:bookmarkStart w:id="281" w:name="_Toc384386248"/>
      <w:bookmarkStart w:id="282" w:name="_Toc384386460"/>
      <w:bookmarkStart w:id="283" w:name="_Toc384392326"/>
      <w:bookmarkStart w:id="284" w:name="_Toc385253757"/>
      <w:bookmarkStart w:id="285" w:name="_Toc385335129"/>
      <w:bookmarkStart w:id="286" w:name="_Toc389128798"/>
      <w:bookmarkStart w:id="287" w:name="_Toc389131345"/>
      <w:bookmarkStart w:id="288" w:name="_Toc389223880"/>
      <w:bookmarkStart w:id="289" w:name="_Toc389223942"/>
      <w:bookmarkStart w:id="290" w:name="_Toc391908874"/>
      <w:bookmarkStart w:id="291" w:name="_Toc391991808"/>
      <w:bookmarkStart w:id="292" w:name="_Toc397593028"/>
      <w:bookmarkStart w:id="293" w:name="_Toc398896323"/>
      <w:bookmarkStart w:id="294" w:name="_Toc398896463"/>
      <w:bookmarkStart w:id="295" w:name="_Toc400972835"/>
      <w:r w:rsidRPr="0024503A">
        <w:rPr>
          <w:rFonts w:ascii="Times New Roman" w:hAnsi="Times New Roman" w:cs="Times New Roman"/>
        </w:rPr>
        <w:t>Oder</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rsidR="00126816" w:rsidRPr="0024503A" w:rsidRDefault="00126816" w:rsidP="00617526">
      <w:pPr>
        <w:pStyle w:val="BodyText"/>
        <w:spacing w:line="276" w:lineRule="auto"/>
        <w:rPr>
          <w:rFonts w:ascii="Times New Roman" w:hAnsi="Times New Roman" w:cs="Times New Roman"/>
          <w:sz w:val="24"/>
          <w:szCs w:val="24"/>
        </w:rPr>
      </w:pPr>
    </w:p>
    <w:p w:rsidR="00B40A65" w:rsidRPr="0024503A" w:rsidRDefault="00B40A65" w:rsidP="00617526">
      <w:pPr>
        <w:pStyle w:val="BodyText"/>
        <w:spacing w:line="276" w:lineRule="auto"/>
        <w:rPr>
          <w:rFonts w:ascii="Times New Roman" w:hAnsi="Times New Roman" w:cs="Times New Roman"/>
          <w:sz w:val="24"/>
          <w:szCs w:val="24"/>
        </w:rPr>
      </w:pPr>
      <w:r w:rsidRPr="0024503A">
        <w:rPr>
          <w:rFonts w:ascii="Times New Roman" w:hAnsi="Times New Roman" w:cs="Times New Roman"/>
          <w:sz w:val="24"/>
          <w:szCs w:val="24"/>
        </w:rPr>
        <w:t xml:space="preserve">Suurimad odra kasvatajad maailmas on EL (enim Prantsusmaa ja Saksamaa), Venemaa ja Kanada. Maailma odratoodangust kasutatakse umbes 75–80% loomade, põhiliselt sigade söödaks. Ülejäänud </w:t>
      </w:r>
      <w:r w:rsidRPr="0024503A">
        <w:rPr>
          <w:rFonts w:ascii="Times New Roman" w:hAnsi="Times New Roman" w:cs="Times New Roman"/>
          <w:sz w:val="24"/>
          <w:szCs w:val="24"/>
        </w:rPr>
        <w:lastRenderedPageBreak/>
        <w:t>osa kasutatakse tangude ja õlle valmistamiseks. Otra kasvatatakse Eestis peamiselt nii palju, kui vajab loomakasvatus söödaks, ühtlasi on ta ka varavalmiv ning nisu ja rapsiga võrreldes ilmastikuolude ja mullastiku suhtes vähemnõudlikum kultuur.</w:t>
      </w:r>
    </w:p>
    <w:p w:rsidR="00B40A65" w:rsidRPr="0024503A" w:rsidRDefault="00B40A65" w:rsidP="00617526">
      <w:pPr>
        <w:pStyle w:val="BodyText"/>
        <w:spacing w:line="276" w:lineRule="auto"/>
        <w:rPr>
          <w:rFonts w:ascii="Times New Roman" w:hAnsi="Times New Roman" w:cs="Times New Roman"/>
          <w:sz w:val="24"/>
          <w:szCs w:val="24"/>
        </w:rPr>
      </w:pPr>
    </w:p>
    <w:p w:rsidR="00B40A65" w:rsidRDefault="00B40A65" w:rsidP="00617526">
      <w:pPr>
        <w:pStyle w:val="BodyText"/>
        <w:spacing w:line="276" w:lineRule="auto"/>
        <w:rPr>
          <w:rFonts w:ascii="Times New Roman" w:hAnsi="Times New Roman" w:cs="Times New Roman"/>
          <w:sz w:val="24"/>
          <w:szCs w:val="24"/>
        </w:rPr>
      </w:pPr>
      <w:r w:rsidRPr="0024503A">
        <w:rPr>
          <w:rFonts w:ascii="Times New Roman" w:hAnsi="Times New Roman" w:cs="Times New Roman"/>
          <w:sz w:val="24"/>
          <w:szCs w:val="24"/>
        </w:rPr>
        <w:t>Od</w:t>
      </w:r>
      <w:r w:rsidR="000A3552" w:rsidRPr="0024503A">
        <w:rPr>
          <w:rFonts w:ascii="Times New Roman" w:hAnsi="Times New Roman" w:cs="Times New Roman"/>
          <w:sz w:val="24"/>
          <w:szCs w:val="24"/>
        </w:rPr>
        <w:t>ra kasvupind Eestis on küll 2013</w:t>
      </w:r>
      <w:r w:rsidRPr="0024503A">
        <w:rPr>
          <w:rFonts w:ascii="Times New Roman" w:hAnsi="Times New Roman" w:cs="Times New Roman"/>
          <w:sz w:val="24"/>
          <w:szCs w:val="24"/>
        </w:rPr>
        <w:t>. aastaks võrr</w:t>
      </w:r>
      <w:r w:rsidR="000A3552" w:rsidRPr="0024503A">
        <w:rPr>
          <w:rFonts w:ascii="Times New Roman" w:hAnsi="Times New Roman" w:cs="Times New Roman"/>
          <w:sz w:val="24"/>
          <w:szCs w:val="24"/>
        </w:rPr>
        <w:t>eldes 1992. aastaga vähenenud 50</w:t>
      </w:r>
      <w:r w:rsidRPr="0024503A">
        <w:rPr>
          <w:rFonts w:ascii="Times New Roman" w:hAnsi="Times New Roman" w:cs="Times New Roman"/>
          <w:sz w:val="24"/>
          <w:szCs w:val="24"/>
        </w:rPr>
        <w:t>%, kuid viimase kümne aastaga on kasvupinna suurus pigem stabiliseerunud. Kasvupinna vähenemist on eelkõige mõjutanud loomakasvatusliku tarbimise vähenemine ning nisu hinna kõrgem tase turul</w:t>
      </w:r>
      <w:r w:rsidR="00207ADD" w:rsidRPr="0024503A">
        <w:rPr>
          <w:rFonts w:ascii="Times New Roman" w:hAnsi="Times New Roman" w:cs="Times New Roman"/>
          <w:sz w:val="24"/>
          <w:szCs w:val="24"/>
        </w:rPr>
        <w:t>, millest tulenevalt on hakatud suuremat tähelepanu pöörama nisu kasvatamisele</w:t>
      </w:r>
      <w:r w:rsidR="003812FD" w:rsidRPr="0024503A">
        <w:rPr>
          <w:rFonts w:ascii="Times New Roman" w:hAnsi="Times New Roman" w:cs="Times New Roman"/>
          <w:sz w:val="24"/>
          <w:szCs w:val="24"/>
        </w:rPr>
        <w:t>.</w:t>
      </w:r>
    </w:p>
    <w:p w:rsidR="006E7754" w:rsidRPr="0024503A" w:rsidRDefault="006E7754" w:rsidP="00617526">
      <w:pPr>
        <w:pStyle w:val="BodyText"/>
        <w:spacing w:line="276" w:lineRule="auto"/>
        <w:rPr>
          <w:rFonts w:ascii="Times New Roman" w:hAnsi="Times New Roman" w:cs="Times New Roman"/>
          <w:sz w:val="24"/>
          <w:szCs w:val="24"/>
        </w:rPr>
      </w:pPr>
    </w:p>
    <w:p w:rsidR="00B40A65" w:rsidRPr="00D549C9" w:rsidRDefault="00AD2555" w:rsidP="00617526">
      <w:pPr>
        <w:pStyle w:val="BodyText"/>
        <w:spacing w:line="276" w:lineRule="auto"/>
        <w:rPr>
          <w:sz w:val="24"/>
          <w:szCs w:val="24"/>
        </w:rPr>
      </w:pPr>
      <w:r>
        <w:rPr>
          <w:noProof/>
        </w:rPr>
        <w:drawing>
          <wp:inline distT="0" distB="0" distL="0" distR="0" wp14:anchorId="51DCBC00" wp14:editId="1C252252">
            <wp:extent cx="6076950" cy="245745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40A65" w:rsidRPr="00EE3FB5" w:rsidRDefault="00B40A65" w:rsidP="00617526">
      <w:pPr>
        <w:pStyle w:val="BodyText"/>
        <w:spacing w:line="276" w:lineRule="auto"/>
        <w:rPr>
          <w:rFonts w:ascii="Arial" w:hAnsi="Arial" w:cs="Arial"/>
        </w:rPr>
      </w:pPr>
      <w:r w:rsidRPr="00EE3FB5">
        <w:rPr>
          <w:rFonts w:ascii="Arial" w:hAnsi="Arial" w:cs="Arial"/>
        </w:rPr>
        <w:t>Allikas: SA, PM arvutused</w:t>
      </w:r>
    </w:p>
    <w:p w:rsidR="006B2E6D" w:rsidRDefault="00B40A65" w:rsidP="00617526">
      <w:pPr>
        <w:pStyle w:val="BodyText"/>
        <w:spacing w:line="276" w:lineRule="auto"/>
        <w:rPr>
          <w:rFonts w:ascii="Times New Roman" w:hAnsi="Times New Roman" w:cs="Times New Roman"/>
          <w:b/>
          <w:bCs/>
          <w:sz w:val="24"/>
          <w:szCs w:val="24"/>
        </w:rPr>
      </w:pPr>
      <w:r w:rsidRPr="006977B6">
        <w:rPr>
          <w:rFonts w:ascii="Times New Roman" w:hAnsi="Times New Roman" w:cs="Times New Roman"/>
          <w:b/>
          <w:sz w:val="24"/>
          <w:szCs w:val="24"/>
        </w:rPr>
        <w:t>Joonis 8. Odra</w:t>
      </w:r>
      <w:r w:rsidRPr="006977B6">
        <w:rPr>
          <w:rFonts w:ascii="Times New Roman" w:hAnsi="Times New Roman" w:cs="Times New Roman"/>
          <w:b/>
          <w:bCs/>
          <w:sz w:val="24"/>
          <w:szCs w:val="24"/>
        </w:rPr>
        <w:t xml:space="preserve"> saak, kasvupind ja saagikus aastatel 2004</w:t>
      </w:r>
      <w:r w:rsidR="006B2E6D" w:rsidRPr="006977B6">
        <w:rPr>
          <w:rFonts w:ascii="Times New Roman" w:hAnsi="Times New Roman" w:cs="Times New Roman"/>
          <w:b/>
          <w:bCs/>
          <w:sz w:val="24"/>
          <w:szCs w:val="24"/>
        </w:rPr>
        <w:t>–</w:t>
      </w:r>
      <w:r w:rsidRPr="006977B6">
        <w:rPr>
          <w:rFonts w:ascii="Times New Roman" w:hAnsi="Times New Roman" w:cs="Times New Roman"/>
          <w:b/>
          <w:bCs/>
          <w:sz w:val="24"/>
          <w:szCs w:val="24"/>
        </w:rPr>
        <w:t>2013</w:t>
      </w:r>
    </w:p>
    <w:p w:rsidR="007E1193" w:rsidRPr="0067703B" w:rsidRDefault="007E1193" w:rsidP="00617526">
      <w:pPr>
        <w:pStyle w:val="BodyText"/>
        <w:spacing w:line="276" w:lineRule="auto"/>
        <w:rPr>
          <w:rFonts w:ascii="Times New Roman" w:hAnsi="Times New Roman" w:cs="Times New Roman"/>
          <w:b/>
          <w:bCs/>
          <w:sz w:val="24"/>
          <w:szCs w:val="24"/>
        </w:rPr>
      </w:pPr>
    </w:p>
    <w:p w:rsidR="00B40A65" w:rsidRPr="0024503A" w:rsidRDefault="00B40A65" w:rsidP="00617526">
      <w:pPr>
        <w:pStyle w:val="BodyText"/>
        <w:spacing w:line="276" w:lineRule="auto"/>
        <w:rPr>
          <w:rFonts w:ascii="Times New Roman" w:hAnsi="Times New Roman" w:cs="Times New Roman"/>
          <w:sz w:val="24"/>
          <w:szCs w:val="24"/>
        </w:rPr>
      </w:pPr>
      <w:r w:rsidRPr="0024503A">
        <w:rPr>
          <w:rFonts w:ascii="Times New Roman" w:hAnsi="Times New Roman" w:cs="Times New Roman"/>
          <w:sz w:val="24"/>
          <w:szCs w:val="24"/>
        </w:rPr>
        <w:t>Odra tooda</w:t>
      </w:r>
      <w:r w:rsidR="00022540" w:rsidRPr="0024503A">
        <w:rPr>
          <w:rFonts w:ascii="Times New Roman" w:hAnsi="Times New Roman" w:cs="Times New Roman"/>
          <w:sz w:val="24"/>
          <w:szCs w:val="24"/>
        </w:rPr>
        <w:t xml:space="preserve">ng on olnud </w:t>
      </w:r>
      <w:r w:rsidR="00FB1746">
        <w:rPr>
          <w:rFonts w:ascii="Times New Roman" w:hAnsi="Times New Roman" w:cs="Times New Roman"/>
          <w:sz w:val="24"/>
          <w:szCs w:val="24"/>
        </w:rPr>
        <w:t>aastate lõikes erinev</w:t>
      </w:r>
      <w:r w:rsidR="00022540" w:rsidRPr="0024503A">
        <w:rPr>
          <w:rFonts w:ascii="Times New Roman" w:hAnsi="Times New Roman" w:cs="Times New Roman"/>
          <w:sz w:val="24"/>
          <w:szCs w:val="24"/>
        </w:rPr>
        <w:t>, 2013. aastal oli see 439,0</w:t>
      </w:r>
      <w:r w:rsidRPr="0024503A">
        <w:rPr>
          <w:rFonts w:ascii="Times New Roman" w:hAnsi="Times New Roman" w:cs="Times New Roman"/>
          <w:sz w:val="24"/>
          <w:szCs w:val="24"/>
        </w:rPr>
        <w:t xml:space="preserve"> tuhat tonn</w:t>
      </w:r>
      <w:r w:rsidR="003812FD" w:rsidRPr="0024503A">
        <w:rPr>
          <w:rFonts w:ascii="Times New Roman" w:hAnsi="Times New Roman" w:cs="Times New Roman"/>
          <w:sz w:val="24"/>
          <w:szCs w:val="24"/>
        </w:rPr>
        <w:t>i ning keskmine saagikus</w:t>
      </w:r>
      <w:r w:rsidR="00022540" w:rsidRPr="0024503A">
        <w:rPr>
          <w:rFonts w:ascii="Times New Roman" w:hAnsi="Times New Roman" w:cs="Times New Roman"/>
          <w:sz w:val="24"/>
          <w:szCs w:val="24"/>
        </w:rPr>
        <w:t xml:space="preserve"> 3,3</w:t>
      </w:r>
      <w:r w:rsidRPr="0024503A">
        <w:rPr>
          <w:rFonts w:ascii="Times New Roman" w:hAnsi="Times New Roman" w:cs="Times New Roman"/>
          <w:sz w:val="24"/>
          <w:szCs w:val="24"/>
        </w:rPr>
        <w:t xml:space="preserve"> tonni hektarilt</w:t>
      </w:r>
      <w:r w:rsidR="00D734C4" w:rsidRPr="0024503A">
        <w:rPr>
          <w:rFonts w:ascii="Times New Roman" w:hAnsi="Times New Roman" w:cs="Times New Roman"/>
          <w:sz w:val="24"/>
          <w:szCs w:val="24"/>
        </w:rPr>
        <w:t xml:space="preserve"> (joonis 8)</w:t>
      </w:r>
      <w:r w:rsidRPr="0024503A">
        <w:rPr>
          <w:rFonts w:ascii="Times New Roman" w:hAnsi="Times New Roman" w:cs="Times New Roman"/>
          <w:sz w:val="24"/>
          <w:szCs w:val="24"/>
        </w:rPr>
        <w:t xml:space="preserve">. Isevarustatuse tase on odra puhul enamasti tagatud, kuid on ka aastaid, mil tuleb </w:t>
      </w:r>
      <w:r w:rsidR="001D4B8D">
        <w:rPr>
          <w:rFonts w:ascii="Times New Roman" w:hAnsi="Times New Roman" w:cs="Times New Roman"/>
          <w:sz w:val="24"/>
          <w:szCs w:val="24"/>
        </w:rPr>
        <w:t>otra</w:t>
      </w:r>
      <w:r w:rsidRPr="0024503A">
        <w:rPr>
          <w:rFonts w:ascii="Times New Roman" w:hAnsi="Times New Roman" w:cs="Times New Roman"/>
          <w:sz w:val="24"/>
          <w:szCs w:val="24"/>
        </w:rPr>
        <w:t xml:space="preserve"> </w:t>
      </w:r>
      <w:r w:rsidR="003812FD" w:rsidRPr="0024503A">
        <w:rPr>
          <w:rFonts w:ascii="Times New Roman" w:hAnsi="Times New Roman" w:cs="Times New Roman"/>
          <w:sz w:val="24"/>
          <w:szCs w:val="24"/>
        </w:rPr>
        <w:t xml:space="preserve">täiendavalt </w:t>
      </w:r>
      <w:r w:rsidRPr="0024503A">
        <w:rPr>
          <w:rFonts w:ascii="Times New Roman" w:hAnsi="Times New Roman" w:cs="Times New Roman"/>
          <w:sz w:val="24"/>
          <w:szCs w:val="24"/>
        </w:rPr>
        <w:t>importida. 201</w:t>
      </w:r>
      <w:r w:rsidR="007E451D" w:rsidRPr="0024503A">
        <w:rPr>
          <w:rFonts w:ascii="Times New Roman" w:hAnsi="Times New Roman" w:cs="Times New Roman"/>
          <w:sz w:val="24"/>
          <w:szCs w:val="24"/>
        </w:rPr>
        <w:t>2</w:t>
      </w:r>
      <w:r w:rsidRPr="0024503A">
        <w:rPr>
          <w:rFonts w:ascii="Times New Roman" w:hAnsi="Times New Roman" w:cs="Times New Roman"/>
          <w:sz w:val="24"/>
          <w:szCs w:val="24"/>
        </w:rPr>
        <w:t>/201</w:t>
      </w:r>
      <w:r w:rsidR="007E451D" w:rsidRPr="0024503A">
        <w:rPr>
          <w:rFonts w:ascii="Times New Roman" w:hAnsi="Times New Roman" w:cs="Times New Roman"/>
          <w:sz w:val="24"/>
          <w:szCs w:val="24"/>
        </w:rPr>
        <w:t>3</w:t>
      </w:r>
      <w:r w:rsidR="00BF5EB7">
        <w:rPr>
          <w:rFonts w:ascii="Times New Roman" w:hAnsi="Times New Roman" w:cs="Times New Roman"/>
          <w:sz w:val="24"/>
          <w:szCs w:val="24"/>
        </w:rPr>
        <w:t>.</w:t>
      </w:r>
      <w:r w:rsidRPr="0024503A">
        <w:rPr>
          <w:rFonts w:ascii="Times New Roman" w:hAnsi="Times New Roman" w:cs="Times New Roman"/>
          <w:sz w:val="24"/>
          <w:szCs w:val="24"/>
        </w:rPr>
        <w:t xml:space="preserve"> turustusaastal oli isevarustatuse tase </w:t>
      </w:r>
      <w:r w:rsidR="007E451D" w:rsidRPr="0024503A">
        <w:rPr>
          <w:rFonts w:ascii="Times New Roman" w:hAnsi="Times New Roman" w:cs="Times New Roman"/>
          <w:sz w:val="24"/>
          <w:szCs w:val="24"/>
        </w:rPr>
        <w:t>137</w:t>
      </w:r>
      <w:r w:rsidRPr="0024503A">
        <w:rPr>
          <w:rFonts w:ascii="Times New Roman" w:hAnsi="Times New Roman" w:cs="Times New Roman"/>
          <w:sz w:val="24"/>
          <w:szCs w:val="24"/>
        </w:rPr>
        <w:t>%, kogutarbimisest 7</w:t>
      </w:r>
      <w:r w:rsidR="007E451D" w:rsidRPr="0024503A">
        <w:rPr>
          <w:rFonts w:ascii="Times New Roman" w:hAnsi="Times New Roman" w:cs="Times New Roman"/>
          <w:sz w:val="24"/>
          <w:szCs w:val="24"/>
        </w:rPr>
        <w:t>6</w:t>
      </w:r>
      <w:r w:rsidR="001D4B8D">
        <w:rPr>
          <w:rFonts w:ascii="Times New Roman" w:hAnsi="Times New Roman" w:cs="Times New Roman"/>
          <w:sz w:val="24"/>
          <w:szCs w:val="24"/>
        </w:rPr>
        <w:t>% kasutati</w:t>
      </w:r>
      <w:r w:rsidRPr="0024503A">
        <w:rPr>
          <w:rFonts w:ascii="Times New Roman" w:hAnsi="Times New Roman" w:cs="Times New Roman"/>
          <w:sz w:val="24"/>
          <w:szCs w:val="24"/>
        </w:rPr>
        <w:t xml:space="preserve"> loomakasvatussektoris</w:t>
      </w:r>
      <w:r w:rsidR="001D4B8D">
        <w:rPr>
          <w:rFonts w:ascii="Times New Roman" w:hAnsi="Times New Roman" w:cs="Times New Roman"/>
          <w:sz w:val="24"/>
          <w:szCs w:val="24"/>
        </w:rPr>
        <w:t xml:space="preserve"> ja 11% </w:t>
      </w:r>
      <w:r w:rsidR="000A2DC2">
        <w:rPr>
          <w:rFonts w:ascii="Times New Roman" w:hAnsi="Times New Roman" w:cs="Times New Roman"/>
          <w:sz w:val="24"/>
          <w:szCs w:val="24"/>
        </w:rPr>
        <w:t>töödeldi</w:t>
      </w:r>
      <w:r w:rsidRPr="0024503A">
        <w:rPr>
          <w:rFonts w:ascii="Times New Roman" w:hAnsi="Times New Roman" w:cs="Times New Roman"/>
          <w:sz w:val="24"/>
          <w:szCs w:val="24"/>
        </w:rPr>
        <w:t>. 201</w:t>
      </w:r>
      <w:r w:rsidR="007E451D" w:rsidRPr="0024503A">
        <w:rPr>
          <w:rFonts w:ascii="Times New Roman" w:hAnsi="Times New Roman" w:cs="Times New Roman"/>
          <w:sz w:val="24"/>
          <w:szCs w:val="24"/>
        </w:rPr>
        <w:t>2</w:t>
      </w:r>
      <w:r w:rsidRPr="0024503A">
        <w:rPr>
          <w:rFonts w:ascii="Times New Roman" w:hAnsi="Times New Roman" w:cs="Times New Roman"/>
          <w:sz w:val="24"/>
          <w:szCs w:val="24"/>
        </w:rPr>
        <w:t>/201</w:t>
      </w:r>
      <w:r w:rsidR="007E451D" w:rsidRPr="0024503A">
        <w:rPr>
          <w:rFonts w:ascii="Times New Roman" w:hAnsi="Times New Roman" w:cs="Times New Roman"/>
          <w:sz w:val="24"/>
          <w:szCs w:val="24"/>
        </w:rPr>
        <w:t>3</w:t>
      </w:r>
      <w:r w:rsidR="00DB4C57">
        <w:rPr>
          <w:rFonts w:ascii="Times New Roman" w:hAnsi="Times New Roman" w:cs="Times New Roman"/>
          <w:sz w:val="24"/>
          <w:szCs w:val="24"/>
        </w:rPr>
        <w:t>.</w:t>
      </w:r>
      <w:r w:rsidRPr="0024503A">
        <w:rPr>
          <w:rFonts w:ascii="Times New Roman" w:hAnsi="Times New Roman" w:cs="Times New Roman"/>
          <w:sz w:val="24"/>
          <w:szCs w:val="24"/>
        </w:rPr>
        <w:t xml:space="preserve"> turustusaastal moodustas odra väljavedu 3</w:t>
      </w:r>
      <w:r w:rsidR="007E451D" w:rsidRPr="0024503A">
        <w:rPr>
          <w:rFonts w:ascii="Times New Roman" w:hAnsi="Times New Roman" w:cs="Times New Roman"/>
          <w:sz w:val="24"/>
          <w:szCs w:val="24"/>
        </w:rPr>
        <w:t>2</w:t>
      </w:r>
      <w:r w:rsidRPr="0024503A">
        <w:rPr>
          <w:rFonts w:ascii="Times New Roman" w:hAnsi="Times New Roman" w:cs="Times New Roman"/>
          <w:sz w:val="24"/>
          <w:szCs w:val="24"/>
        </w:rPr>
        <w:t>% kogusaagist (10</w:t>
      </w:r>
      <w:r w:rsidR="007E451D" w:rsidRPr="0024503A">
        <w:rPr>
          <w:rFonts w:ascii="Times New Roman" w:hAnsi="Times New Roman" w:cs="Times New Roman"/>
          <w:sz w:val="24"/>
          <w:szCs w:val="24"/>
        </w:rPr>
        <w:t>8</w:t>
      </w:r>
      <w:r w:rsidRPr="0024503A">
        <w:rPr>
          <w:rFonts w:ascii="Times New Roman" w:hAnsi="Times New Roman" w:cs="Times New Roman"/>
          <w:sz w:val="24"/>
          <w:szCs w:val="24"/>
        </w:rPr>
        <w:t xml:space="preserve"> tuhat tonni), seega tulenev</w:t>
      </w:r>
      <w:r w:rsidR="0067703B">
        <w:rPr>
          <w:rFonts w:ascii="Times New Roman" w:hAnsi="Times New Roman" w:cs="Times New Roman"/>
          <w:sz w:val="24"/>
          <w:szCs w:val="24"/>
        </w:rPr>
        <w:t>alt välisturu nõudlusest eksporditakse Eestist märkimisväärne kogus otra.</w:t>
      </w:r>
      <w:r w:rsidRPr="0024503A">
        <w:rPr>
          <w:rFonts w:ascii="Times New Roman" w:hAnsi="Times New Roman" w:cs="Times New Roman"/>
          <w:sz w:val="24"/>
          <w:szCs w:val="24"/>
        </w:rPr>
        <w:t xml:space="preserve"> Selle tulemusena peab loomakasvatatuse jaoks puuduva koguse importima </w:t>
      </w:r>
      <w:r w:rsidR="001D4B8D">
        <w:rPr>
          <w:rFonts w:ascii="Times New Roman" w:hAnsi="Times New Roman" w:cs="Times New Roman"/>
          <w:sz w:val="24"/>
          <w:szCs w:val="24"/>
        </w:rPr>
        <w:t>(2012/2013</w:t>
      </w:r>
      <w:r w:rsidR="00DB4C57">
        <w:rPr>
          <w:rFonts w:ascii="Times New Roman" w:hAnsi="Times New Roman" w:cs="Times New Roman"/>
          <w:sz w:val="24"/>
          <w:szCs w:val="24"/>
        </w:rPr>
        <w:t>.</w:t>
      </w:r>
      <w:r w:rsidR="001D4B8D">
        <w:rPr>
          <w:rFonts w:ascii="Times New Roman" w:hAnsi="Times New Roman" w:cs="Times New Roman"/>
          <w:sz w:val="24"/>
          <w:szCs w:val="24"/>
        </w:rPr>
        <w:t xml:space="preserve"> </w:t>
      </w:r>
      <w:r w:rsidR="00DB4C57">
        <w:rPr>
          <w:rFonts w:ascii="Times New Roman" w:hAnsi="Times New Roman" w:cs="Times New Roman"/>
          <w:sz w:val="24"/>
          <w:szCs w:val="24"/>
        </w:rPr>
        <w:t xml:space="preserve">turustusaastal </w:t>
      </w:r>
      <w:r w:rsidR="001D4B8D">
        <w:rPr>
          <w:rFonts w:ascii="Times New Roman" w:hAnsi="Times New Roman" w:cs="Times New Roman"/>
          <w:sz w:val="24"/>
          <w:szCs w:val="24"/>
        </w:rPr>
        <w:t xml:space="preserve">imporditi </w:t>
      </w:r>
      <w:r w:rsidR="007E451D" w:rsidRPr="0024503A">
        <w:rPr>
          <w:rFonts w:ascii="Times New Roman" w:hAnsi="Times New Roman" w:cs="Times New Roman"/>
          <w:sz w:val="24"/>
          <w:szCs w:val="24"/>
        </w:rPr>
        <w:t>33</w:t>
      </w:r>
      <w:r w:rsidRPr="0024503A">
        <w:rPr>
          <w:rFonts w:ascii="Times New Roman" w:hAnsi="Times New Roman" w:cs="Times New Roman"/>
          <w:sz w:val="24"/>
          <w:szCs w:val="24"/>
        </w:rPr>
        <w:t xml:space="preserve"> tuhat tonni</w:t>
      </w:r>
      <w:r w:rsidR="001D4B8D">
        <w:rPr>
          <w:rFonts w:ascii="Times New Roman" w:hAnsi="Times New Roman" w:cs="Times New Roman"/>
          <w:sz w:val="24"/>
          <w:szCs w:val="24"/>
        </w:rPr>
        <w:t>)</w:t>
      </w:r>
      <w:r w:rsidRPr="0024503A">
        <w:rPr>
          <w:rFonts w:ascii="Times New Roman" w:hAnsi="Times New Roman" w:cs="Times New Roman"/>
          <w:sz w:val="24"/>
          <w:szCs w:val="24"/>
        </w:rPr>
        <w:t>.</w:t>
      </w:r>
    </w:p>
    <w:p w:rsidR="00B40A65" w:rsidRPr="0024503A" w:rsidRDefault="00B40A65" w:rsidP="00617526">
      <w:pPr>
        <w:pStyle w:val="Heading3"/>
        <w:spacing w:line="276" w:lineRule="auto"/>
        <w:rPr>
          <w:rFonts w:ascii="Times New Roman" w:hAnsi="Times New Roman" w:cs="Times New Roman"/>
          <w:b w:val="0"/>
        </w:rPr>
      </w:pPr>
      <w:bookmarkStart w:id="296" w:name="_Toc378697812"/>
      <w:bookmarkStart w:id="297" w:name="_Toc378773259"/>
      <w:bookmarkStart w:id="298" w:name="_Toc379197440"/>
      <w:bookmarkStart w:id="299" w:name="_Toc379205478"/>
      <w:bookmarkStart w:id="300" w:name="_Toc379268174"/>
      <w:bookmarkStart w:id="301" w:name="_Toc379296749"/>
      <w:bookmarkStart w:id="302" w:name="_Toc379373458"/>
      <w:bookmarkStart w:id="303" w:name="_Toc379799842"/>
      <w:bookmarkStart w:id="304" w:name="_Toc381633584"/>
      <w:bookmarkStart w:id="305" w:name="_Toc381633729"/>
      <w:bookmarkStart w:id="306" w:name="_Toc384050897"/>
      <w:bookmarkStart w:id="307" w:name="_Toc384052601"/>
      <w:bookmarkStart w:id="308" w:name="_Toc384283944"/>
      <w:bookmarkStart w:id="309" w:name="_Toc384284055"/>
      <w:bookmarkStart w:id="310" w:name="_Toc384386249"/>
      <w:bookmarkStart w:id="311" w:name="_Toc384386461"/>
      <w:bookmarkStart w:id="312" w:name="_Toc384392327"/>
      <w:bookmarkStart w:id="313" w:name="_Toc385253758"/>
      <w:bookmarkStart w:id="314" w:name="_Toc385335130"/>
      <w:bookmarkStart w:id="315" w:name="_Toc389128799"/>
      <w:bookmarkStart w:id="316" w:name="_Toc389131346"/>
      <w:bookmarkStart w:id="317" w:name="_Toc389223881"/>
      <w:bookmarkStart w:id="318" w:name="_Toc389223943"/>
      <w:bookmarkStart w:id="319" w:name="_Toc391908875"/>
      <w:bookmarkStart w:id="320" w:name="_Toc391991809"/>
      <w:bookmarkStart w:id="321" w:name="_Toc397593029"/>
      <w:bookmarkStart w:id="322" w:name="_Toc398896324"/>
      <w:bookmarkStart w:id="323" w:name="_Toc398896464"/>
      <w:bookmarkStart w:id="324" w:name="_Toc400972836"/>
      <w:r w:rsidRPr="0024503A">
        <w:rPr>
          <w:rFonts w:ascii="Times New Roman" w:hAnsi="Times New Roman" w:cs="Times New Roman"/>
        </w:rPr>
        <w:t>Rukis</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rsidR="00126816" w:rsidRPr="0024503A" w:rsidRDefault="00126816" w:rsidP="00617526">
      <w:pPr>
        <w:pStyle w:val="BodyText"/>
        <w:spacing w:line="276" w:lineRule="auto"/>
        <w:rPr>
          <w:rFonts w:ascii="Times New Roman" w:hAnsi="Times New Roman" w:cs="Times New Roman"/>
          <w:sz w:val="24"/>
          <w:szCs w:val="24"/>
        </w:rPr>
      </w:pPr>
    </w:p>
    <w:p w:rsidR="00B40A65" w:rsidRPr="0024503A" w:rsidRDefault="00B40A65" w:rsidP="00617526">
      <w:pPr>
        <w:pStyle w:val="BodyText"/>
        <w:spacing w:line="276" w:lineRule="auto"/>
        <w:rPr>
          <w:rFonts w:ascii="Times New Roman" w:hAnsi="Times New Roman" w:cs="Times New Roman"/>
          <w:sz w:val="24"/>
          <w:szCs w:val="24"/>
        </w:rPr>
      </w:pPr>
      <w:r w:rsidRPr="0024503A">
        <w:rPr>
          <w:rFonts w:ascii="Times New Roman" w:hAnsi="Times New Roman" w:cs="Times New Roman"/>
          <w:sz w:val="24"/>
          <w:szCs w:val="24"/>
        </w:rPr>
        <w:t>Maailma suurimad rukkikasvatajad on Venemaa, EL (enim Saksamaa ja Poola), Valgevene ja Kanada. Rukki saak moodustab kogu maa</w:t>
      </w:r>
      <w:r w:rsidR="00C75C61" w:rsidRPr="0024503A">
        <w:rPr>
          <w:rFonts w:ascii="Times New Roman" w:hAnsi="Times New Roman" w:cs="Times New Roman"/>
          <w:sz w:val="24"/>
          <w:szCs w:val="24"/>
        </w:rPr>
        <w:t xml:space="preserve">ilma teravilja saagist vaid 1%. </w:t>
      </w:r>
      <w:r w:rsidRPr="0024503A">
        <w:rPr>
          <w:rFonts w:ascii="Times New Roman" w:hAnsi="Times New Roman" w:cs="Times New Roman"/>
          <w:sz w:val="24"/>
          <w:szCs w:val="24"/>
        </w:rPr>
        <w:t>Peamiselt valmistatakse rukkist leiba jt. pagaritooteid, kuid temast tehakse ka õlut, viina, viskit ning kasutatakse biokütusena. Rukki olulisus lisaks leivaviljale on ka selles, et rukis on vähenõudliku põllukultuurina väga hea viljavahelduse</w:t>
      </w:r>
      <w:r w:rsidR="00A07A0F">
        <w:rPr>
          <w:rFonts w:ascii="Times New Roman" w:hAnsi="Times New Roman" w:cs="Times New Roman"/>
          <w:sz w:val="24"/>
          <w:szCs w:val="24"/>
        </w:rPr>
        <w:t>ks</w:t>
      </w:r>
      <w:r w:rsidRPr="0024503A">
        <w:rPr>
          <w:rFonts w:ascii="Times New Roman" w:hAnsi="Times New Roman" w:cs="Times New Roman"/>
          <w:sz w:val="24"/>
          <w:szCs w:val="24"/>
        </w:rPr>
        <w:t xml:space="preserve">, kobestades oma tugeva juurestikuga hästi mulda ning surudes </w:t>
      </w:r>
      <w:r w:rsidR="007D3EBA" w:rsidRPr="0024503A">
        <w:rPr>
          <w:rFonts w:ascii="Times New Roman" w:hAnsi="Times New Roman" w:cs="Times New Roman"/>
          <w:sz w:val="24"/>
          <w:szCs w:val="24"/>
        </w:rPr>
        <w:t xml:space="preserve">alla </w:t>
      </w:r>
      <w:r w:rsidRPr="0024503A">
        <w:rPr>
          <w:rFonts w:ascii="Times New Roman" w:hAnsi="Times New Roman" w:cs="Times New Roman"/>
          <w:sz w:val="24"/>
          <w:szCs w:val="24"/>
        </w:rPr>
        <w:t xml:space="preserve">oma pika ja tiheda taimestikuga umbrohtu. </w:t>
      </w:r>
    </w:p>
    <w:p w:rsidR="00B40A65" w:rsidRPr="0024503A" w:rsidRDefault="00B40A65" w:rsidP="00617526">
      <w:pPr>
        <w:pStyle w:val="BodyText"/>
        <w:spacing w:line="276" w:lineRule="auto"/>
        <w:rPr>
          <w:rFonts w:ascii="Times New Roman" w:hAnsi="Times New Roman" w:cs="Times New Roman"/>
          <w:sz w:val="24"/>
          <w:szCs w:val="24"/>
        </w:rPr>
      </w:pPr>
    </w:p>
    <w:p w:rsidR="00B40A65" w:rsidRPr="0024503A" w:rsidRDefault="00B40A65" w:rsidP="00617526">
      <w:pPr>
        <w:pStyle w:val="BodyText"/>
        <w:spacing w:line="276" w:lineRule="auto"/>
        <w:rPr>
          <w:rFonts w:ascii="Times New Roman" w:hAnsi="Times New Roman" w:cs="Times New Roman"/>
          <w:sz w:val="24"/>
          <w:szCs w:val="24"/>
        </w:rPr>
      </w:pPr>
      <w:r w:rsidRPr="0024503A">
        <w:rPr>
          <w:rFonts w:ascii="Times New Roman" w:hAnsi="Times New Roman" w:cs="Times New Roman"/>
          <w:sz w:val="24"/>
          <w:szCs w:val="24"/>
        </w:rPr>
        <w:t>Eestis kasvatatakse rukist peamiselt siseriiklikuks tarbeks. Võrreldes taasiseseisvumisjärgsete aastatega on 201</w:t>
      </w:r>
      <w:r w:rsidR="004C5FC5" w:rsidRPr="0024503A">
        <w:rPr>
          <w:rFonts w:ascii="Times New Roman" w:hAnsi="Times New Roman" w:cs="Times New Roman"/>
          <w:sz w:val="24"/>
          <w:szCs w:val="24"/>
        </w:rPr>
        <w:t>3</w:t>
      </w:r>
      <w:r w:rsidRPr="0024503A">
        <w:rPr>
          <w:rFonts w:ascii="Times New Roman" w:hAnsi="Times New Roman" w:cs="Times New Roman"/>
          <w:sz w:val="24"/>
          <w:szCs w:val="24"/>
        </w:rPr>
        <w:t xml:space="preserve">. aastaks Eestis rukki </w:t>
      </w:r>
      <w:r w:rsidRPr="009F11DC">
        <w:rPr>
          <w:rFonts w:ascii="Times New Roman" w:hAnsi="Times New Roman" w:cs="Times New Roman"/>
          <w:sz w:val="24"/>
          <w:szCs w:val="24"/>
        </w:rPr>
        <w:t>kasvupind vähen</w:t>
      </w:r>
      <w:r w:rsidR="00D734C4" w:rsidRPr="009F11DC">
        <w:rPr>
          <w:rFonts w:ascii="Times New Roman" w:hAnsi="Times New Roman" w:cs="Times New Roman"/>
          <w:sz w:val="24"/>
          <w:szCs w:val="24"/>
        </w:rPr>
        <w:t xml:space="preserve">enud </w:t>
      </w:r>
      <w:r w:rsidR="004C5FC5" w:rsidRPr="009F11DC">
        <w:rPr>
          <w:rFonts w:ascii="Times New Roman" w:hAnsi="Times New Roman" w:cs="Times New Roman"/>
          <w:sz w:val="24"/>
          <w:szCs w:val="24"/>
        </w:rPr>
        <w:t>81</w:t>
      </w:r>
      <w:r w:rsidR="00D734C4" w:rsidRPr="009F11DC">
        <w:rPr>
          <w:rFonts w:ascii="Times New Roman" w:hAnsi="Times New Roman" w:cs="Times New Roman"/>
          <w:sz w:val="24"/>
          <w:szCs w:val="24"/>
        </w:rPr>
        <w:t xml:space="preserve">% </w:t>
      </w:r>
      <w:r w:rsidR="004C5FC5" w:rsidRPr="0048332B">
        <w:rPr>
          <w:rFonts w:ascii="Times New Roman" w:hAnsi="Times New Roman" w:cs="Times New Roman"/>
          <w:sz w:val="24"/>
          <w:szCs w:val="24"/>
        </w:rPr>
        <w:t>11,5</w:t>
      </w:r>
      <w:r w:rsidR="00D734C4" w:rsidRPr="009F11DC">
        <w:rPr>
          <w:rFonts w:ascii="Times New Roman" w:hAnsi="Times New Roman" w:cs="Times New Roman"/>
          <w:sz w:val="24"/>
          <w:szCs w:val="24"/>
        </w:rPr>
        <w:t xml:space="preserve"> tuhande hektarini</w:t>
      </w:r>
      <w:r w:rsidR="00080BD5" w:rsidRPr="009F11DC">
        <w:rPr>
          <w:rFonts w:ascii="Times New Roman" w:hAnsi="Times New Roman" w:cs="Times New Roman"/>
          <w:sz w:val="24"/>
          <w:szCs w:val="24"/>
        </w:rPr>
        <w:t>.</w:t>
      </w:r>
      <w:r w:rsidR="00D734C4" w:rsidRPr="009F11DC">
        <w:rPr>
          <w:rFonts w:ascii="Times New Roman" w:hAnsi="Times New Roman" w:cs="Times New Roman"/>
          <w:sz w:val="24"/>
          <w:szCs w:val="24"/>
        </w:rPr>
        <w:t xml:space="preserve"> </w:t>
      </w:r>
      <w:r w:rsidR="004C5FC5" w:rsidRPr="009F11DC">
        <w:rPr>
          <w:rFonts w:ascii="Times New Roman" w:hAnsi="Times New Roman" w:cs="Times New Roman"/>
          <w:sz w:val="24"/>
          <w:szCs w:val="24"/>
        </w:rPr>
        <w:t xml:space="preserve">Rukki </w:t>
      </w:r>
      <w:r w:rsidR="004C5FC5" w:rsidRPr="009F11DC">
        <w:rPr>
          <w:rFonts w:ascii="Times New Roman" w:hAnsi="Times New Roman" w:cs="Times New Roman"/>
          <w:sz w:val="24"/>
          <w:szCs w:val="24"/>
        </w:rPr>
        <w:lastRenderedPageBreak/>
        <w:t xml:space="preserve">kasvupind on viimasel kümnel aastal </w:t>
      </w:r>
      <w:r w:rsidR="009F11DC">
        <w:rPr>
          <w:rFonts w:ascii="Times New Roman" w:hAnsi="Times New Roman" w:cs="Times New Roman"/>
          <w:sz w:val="24"/>
          <w:szCs w:val="24"/>
        </w:rPr>
        <w:t>püsinud</w:t>
      </w:r>
      <w:r w:rsidR="00A07A0F" w:rsidRPr="0024503A">
        <w:rPr>
          <w:rFonts w:ascii="Times New Roman" w:hAnsi="Times New Roman" w:cs="Times New Roman"/>
          <w:sz w:val="24"/>
          <w:szCs w:val="24"/>
        </w:rPr>
        <w:t xml:space="preserve"> </w:t>
      </w:r>
      <w:r w:rsidR="004C5FC5" w:rsidRPr="0024503A">
        <w:rPr>
          <w:rFonts w:ascii="Times New Roman" w:hAnsi="Times New Roman" w:cs="Times New Roman"/>
          <w:sz w:val="24"/>
          <w:szCs w:val="24"/>
        </w:rPr>
        <w:t>vahemikus 7–21 tuhat  hektarit</w:t>
      </w:r>
      <w:r w:rsidR="00080BD5">
        <w:rPr>
          <w:rFonts w:ascii="Times New Roman" w:hAnsi="Times New Roman" w:cs="Times New Roman"/>
          <w:sz w:val="24"/>
          <w:szCs w:val="24"/>
        </w:rPr>
        <w:t xml:space="preserve"> </w:t>
      </w:r>
      <w:r w:rsidR="00080BD5" w:rsidRPr="0024503A">
        <w:rPr>
          <w:rFonts w:ascii="Times New Roman" w:hAnsi="Times New Roman" w:cs="Times New Roman"/>
          <w:sz w:val="24"/>
          <w:szCs w:val="24"/>
        </w:rPr>
        <w:t>(joonis 9)</w:t>
      </w:r>
      <w:r w:rsidR="004C5FC5" w:rsidRPr="0024503A">
        <w:rPr>
          <w:rFonts w:ascii="Times New Roman" w:hAnsi="Times New Roman" w:cs="Times New Roman"/>
          <w:sz w:val="24"/>
          <w:szCs w:val="24"/>
        </w:rPr>
        <w:t xml:space="preserve">. </w:t>
      </w:r>
      <w:r w:rsidRPr="0024503A">
        <w:rPr>
          <w:rFonts w:ascii="Times New Roman" w:hAnsi="Times New Roman" w:cs="Times New Roman"/>
          <w:sz w:val="24"/>
          <w:szCs w:val="24"/>
        </w:rPr>
        <w:t>201</w:t>
      </w:r>
      <w:r w:rsidR="004C5FC5" w:rsidRPr="0024503A">
        <w:rPr>
          <w:rFonts w:ascii="Times New Roman" w:hAnsi="Times New Roman" w:cs="Times New Roman"/>
          <w:sz w:val="24"/>
          <w:szCs w:val="24"/>
        </w:rPr>
        <w:t>3</w:t>
      </w:r>
      <w:r w:rsidRPr="0024503A">
        <w:rPr>
          <w:rFonts w:ascii="Times New Roman" w:hAnsi="Times New Roman" w:cs="Times New Roman"/>
          <w:sz w:val="24"/>
          <w:szCs w:val="24"/>
        </w:rPr>
        <w:t xml:space="preserve">. aastal koristati Eestis </w:t>
      </w:r>
      <w:r w:rsidR="004C5FC5" w:rsidRPr="0024503A">
        <w:rPr>
          <w:rFonts w:ascii="Times New Roman" w:hAnsi="Times New Roman" w:cs="Times New Roman"/>
          <w:sz w:val="24"/>
          <w:szCs w:val="24"/>
        </w:rPr>
        <w:t>21,7</w:t>
      </w:r>
      <w:r w:rsidRPr="0024503A">
        <w:rPr>
          <w:rFonts w:ascii="Times New Roman" w:hAnsi="Times New Roman" w:cs="Times New Roman"/>
          <w:sz w:val="24"/>
          <w:szCs w:val="24"/>
        </w:rPr>
        <w:t xml:space="preserve"> tuhat tonni rukist keskmise saagikusega </w:t>
      </w:r>
      <w:r w:rsidR="004C5FC5" w:rsidRPr="0024503A">
        <w:rPr>
          <w:rFonts w:ascii="Times New Roman" w:hAnsi="Times New Roman" w:cs="Times New Roman"/>
          <w:sz w:val="24"/>
          <w:szCs w:val="24"/>
        </w:rPr>
        <w:t>1,9</w:t>
      </w:r>
      <w:r w:rsidRPr="0024503A">
        <w:rPr>
          <w:rFonts w:ascii="Times New Roman" w:hAnsi="Times New Roman" w:cs="Times New Roman"/>
          <w:sz w:val="24"/>
          <w:szCs w:val="24"/>
        </w:rPr>
        <w:t xml:space="preserve"> tonni hektarilt</w:t>
      </w:r>
      <w:r w:rsidR="004C5FC5" w:rsidRPr="0024503A">
        <w:rPr>
          <w:rFonts w:ascii="Times New Roman" w:hAnsi="Times New Roman" w:cs="Times New Roman"/>
          <w:sz w:val="24"/>
          <w:szCs w:val="24"/>
        </w:rPr>
        <w:t>, aasta varem olid</w:t>
      </w:r>
      <w:r w:rsidR="00F17A67" w:rsidRPr="0024503A">
        <w:rPr>
          <w:rFonts w:ascii="Times New Roman" w:hAnsi="Times New Roman" w:cs="Times New Roman"/>
          <w:sz w:val="24"/>
          <w:szCs w:val="24"/>
        </w:rPr>
        <w:t xml:space="preserve"> need</w:t>
      </w:r>
      <w:r w:rsidR="004C5FC5" w:rsidRPr="0024503A">
        <w:rPr>
          <w:rFonts w:ascii="Times New Roman" w:hAnsi="Times New Roman" w:cs="Times New Roman"/>
          <w:sz w:val="24"/>
          <w:szCs w:val="24"/>
        </w:rPr>
        <w:t xml:space="preserve"> näitajad vastavalt 57,1 tuhat hektarit ja 3,4 tonni hektarilt. </w:t>
      </w:r>
      <w:r w:rsidRPr="0024503A">
        <w:rPr>
          <w:rFonts w:ascii="Times New Roman" w:hAnsi="Times New Roman" w:cs="Times New Roman"/>
          <w:sz w:val="24"/>
          <w:szCs w:val="24"/>
        </w:rPr>
        <w:t>Rukki tarbimine on Eestis vähenenud võrreldes 2004/2005</w:t>
      </w:r>
      <w:r w:rsidR="00545B6D">
        <w:rPr>
          <w:rFonts w:ascii="Times New Roman" w:hAnsi="Times New Roman" w:cs="Times New Roman"/>
          <w:sz w:val="24"/>
          <w:szCs w:val="24"/>
        </w:rPr>
        <w:t>.</w:t>
      </w:r>
      <w:r w:rsidRPr="0024503A">
        <w:rPr>
          <w:rFonts w:ascii="Times New Roman" w:hAnsi="Times New Roman" w:cs="Times New Roman"/>
          <w:sz w:val="24"/>
          <w:szCs w:val="24"/>
        </w:rPr>
        <w:t xml:space="preserve"> turustusaastaga </w:t>
      </w:r>
      <w:r w:rsidR="00793F17" w:rsidRPr="0024503A">
        <w:rPr>
          <w:rFonts w:ascii="Times New Roman" w:hAnsi="Times New Roman" w:cs="Times New Roman"/>
          <w:sz w:val="24"/>
          <w:szCs w:val="24"/>
        </w:rPr>
        <w:t xml:space="preserve">kolmandiku </w:t>
      </w:r>
      <w:r w:rsidRPr="0024503A">
        <w:rPr>
          <w:rFonts w:ascii="Times New Roman" w:hAnsi="Times New Roman" w:cs="Times New Roman"/>
          <w:sz w:val="24"/>
          <w:szCs w:val="24"/>
        </w:rPr>
        <w:t>võrra (</w:t>
      </w:r>
      <w:r w:rsidR="00AB4F36" w:rsidRPr="0024503A">
        <w:rPr>
          <w:rFonts w:ascii="Times New Roman" w:hAnsi="Times New Roman" w:cs="Times New Roman"/>
          <w:sz w:val="24"/>
          <w:szCs w:val="24"/>
        </w:rPr>
        <w:t>36</w:t>
      </w:r>
      <w:r w:rsidRPr="0024503A">
        <w:rPr>
          <w:rFonts w:ascii="Times New Roman" w:hAnsi="Times New Roman" w:cs="Times New Roman"/>
          <w:sz w:val="24"/>
          <w:szCs w:val="24"/>
        </w:rPr>
        <w:t xml:space="preserve"> tuhande tonnini 201</w:t>
      </w:r>
      <w:r w:rsidR="00AB4F36" w:rsidRPr="0024503A">
        <w:rPr>
          <w:rFonts w:ascii="Times New Roman" w:hAnsi="Times New Roman" w:cs="Times New Roman"/>
          <w:sz w:val="24"/>
          <w:szCs w:val="24"/>
        </w:rPr>
        <w:t>2</w:t>
      </w:r>
      <w:r w:rsidRPr="0024503A">
        <w:rPr>
          <w:rFonts w:ascii="Times New Roman" w:hAnsi="Times New Roman" w:cs="Times New Roman"/>
          <w:sz w:val="24"/>
          <w:szCs w:val="24"/>
        </w:rPr>
        <w:t>/201</w:t>
      </w:r>
      <w:r w:rsidR="00AB4F36" w:rsidRPr="0024503A">
        <w:rPr>
          <w:rFonts w:ascii="Times New Roman" w:hAnsi="Times New Roman" w:cs="Times New Roman"/>
          <w:sz w:val="24"/>
          <w:szCs w:val="24"/>
        </w:rPr>
        <w:t>3</w:t>
      </w:r>
      <w:r w:rsidR="00545B6D">
        <w:rPr>
          <w:rFonts w:ascii="Times New Roman" w:hAnsi="Times New Roman" w:cs="Times New Roman"/>
          <w:sz w:val="24"/>
          <w:szCs w:val="24"/>
        </w:rPr>
        <w:t>.</w:t>
      </w:r>
      <w:r w:rsidRPr="0024503A">
        <w:rPr>
          <w:rFonts w:ascii="Times New Roman" w:hAnsi="Times New Roman" w:cs="Times New Roman"/>
          <w:sz w:val="24"/>
          <w:szCs w:val="24"/>
        </w:rPr>
        <w:t xml:space="preserve"> turustusaastal), seda </w:t>
      </w:r>
      <w:r w:rsidR="00AB4F36" w:rsidRPr="0024503A">
        <w:rPr>
          <w:rFonts w:ascii="Times New Roman" w:hAnsi="Times New Roman" w:cs="Times New Roman"/>
          <w:sz w:val="24"/>
          <w:szCs w:val="24"/>
        </w:rPr>
        <w:t>eriti</w:t>
      </w:r>
      <w:r w:rsidRPr="0024503A">
        <w:rPr>
          <w:rFonts w:ascii="Times New Roman" w:hAnsi="Times New Roman" w:cs="Times New Roman"/>
          <w:sz w:val="24"/>
          <w:szCs w:val="24"/>
        </w:rPr>
        <w:t xml:space="preserve"> tööstusliku tarbimise (piiritus)</w:t>
      </w:r>
      <w:r w:rsidR="00AB4F36" w:rsidRPr="0024503A">
        <w:rPr>
          <w:rFonts w:ascii="Times New Roman" w:hAnsi="Times New Roman" w:cs="Times New Roman"/>
          <w:sz w:val="24"/>
          <w:szCs w:val="24"/>
        </w:rPr>
        <w:t xml:space="preserve"> ja</w:t>
      </w:r>
      <w:r w:rsidRPr="0024503A">
        <w:rPr>
          <w:rFonts w:ascii="Times New Roman" w:hAnsi="Times New Roman" w:cs="Times New Roman"/>
          <w:sz w:val="24"/>
          <w:szCs w:val="24"/>
        </w:rPr>
        <w:t xml:space="preserve"> inimtarbimise </w:t>
      </w:r>
      <w:r w:rsidR="003812FD" w:rsidRPr="0024503A">
        <w:rPr>
          <w:rFonts w:ascii="Times New Roman" w:hAnsi="Times New Roman" w:cs="Times New Roman"/>
          <w:sz w:val="24"/>
          <w:szCs w:val="24"/>
        </w:rPr>
        <w:t>vähenemise tõttu</w:t>
      </w:r>
      <w:r w:rsidRPr="0024503A">
        <w:rPr>
          <w:rFonts w:ascii="Times New Roman" w:hAnsi="Times New Roman" w:cs="Times New Roman"/>
          <w:sz w:val="24"/>
          <w:szCs w:val="24"/>
        </w:rPr>
        <w:t xml:space="preserve">. </w:t>
      </w:r>
      <w:r w:rsidR="004C14F7" w:rsidRPr="0024503A">
        <w:rPr>
          <w:rFonts w:ascii="Times New Roman" w:hAnsi="Times New Roman" w:cs="Times New Roman"/>
          <w:sz w:val="24"/>
          <w:szCs w:val="24"/>
        </w:rPr>
        <w:t xml:space="preserve">Väga </w:t>
      </w:r>
      <w:r w:rsidR="00A07A0F" w:rsidRPr="009F11DC">
        <w:rPr>
          <w:rFonts w:ascii="Times New Roman" w:hAnsi="Times New Roman" w:cs="Times New Roman"/>
          <w:sz w:val="24"/>
          <w:szCs w:val="24"/>
        </w:rPr>
        <w:t>muutuv</w:t>
      </w:r>
      <w:r w:rsidR="00A07A0F" w:rsidRPr="0024503A">
        <w:rPr>
          <w:rFonts w:ascii="Times New Roman" w:hAnsi="Times New Roman" w:cs="Times New Roman"/>
          <w:sz w:val="24"/>
          <w:szCs w:val="24"/>
        </w:rPr>
        <w:t xml:space="preserve"> </w:t>
      </w:r>
      <w:r w:rsidR="004C14F7" w:rsidRPr="0024503A">
        <w:rPr>
          <w:rFonts w:ascii="Times New Roman" w:hAnsi="Times New Roman" w:cs="Times New Roman"/>
          <w:sz w:val="24"/>
          <w:szCs w:val="24"/>
        </w:rPr>
        <w:t>on olnud rukki kasutamine loomasöödaks, kui näiteks 2012/2013</w:t>
      </w:r>
      <w:r w:rsidR="00545B6D">
        <w:rPr>
          <w:rFonts w:ascii="Times New Roman" w:hAnsi="Times New Roman" w:cs="Times New Roman"/>
          <w:sz w:val="24"/>
          <w:szCs w:val="24"/>
        </w:rPr>
        <w:t>.</w:t>
      </w:r>
      <w:r w:rsidR="004C14F7" w:rsidRPr="0024503A">
        <w:rPr>
          <w:rFonts w:ascii="Times New Roman" w:hAnsi="Times New Roman" w:cs="Times New Roman"/>
          <w:sz w:val="24"/>
          <w:szCs w:val="24"/>
        </w:rPr>
        <w:t xml:space="preserve"> turustu</w:t>
      </w:r>
      <w:r w:rsidR="003812FD" w:rsidRPr="0024503A">
        <w:rPr>
          <w:rFonts w:ascii="Times New Roman" w:hAnsi="Times New Roman" w:cs="Times New Roman"/>
          <w:sz w:val="24"/>
          <w:szCs w:val="24"/>
        </w:rPr>
        <w:t>saastal oli see 8,6 tuhat tonni</w:t>
      </w:r>
      <w:r w:rsidR="004C14F7" w:rsidRPr="0024503A">
        <w:rPr>
          <w:rFonts w:ascii="Times New Roman" w:hAnsi="Times New Roman" w:cs="Times New Roman"/>
          <w:sz w:val="24"/>
          <w:szCs w:val="24"/>
        </w:rPr>
        <w:t>, siis 2004/2005</w:t>
      </w:r>
      <w:r w:rsidR="00545B6D">
        <w:rPr>
          <w:rFonts w:ascii="Times New Roman" w:hAnsi="Times New Roman" w:cs="Times New Roman"/>
          <w:sz w:val="24"/>
          <w:szCs w:val="24"/>
        </w:rPr>
        <w:t>.</w:t>
      </w:r>
      <w:r w:rsidR="004C14F7" w:rsidRPr="0024503A">
        <w:rPr>
          <w:rFonts w:ascii="Times New Roman" w:hAnsi="Times New Roman" w:cs="Times New Roman"/>
          <w:sz w:val="24"/>
          <w:szCs w:val="24"/>
        </w:rPr>
        <w:t xml:space="preserve"> turustusaastal oli vaid 2,1 tuhat tonni</w:t>
      </w:r>
      <w:r w:rsidR="004C14F7" w:rsidRPr="003A204D">
        <w:rPr>
          <w:rFonts w:ascii="Times New Roman" w:hAnsi="Times New Roman" w:cs="Times New Roman"/>
          <w:sz w:val="24"/>
          <w:szCs w:val="24"/>
        </w:rPr>
        <w:t xml:space="preserve">. </w:t>
      </w:r>
      <w:r w:rsidR="003A204D">
        <w:rPr>
          <w:rFonts w:ascii="Times New Roman" w:hAnsi="Times New Roman" w:cs="Times New Roman"/>
          <w:sz w:val="24"/>
          <w:szCs w:val="24"/>
        </w:rPr>
        <w:t>Rukki kasutamise otstarve sõltub eelkõige tera kvaliteedist</w:t>
      </w:r>
      <w:r w:rsidR="009972BC" w:rsidRPr="0024503A">
        <w:rPr>
          <w:rFonts w:ascii="Times New Roman" w:hAnsi="Times New Roman" w:cs="Times New Roman"/>
          <w:sz w:val="24"/>
          <w:szCs w:val="24"/>
        </w:rPr>
        <w:t>, sest rukist kasvatatakse esmalt toiduvi</w:t>
      </w:r>
      <w:r w:rsidR="00D542B9" w:rsidRPr="0024503A">
        <w:rPr>
          <w:rFonts w:ascii="Times New Roman" w:hAnsi="Times New Roman" w:cs="Times New Roman"/>
          <w:sz w:val="24"/>
          <w:szCs w:val="24"/>
        </w:rPr>
        <w:t>lja eesmärgil.</w:t>
      </w:r>
      <w:r w:rsidR="009972BC" w:rsidRPr="0024503A">
        <w:rPr>
          <w:rFonts w:ascii="Times New Roman" w:hAnsi="Times New Roman" w:cs="Times New Roman"/>
          <w:sz w:val="24"/>
          <w:szCs w:val="24"/>
        </w:rPr>
        <w:t xml:space="preserve"> </w:t>
      </w:r>
      <w:r w:rsidRPr="0024503A">
        <w:rPr>
          <w:rFonts w:ascii="Times New Roman" w:hAnsi="Times New Roman" w:cs="Times New Roman"/>
          <w:sz w:val="24"/>
          <w:szCs w:val="24"/>
        </w:rPr>
        <w:t>201</w:t>
      </w:r>
      <w:r w:rsidR="00D542B9" w:rsidRPr="0024503A">
        <w:rPr>
          <w:rFonts w:ascii="Times New Roman" w:hAnsi="Times New Roman" w:cs="Times New Roman"/>
          <w:sz w:val="24"/>
          <w:szCs w:val="24"/>
        </w:rPr>
        <w:t>2</w:t>
      </w:r>
      <w:r w:rsidRPr="0024503A">
        <w:rPr>
          <w:rFonts w:ascii="Times New Roman" w:hAnsi="Times New Roman" w:cs="Times New Roman"/>
          <w:sz w:val="24"/>
          <w:szCs w:val="24"/>
        </w:rPr>
        <w:t>/201</w:t>
      </w:r>
      <w:r w:rsidR="00D542B9" w:rsidRPr="0024503A">
        <w:rPr>
          <w:rFonts w:ascii="Times New Roman" w:hAnsi="Times New Roman" w:cs="Times New Roman"/>
          <w:sz w:val="24"/>
          <w:szCs w:val="24"/>
        </w:rPr>
        <w:t>3</w:t>
      </w:r>
      <w:r w:rsidR="00545B6D">
        <w:rPr>
          <w:rFonts w:ascii="Times New Roman" w:hAnsi="Times New Roman" w:cs="Times New Roman"/>
          <w:sz w:val="24"/>
          <w:szCs w:val="24"/>
        </w:rPr>
        <w:t>.</w:t>
      </w:r>
      <w:r w:rsidRPr="0024503A">
        <w:rPr>
          <w:rFonts w:ascii="Times New Roman" w:hAnsi="Times New Roman" w:cs="Times New Roman"/>
          <w:sz w:val="24"/>
          <w:szCs w:val="24"/>
        </w:rPr>
        <w:t xml:space="preserve"> turustusaastal oli rukkiga isevarustatuse tase</w:t>
      </w:r>
      <w:r w:rsidR="00D542B9" w:rsidRPr="0024503A">
        <w:rPr>
          <w:rFonts w:ascii="Times New Roman" w:hAnsi="Times New Roman" w:cs="Times New Roman"/>
          <w:sz w:val="24"/>
          <w:szCs w:val="24"/>
        </w:rPr>
        <w:t xml:space="preserve"> 157%, aasta varem</w:t>
      </w:r>
      <w:r w:rsidRPr="0024503A">
        <w:rPr>
          <w:rFonts w:ascii="Times New Roman" w:hAnsi="Times New Roman" w:cs="Times New Roman"/>
          <w:sz w:val="24"/>
          <w:szCs w:val="24"/>
        </w:rPr>
        <w:t xml:space="preserve"> 113%. </w:t>
      </w:r>
      <w:r w:rsidR="0043093C" w:rsidRPr="0024503A">
        <w:rPr>
          <w:rFonts w:ascii="Times New Roman" w:hAnsi="Times New Roman" w:cs="Times New Roman"/>
          <w:sz w:val="24"/>
          <w:szCs w:val="24"/>
        </w:rPr>
        <w:t>Võrreldes 2004. aastaga on leiva</w:t>
      </w:r>
      <w:r w:rsidR="00DC4906">
        <w:rPr>
          <w:rFonts w:ascii="Times New Roman" w:hAnsi="Times New Roman" w:cs="Times New Roman"/>
          <w:sz w:val="24"/>
          <w:szCs w:val="24"/>
        </w:rPr>
        <w:t xml:space="preserve"> </w:t>
      </w:r>
      <w:r w:rsidR="0043093C" w:rsidRPr="0024503A">
        <w:rPr>
          <w:rFonts w:ascii="Times New Roman" w:hAnsi="Times New Roman" w:cs="Times New Roman"/>
          <w:sz w:val="24"/>
          <w:szCs w:val="24"/>
        </w:rPr>
        <w:t>tootmine 201</w:t>
      </w:r>
      <w:r w:rsidR="00715091">
        <w:rPr>
          <w:rFonts w:ascii="Times New Roman" w:hAnsi="Times New Roman" w:cs="Times New Roman"/>
          <w:sz w:val="24"/>
          <w:szCs w:val="24"/>
        </w:rPr>
        <w:t>3</w:t>
      </w:r>
      <w:r w:rsidR="0043093C" w:rsidRPr="0024503A">
        <w:rPr>
          <w:rFonts w:ascii="Times New Roman" w:hAnsi="Times New Roman" w:cs="Times New Roman"/>
          <w:sz w:val="24"/>
          <w:szCs w:val="24"/>
        </w:rPr>
        <w:t>. aastaks vähenenud 3</w:t>
      </w:r>
      <w:r w:rsidR="00715091">
        <w:rPr>
          <w:rFonts w:ascii="Times New Roman" w:hAnsi="Times New Roman" w:cs="Times New Roman"/>
          <w:sz w:val="24"/>
          <w:szCs w:val="24"/>
        </w:rPr>
        <w:t>1</w:t>
      </w:r>
      <w:r w:rsidR="0043093C" w:rsidRPr="0024503A">
        <w:rPr>
          <w:rFonts w:ascii="Times New Roman" w:hAnsi="Times New Roman" w:cs="Times New Roman"/>
          <w:sz w:val="24"/>
          <w:szCs w:val="24"/>
        </w:rPr>
        <w:t>%, samas rukkijahu tootmine</w:t>
      </w:r>
      <w:r w:rsidR="00C61E7B" w:rsidRPr="0024503A">
        <w:rPr>
          <w:rFonts w:ascii="Times New Roman" w:hAnsi="Times New Roman" w:cs="Times New Roman"/>
          <w:sz w:val="24"/>
          <w:szCs w:val="24"/>
        </w:rPr>
        <w:t xml:space="preserve"> on</w:t>
      </w:r>
      <w:r w:rsidR="0043093C" w:rsidRPr="0024503A">
        <w:rPr>
          <w:rFonts w:ascii="Times New Roman" w:hAnsi="Times New Roman" w:cs="Times New Roman"/>
          <w:sz w:val="24"/>
          <w:szCs w:val="24"/>
        </w:rPr>
        <w:t xml:space="preserve"> suurenenud </w:t>
      </w:r>
      <w:r w:rsidR="00715091">
        <w:rPr>
          <w:rFonts w:ascii="Times New Roman" w:hAnsi="Times New Roman" w:cs="Times New Roman"/>
          <w:sz w:val="24"/>
          <w:szCs w:val="24"/>
        </w:rPr>
        <w:t>43</w:t>
      </w:r>
      <w:r w:rsidR="0043093C" w:rsidRPr="0024503A">
        <w:rPr>
          <w:rFonts w:ascii="Times New Roman" w:hAnsi="Times New Roman" w:cs="Times New Roman"/>
          <w:sz w:val="24"/>
          <w:szCs w:val="24"/>
        </w:rPr>
        <w:t xml:space="preserve">%. </w:t>
      </w:r>
      <w:r w:rsidR="007F52B2" w:rsidRPr="0024503A">
        <w:rPr>
          <w:rFonts w:ascii="Times New Roman" w:hAnsi="Times New Roman" w:cs="Times New Roman"/>
          <w:sz w:val="24"/>
          <w:szCs w:val="24"/>
        </w:rPr>
        <w:t>Oluliselt on nimetatud ajavahemikus tõusnud ka rukkijahu eksport</w:t>
      </w:r>
      <w:r w:rsidR="004B5C35">
        <w:rPr>
          <w:rFonts w:ascii="Times New Roman" w:hAnsi="Times New Roman" w:cs="Times New Roman"/>
          <w:sz w:val="24"/>
          <w:szCs w:val="24"/>
        </w:rPr>
        <w:t xml:space="preserve"> –</w:t>
      </w:r>
      <w:r w:rsidR="007F52B2" w:rsidRPr="0024503A">
        <w:rPr>
          <w:rFonts w:ascii="Times New Roman" w:hAnsi="Times New Roman" w:cs="Times New Roman"/>
          <w:sz w:val="24"/>
          <w:szCs w:val="24"/>
        </w:rPr>
        <w:t xml:space="preserve"> 16 korda. </w:t>
      </w:r>
    </w:p>
    <w:p w:rsidR="00B40A65" w:rsidRPr="00D549C9" w:rsidRDefault="00AD2555" w:rsidP="00617526">
      <w:pPr>
        <w:pStyle w:val="BodyText"/>
        <w:spacing w:line="276" w:lineRule="auto"/>
        <w:rPr>
          <w:sz w:val="24"/>
          <w:szCs w:val="24"/>
        </w:rPr>
      </w:pPr>
      <w:r>
        <w:rPr>
          <w:noProof/>
        </w:rPr>
        <w:drawing>
          <wp:inline distT="0" distB="0" distL="0" distR="0" wp14:anchorId="57A26F3E" wp14:editId="0D9273FE">
            <wp:extent cx="6086475" cy="2324100"/>
            <wp:effectExtent l="0" t="0" r="9525"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40A65" w:rsidRPr="00EE3FB5" w:rsidRDefault="00B40A65" w:rsidP="00617526">
      <w:pPr>
        <w:pStyle w:val="BodyText"/>
        <w:spacing w:line="276" w:lineRule="auto"/>
        <w:rPr>
          <w:rFonts w:ascii="Arial" w:hAnsi="Arial" w:cs="Arial"/>
        </w:rPr>
      </w:pPr>
      <w:r w:rsidRPr="00EE3FB5">
        <w:rPr>
          <w:rFonts w:ascii="Arial" w:hAnsi="Arial" w:cs="Arial"/>
        </w:rPr>
        <w:t>Allikas: SA, PM arvutused</w:t>
      </w:r>
    </w:p>
    <w:p w:rsidR="00B40A65" w:rsidRPr="006977B6" w:rsidRDefault="00B40A65" w:rsidP="00617526">
      <w:pPr>
        <w:pStyle w:val="BodyText"/>
        <w:spacing w:line="276" w:lineRule="auto"/>
        <w:rPr>
          <w:rFonts w:ascii="Times New Roman" w:hAnsi="Times New Roman" w:cs="Times New Roman"/>
          <w:b/>
          <w:bCs/>
          <w:sz w:val="24"/>
          <w:szCs w:val="24"/>
        </w:rPr>
      </w:pPr>
      <w:r w:rsidRPr="006977B6">
        <w:rPr>
          <w:rFonts w:ascii="Times New Roman" w:hAnsi="Times New Roman" w:cs="Times New Roman"/>
          <w:b/>
          <w:sz w:val="24"/>
          <w:szCs w:val="24"/>
        </w:rPr>
        <w:t>Joonis 9. Rukki</w:t>
      </w:r>
      <w:r w:rsidRPr="006977B6">
        <w:rPr>
          <w:rFonts w:ascii="Times New Roman" w:hAnsi="Times New Roman" w:cs="Times New Roman"/>
          <w:b/>
          <w:bCs/>
          <w:sz w:val="24"/>
          <w:szCs w:val="24"/>
        </w:rPr>
        <w:t xml:space="preserve"> saak, kasvupind ja saagikus aastatel 2004</w:t>
      </w:r>
      <w:r w:rsidR="005D5165" w:rsidRPr="006977B6">
        <w:rPr>
          <w:rFonts w:ascii="Times New Roman" w:hAnsi="Times New Roman" w:cs="Times New Roman"/>
          <w:b/>
          <w:bCs/>
          <w:sz w:val="24"/>
          <w:szCs w:val="24"/>
        </w:rPr>
        <w:t>–</w:t>
      </w:r>
      <w:r w:rsidRPr="006977B6">
        <w:rPr>
          <w:rFonts w:ascii="Times New Roman" w:hAnsi="Times New Roman" w:cs="Times New Roman"/>
          <w:b/>
          <w:bCs/>
          <w:sz w:val="24"/>
          <w:szCs w:val="24"/>
        </w:rPr>
        <w:t>2013</w:t>
      </w:r>
    </w:p>
    <w:p w:rsidR="00B40A65" w:rsidRPr="0024503A" w:rsidRDefault="00B40A65" w:rsidP="00617526">
      <w:pPr>
        <w:pStyle w:val="Heading3"/>
        <w:spacing w:line="276" w:lineRule="auto"/>
        <w:rPr>
          <w:rFonts w:ascii="Times New Roman" w:hAnsi="Times New Roman" w:cs="Times New Roman"/>
          <w:b w:val="0"/>
        </w:rPr>
      </w:pPr>
      <w:bookmarkStart w:id="325" w:name="_Toc378697813"/>
      <w:bookmarkStart w:id="326" w:name="_Toc378773260"/>
      <w:bookmarkStart w:id="327" w:name="_Toc379197441"/>
      <w:bookmarkStart w:id="328" w:name="_Toc379205479"/>
      <w:bookmarkStart w:id="329" w:name="_Toc379268175"/>
      <w:bookmarkStart w:id="330" w:name="_Toc379296750"/>
      <w:bookmarkStart w:id="331" w:name="_Toc379373459"/>
      <w:bookmarkStart w:id="332" w:name="_Toc379799843"/>
      <w:bookmarkStart w:id="333" w:name="_Toc381633585"/>
      <w:bookmarkStart w:id="334" w:name="_Toc381633730"/>
      <w:bookmarkStart w:id="335" w:name="_Toc384050898"/>
      <w:bookmarkStart w:id="336" w:name="_Toc384052602"/>
      <w:bookmarkStart w:id="337" w:name="_Toc384283945"/>
      <w:bookmarkStart w:id="338" w:name="_Toc384284056"/>
      <w:bookmarkStart w:id="339" w:name="_Toc384386250"/>
      <w:bookmarkStart w:id="340" w:name="_Toc384386462"/>
      <w:bookmarkStart w:id="341" w:name="_Toc384392328"/>
      <w:bookmarkStart w:id="342" w:name="_Toc385253759"/>
      <w:bookmarkStart w:id="343" w:name="_Toc385335131"/>
      <w:bookmarkStart w:id="344" w:name="_Toc389128800"/>
      <w:bookmarkStart w:id="345" w:name="_Toc389131347"/>
      <w:bookmarkStart w:id="346" w:name="_Toc389223882"/>
      <w:bookmarkStart w:id="347" w:name="_Toc389223944"/>
      <w:bookmarkStart w:id="348" w:name="_Toc391908876"/>
      <w:bookmarkStart w:id="349" w:name="_Toc391991810"/>
      <w:bookmarkStart w:id="350" w:name="_Toc397593030"/>
      <w:bookmarkStart w:id="351" w:name="_Toc398896325"/>
      <w:bookmarkStart w:id="352" w:name="_Toc398896465"/>
      <w:bookmarkStart w:id="353" w:name="_Toc400972837"/>
      <w:r w:rsidRPr="0024503A">
        <w:rPr>
          <w:rFonts w:ascii="Times New Roman" w:hAnsi="Times New Roman" w:cs="Times New Roman"/>
        </w:rPr>
        <w:t>Kaer</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rsidR="00126816" w:rsidRPr="0024503A" w:rsidRDefault="00126816" w:rsidP="00617526">
      <w:pPr>
        <w:pStyle w:val="BodyText"/>
        <w:spacing w:line="276" w:lineRule="auto"/>
        <w:rPr>
          <w:rFonts w:ascii="Times New Roman" w:hAnsi="Times New Roman" w:cs="Times New Roman"/>
          <w:sz w:val="24"/>
          <w:szCs w:val="24"/>
        </w:rPr>
      </w:pPr>
    </w:p>
    <w:p w:rsidR="00B40A65" w:rsidRDefault="00B40A65" w:rsidP="00D332DE">
      <w:pPr>
        <w:pStyle w:val="BodyText"/>
        <w:spacing w:line="276" w:lineRule="auto"/>
        <w:rPr>
          <w:rFonts w:ascii="Times New Roman" w:hAnsi="Times New Roman" w:cs="Times New Roman"/>
          <w:sz w:val="24"/>
          <w:szCs w:val="24"/>
        </w:rPr>
      </w:pPr>
      <w:r w:rsidRPr="0024503A">
        <w:rPr>
          <w:rFonts w:ascii="Times New Roman" w:hAnsi="Times New Roman" w:cs="Times New Roman"/>
          <w:sz w:val="24"/>
          <w:szCs w:val="24"/>
        </w:rPr>
        <w:t>Maailma suurimad kaerakasvatajad on EL (enim Poola ja Soome), Venemaa ja Kanada. Peamiselt kasvatatakse sõkalteralisi (valmimisel jäävad terad sõkaldega kokku)  kaeraliike, kuid olemas on ka paljasteralised (valmimisel eralduvad terad sõkaldest) kaerad, mis on külmaõrnemad. Eestis kasvatatakse peamiselt sõkalteralisi kaerasorte, sõklad kaitsevad teri haiguste ja vigastuste eest, kuid nende toiteväärtus on väike.</w:t>
      </w:r>
      <w:r w:rsidR="00F6760A" w:rsidRPr="0024503A">
        <w:rPr>
          <w:rFonts w:ascii="Times New Roman" w:hAnsi="Times New Roman" w:cs="Times New Roman"/>
          <w:sz w:val="24"/>
          <w:szCs w:val="24"/>
        </w:rPr>
        <w:t xml:space="preserve"> </w:t>
      </w:r>
      <w:r w:rsidRPr="0024503A">
        <w:rPr>
          <w:rFonts w:ascii="Times New Roman" w:hAnsi="Times New Roman" w:cs="Times New Roman"/>
          <w:sz w:val="24"/>
          <w:szCs w:val="24"/>
        </w:rPr>
        <w:t xml:space="preserve">Suurem osa maailmas toodetavast kaerast kasutatakse eelkõige loomasöödaks (ca 70%). Kaera kasvupind maailmas on tunduvalt vähenenud, mille peamiseks põhjuseks peetakse hobuste arvu vähenemist. Kaerast saab ka </w:t>
      </w:r>
      <w:hyperlink r:id="rId26" w:tooltip="Põhk (pole veel kirjutatud)" w:history="1">
        <w:r w:rsidRPr="0024503A">
          <w:rPr>
            <w:rFonts w:ascii="Times New Roman" w:hAnsi="Times New Roman" w:cs="Times New Roman"/>
            <w:sz w:val="24"/>
            <w:szCs w:val="24"/>
          </w:rPr>
          <w:t>põhku</w:t>
        </w:r>
      </w:hyperlink>
      <w:r w:rsidRPr="0024503A">
        <w:rPr>
          <w:rFonts w:ascii="Times New Roman" w:hAnsi="Times New Roman" w:cs="Times New Roman"/>
          <w:sz w:val="24"/>
          <w:szCs w:val="24"/>
        </w:rPr>
        <w:t xml:space="preserve">, </w:t>
      </w:r>
      <w:hyperlink r:id="rId27" w:tooltip="Silo" w:history="1">
        <w:r w:rsidRPr="0024503A">
          <w:rPr>
            <w:rFonts w:ascii="Times New Roman" w:hAnsi="Times New Roman" w:cs="Times New Roman"/>
            <w:sz w:val="24"/>
            <w:szCs w:val="24"/>
          </w:rPr>
          <w:t>silo</w:t>
        </w:r>
      </w:hyperlink>
      <w:r w:rsidRPr="0024503A">
        <w:rPr>
          <w:rFonts w:ascii="Times New Roman" w:hAnsi="Times New Roman" w:cs="Times New Roman"/>
          <w:sz w:val="24"/>
          <w:szCs w:val="24"/>
        </w:rPr>
        <w:t xml:space="preserve">, </w:t>
      </w:r>
      <w:hyperlink r:id="rId28" w:tooltip="Aganad (pole veel kirjutatud)" w:history="1">
        <w:r w:rsidRPr="0024503A">
          <w:rPr>
            <w:rFonts w:ascii="Times New Roman" w:hAnsi="Times New Roman" w:cs="Times New Roman"/>
            <w:sz w:val="24"/>
            <w:szCs w:val="24"/>
          </w:rPr>
          <w:t>aganaid</w:t>
        </w:r>
      </w:hyperlink>
      <w:r w:rsidRPr="0024503A">
        <w:rPr>
          <w:rFonts w:ascii="Times New Roman" w:hAnsi="Times New Roman" w:cs="Times New Roman"/>
          <w:sz w:val="24"/>
          <w:szCs w:val="24"/>
        </w:rPr>
        <w:t xml:space="preserve"> ja </w:t>
      </w:r>
      <w:hyperlink r:id="rId29" w:tooltip="Haljassööt (pole veel kirjutatud)" w:history="1">
        <w:r w:rsidRPr="0024503A">
          <w:rPr>
            <w:rFonts w:ascii="Times New Roman" w:hAnsi="Times New Roman" w:cs="Times New Roman"/>
            <w:sz w:val="24"/>
            <w:szCs w:val="24"/>
          </w:rPr>
          <w:t>haljassööta</w:t>
        </w:r>
      </w:hyperlink>
      <w:r w:rsidRPr="0024503A">
        <w:rPr>
          <w:rFonts w:ascii="Times New Roman" w:hAnsi="Times New Roman" w:cs="Times New Roman"/>
          <w:sz w:val="24"/>
          <w:szCs w:val="24"/>
        </w:rPr>
        <w:t xml:space="preserve">. Samas on viimastel aastatel maailmas järjest enam tõusmas trend tervislikule toitumisele, mistõttu võib kaera inimtarbimine oluliselt suureneda. Eestis levinuim kaerast tehtav toit on </w:t>
      </w:r>
      <w:hyperlink r:id="rId30" w:tooltip="Kaerahelbepuder (pole veel kirjutatud)" w:history="1">
        <w:r w:rsidRPr="0024503A">
          <w:rPr>
            <w:rFonts w:ascii="Times New Roman" w:hAnsi="Times New Roman" w:cs="Times New Roman"/>
            <w:sz w:val="24"/>
            <w:szCs w:val="24"/>
          </w:rPr>
          <w:t>kaerahelbepuder</w:t>
        </w:r>
      </w:hyperlink>
      <w:r w:rsidRPr="0024503A">
        <w:rPr>
          <w:rFonts w:ascii="Times New Roman" w:hAnsi="Times New Roman" w:cs="Times New Roman"/>
          <w:sz w:val="24"/>
          <w:szCs w:val="24"/>
        </w:rPr>
        <w:t xml:space="preserve">, lisaks tehakse </w:t>
      </w:r>
      <w:hyperlink r:id="rId31" w:tooltip="Kaerajahu (pole veel kirjutatud)" w:history="1">
        <w:r w:rsidRPr="0024503A">
          <w:rPr>
            <w:rFonts w:ascii="Times New Roman" w:hAnsi="Times New Roman" w:cs="Times New Roman"/>
            <w:sz w:val="24"/>
            <w:szCs w:val="24"/>
          </w:rPr>
          <w:t>kaerajahu</w:t>
        </w:r>
      </w:hyperlink>
      <w:r w:rsidRPr="0024503A">
        <w:rPr>
          <w:rFonts w:ascii="Times New Roman" w:hAnsi="Times New Roman" w:cs="Times New Roman"/>
          <w:sz w:val="24"/>
          <w:szCs w:val="24"/>
        </w:rPr>
        <w:t xml:space="preserve">, </w:t>
      </w:r>
      <w:hyperlink r:id="rId32" w:tooltip="Kaerahelbed (pole veel kirjutatud)" w:history="1">
        <w:r w:rsidRPr="0024503A">
          <w:rPr>
            <w:rFonts w:ascii="Times New Roman" w:hAnsi="Times New Roman" w:cs="Times New Roman"/>
            <w:sz w:val="24"/>
            <w:szCs w:val="24"/>
          </w:rPr>
          <w:t>-helbeid</w:t>
        </w:r>
      </w:hyperlink>
      <w:r w:rsidRPr="0024503A">
        <w:rPr>
          <w:rFonts w:ascii="Times New Roman" w:hAnsi="Times New Roman" w:cs="Times New Roman"/>
          <w:sz w:val="24"/>
          <w:szCs w:val="24"/>
        </w:rPr>
        <w:t xml:space="preserve"> ja </w:t>
      </w:r>
      <w:hyperlink r:id="rId33" w:tooltip="Kaerakliid (pole veel kirjutatud)" w:history="1">
        <w:r w:rsidRPr="0024503A">
          <w:rPr>
            <w:rFonts w:ascii="Times New Roman" w:hAnsi="Times New Roman" w:cs="Times New Roman"/>
            <w:sz w:val="24"/>
            <w:szCs w:val="24"/>
          </w:rPr>
          <w:t>-kliid</w:t>
        </w:r>
      </w:hyperlink>
      <w:r w:rsidRPr="0024503A">
        <w:rPr>
          <w:rFonts w:ascii="Times New Roman" w:hAnsi="Times New Roman" w:cs="Times New Roman"/>
          <w:sz w:val="24"/>
          <w:szCs w:val="24"/>
        </w:rPr>
        <w:t xml:space="preserve">. Kaera lisatakse ka </w:t>
      </w:r>
      <w:proofErr w:type="spellStart"/>
      <w:r w:rsidRPr="0024503A">
        <w:rPr>
          <w:rFonts w:ascii="Times New Roman" w:hAnsi="Times New Roman" w:cs="Times New Roman"/>
          <w:sz w:val="24"/>
          <w:szCs w:val="24"/>
        </w:rPr>
        <w:t>müslidesse</w:t>
      </w:r>
      <w:proofErr w:type="spellEnd"/>
      <w:r w:rsidRPr="0024503A">
        <w:rPr>
          <w:rFonts w:ascii="Times New Roman" w:hAnsi="Times New Roman" w:cs="Times New Roman"/>
          <w:sz w:val="24"/>
          <w:szCs w:val="24"/>
        </w:rPr>
        <w:t xml:space="preserve"> ja valmistatakse kaeraküpsiseid.  </w:t>
      </w:r>
    </w:p>
    <w:p w:rsidR="00D332DE" w:rsidRPr="0024503A" w:rsidRDefault="00D332DE" w:rsidP="00D332DE">
      <w:pPr>
        <w:pStyle w:val="BodyText"/>
        <w:spacing w:line="276" w:lineRule="auto"/>
        <w:rPr>
          <w:rFonts w:ascii="Times New Roman" w:hAnsi="Times New Roman" w:cs="Times New Roman"/>
          <w:sz w:val="24"/>
          <w:szCs w:val="24"/>
        </w:rPr>
      </w:pPr>
    </w:p>
    <w:p w:rsidR="00B40A65" w:rsidRPr="00D549C9" w:rsidRDefault="00AD2555" w:rsidP="00617526">
      <w:pPr>
        <w:adjustRightInd w:val="0"/>
        <w:spacing w:line="276" w:lineRule="auto"/>
        <w:jc w:val="both"/>
        <w:rPr>
          <w:rFonts w:cs="TimesNewRoman"/>
          <w:sz w:val="24"/>
          <w:szCs w:val="24"/>
        </w:rPr>
      </w:pPr>
      <w:r>
        <w:rPr>
          <w:noProof/>
        </w:rPr>
        <w:lastRenderedPageBreak/>
        <w:drawing>
          <wp:inline distT="0" distB="0" distL="0" distR="0" wp14:anchorId="4678A247" wp14:editId="1CF650D1">
            <wp:extent cx="6096000" cy="2333625"/>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40A65" w:rsidRPr="00EE3FB5" w:rsidRDefault="0097241B" w:rsidP="00617526">
      <w:pPr>
        <w:pStyle w:val="BodyText"/>
        <w:spacing w:line="276" w:lineRule="auto"/>
        <w:rPr>
          <w:rFonts w:ascii="Arial" w:hAnsi="Arial" w:cs="Arial"/>
        </w:rPr>
      </w:pPr>
      <w:r w:rsidRPr="00EE3FB5">
        <w:rPr>
          <w:rFonts w:ascii="Arial" w:hAnsi="Arial" w:cs="Arial"/>
        </w:rPr>
        <w:t>Allikas: SA</w:t>
      </w:r>
    </w:p>
    <w:p w:rsidR="00612359" w:rsidRDefault="00B40A65" w:rsidP="00FB42E4">
      <w:pPr>
        <w:pStyle w:val="BodyText"/>
        <w:spacing w:line="276" w:lineRule="auto"/>
        <w:rPr>
          <w:rFonts w:ascii="Times New Roman" w:hAnsi="Times New Roman" w:cs="Times New Roman"/>
          <w:b/>
          <w:bCs/>
          <w:sz w:val="24"/>
          <w:szCs w:val="24"/>
        </w:rPr>
      </w:pPr>
      <w:r w:rsidRPr="006977B6">
        <w:rPr>
          <w:rFonts w:ascii="Times New Roman" w:hAnsi="Times New Roman" w:cs="Times New Roman"/>
          <w:b/>
          <w:sz w:val="24"/>
          <w:szCs w:val="24"/>
        </w:rPr>
        <w:t xml:space="preserve">Joonis 10. Kaera </w:t>
      </w:r>
      <w:r w:rsidRPr="006977B6">
        <w:rPr>
          <w:rFonts w:ascii="Times New Roman" w:hAnsi="Times New Roman" w:cs="Times New Roman"/>
          <w:b/>
          <w:bCs/>
          <w:sz w:val="24"/>
          <w:szCs w:val="24"/>
        </w:rPr>
        <w:t>saak, kasvu</w:t>
      </w:r>
      <w:r w:rsidR="004B5C35">
        <w:rPr>
          <w:rFonts w:ascii="Times New Roman" w:hAnsi="Times New Roman" w:cs="Times New Roman"/>
          <w:b/>
          <w:bCs/>
          <w:sz w:val="24"/>
          <w:szCs w:val="24"/>
        </w:rPr>
        <w:t>pind ja saagikus aastatel 2004–</w:t>
      </w:r>
      <w:r w:rsidRPr="006977B6">
        <w:rPr>
          <w:rFonts w:ascii="Times New Roman" w:hAnsi="Times New Roman" w:cs="Times New Roman"/>
          <w:b/>
          <w:bCs/>
          <w:sz w:val="24"/>
          <w:szCs w:val="24"/>
        </w:rPr>
        <w:t>2013</w:t>
      </w:r>
    </w:p>
    <w:p w:rsidR="00693271" w:rsidRDefault="00693271" w:rsidP="00FB42E4">
      <w:pPr>
        <w:pStyle w:val="BodyText"/>
        <w:spacing w:line="276" w:lineRule="auto"/>
        <w:rPr>
          <w:rFonts w:ascii="Times New Roman" w:hAnsi="Times New Roman" w:cs="Times New Roman"/>
          <w:sz w:val="24"/>
          <w:szCs w:val="24"/>
        </w:rPr>
      </w:pPr>
    </w:p>
    <w:p w:rsidR="003D78E9" w:rsidRDefault="002C3B29" w:rsidP="003D78E9">
      <w:pPr>
        <w:spacing w:line="276" w:lineRule="auto"/>
        <w:jc w:val="both"/>
        <w:rPr>
          <w:rFonts w:ascii="Times New Roman" w:hAnsi="Times New Roman" w:cs="Times New Roman"/>
        </w:rPr>
      </w:pPr>
      <w:r>
        <w:rPr>
          <w:rFonts w:ascii="Times New Roman" w:hAnsi="Times New Roman" w:cs="Times New Roman"/>
          <w:sz w:val="24"/>
          <w:szCs w:val="24"/>
        </w:rPr>
        <w:t>H</w:t>
      </w:r>
      <w:r w:rsidR="00B40A65" w:rsidRPr="0024503A">
        <w:rPr>
          <w:rFonts w:ascii="Times New Roman" w:hAnsi="Times New Roman" w:cs="Times New Roman"/>
          <w:sz w:val="24"/>
          <w:szCs w:val="24"/>
        </w:rPr>
        <w:t xml:space="preserve">ästi arenenud juurestiku </w:t>
      </w:r>
      <w:r>
        <w:rPr>
          <w:rFonts w:ascii="Times New Roman" w:hAnsi="Times New Roman" w:cs="Times New Roman"/>
          <w:sz w:val="24"/>
          <w:szCs w:val="24"/>
        </w:rPr>
        <w:t>tõttu on kaer mullastiku suhtes</w:t>
      </w:r>
      <w:r w:rsidR="00B40A65" w:rsidRPr="0024503A">
        <w:rPr>
          <w:rFonts w:ascii="Times New Roman" w:hAnsi="Times New Roman" w:cs="Times New Roman"/>
          <w:sz w:val="24"/>
          <w:szCs w:val="24"/>
        </w:rPr>
        <w:t xml:space="preserve"> leplikum kui teised teraviljad (v.a. rukis). Eestis oli kaera kasvupind suurim 1999. aastal, hiljem kasvupind vähenes 42% ning on viimased 10 aastat jäänud püsima 30–35 tuhande hektari piiresse</w:t>
      </w:r>
      <w:r w:rsidR="00727AE1" w:rsidRPr="0024503A">
        <w:rPr>
          <w:rFonts w:ascii="Times New Roman" w:hAnsi="Times New Roman" w:cs="Times New Roman"/>
          <w:sz w:val="24"/>
          <w:szCs w:val="24"/>
        </w:rPr>
        <w:t xml:space="preserve"> (joonis 10)</w:t>
      </w:r>
      <w:r w:rsidR="00B40A65" w:rsidRPr="0024503A">
        <w:rPr>
          <w:rFonts w:ascii="Times New Roman" w:hAnsi="Times New Roman" w:cs="Times New Roman"/>
          <w:sz w:val="24"/>
          <w:szCs w:val="24"/>
        </w:rPr>
        <w:t>. Kaera keskmine saagikus oli 201</w:t>
      </w:r>
      <w:r w:rsidR="0043093C" w:rsidRPr="0024503A">
        <w:rPr>
          <w:rFonts w:ascii="Times New Roman" w:hAnsi="Times New Roman" w:cs="Times New Roman"/>
          <w:sz w:val="24"/>
          <w:szCs w:val="24"/>
        </w:rPr>
        <w:t>3</w:t>
      </w:r>
      <w:r w:rsidR="00B40A65" w:rsidRPr="0024503A">
        <w:rPr>
          <w:rFonts w:ascii="Times New Roman" w:hAnsi="Times New Roman" w:cs="Times New Roman"/>
          <w:sz w:val="24"/>
          <w:szCs w:val="24"/>
        </w:rPr>
        <w:t>. aastal 2,</w:t>
      </w:r>
      <w:r w:rsidR="0043093C" w:rsidRPr="0024503A">
        <w:rPr>
          <w:rFonts w:ascii="Times New Roman" w:hAnsi="Times New Roman" w:cs="Times New Roman"/>
          <w:sz w:val="24"/>
          <w:szCs w:val="24"/>
        </w:rPr>
        <w:t>4</w:t>
      </w:r>
      <w:r w:rsidR="00B40A65" w:rsidRPr="0024503A">
        <w:rPr>
          <w:rFonts w:ascii="Times New Roman" w:hAnsi="Times New Roman" w:cs="Times New Roman"/>
          <w:sz w:val="24"/>
          <w:szCs w:val="24"/>
        </w:rPr>
        <w:t xml:space="preserve"> tonni hektarilt ning kogusaagiks saadi </w:t>
      </w:r>
      <w:r w:rsidR="0043093C" w:rsidRPr="0024503A">
        <w:rPr>
          <w:rFonts w:ascii="Times New Roman" w:hAnsi="Times New Roman" w:cs="Times New Roman"/>
          <w:sz w:val="24"/>
          <w:szCs w:val="24"/>
        </w:rPr>
        <w:t>84,8</w:t>
      </w:r>
      <w:r w:rsidR="00B40A65" w:rsidRPr="0024503A">
        <w:rPr>
          <w:rFonts w:ascii="Times New Roman" w:hAnsi="Times New Roman" w:cs="Times New Roman"/>
          <w:sz w:val="24"/>
          <w:szCs w:val="24"/>
        </w:rPr>
        <w:t xml:space="preserve"> tuhat tonni. Kaera tarbimine Eestis on sarnaselt rukkile vähenemas, </w:t>
      </w:r>
      <w:r w:rsidR="007953D1" w:rsidRPr="0024503A">
        <w:rPr>
          <w:rFonts w:ascii="Times New Roman" w:hAnsi="Times New Roman" w:cs="Times New Roman"/>
          <w:sz w:val="24"/>
          <w:szCs w:val="24"/>
        </w:rPr>
        <w:t>2004/2005</w:t>
      </w:r>
      <w:r w:rsidR="00E72D2E">
        <w:rPr>
          <w:rFonts w:ascii="Times New Roman" w:hAnsi="Times New Roman" w:cs="Times New Roman"/>
          <w:sz w:val="24"/>
          <w:szCs w:val="24"/>
        </w:rPr>
        <w:t>.</w:t>
      </w:r>
      <w:r w:rsidR="007953D1" w:rsidRPr="0024503A">
        <w:rPr>
          <w:rFonts w:ascii="Times New Roman" w:hAnsi="Times New Roman" w:cs="Times New Roman"/>
          <w:sz w:val="24"/>
          <w:szCs w:val="24"/>
        </w:rPr>
        <w:t xml:space="preserve"> turustusaastaga võrreldes on</w:t>
      </w:r>
      <w:r w:rsidR="00B40A65" w:rsidRPr="0024503A">
        <w:rPr>
          <w:rFonts w:ascii="Times New Roman" w:hAnsi="Times New Roman" w:cs="Times New Roman"/>
          <w:sz w:val="24"/>
          <w:szCs w:val="24"/>
        </w:rPr>
        <w:t xml:space="preserve">  kaera tarbimine vähenenud 1</w:t>
      </w:r>
      <w:r w:rsidR="0038246F" w:rsidRPr="0024503A">
        <w:rPr>
          <w:rFonts w:ascii="Times New Roman" w:hAnsi="Times New Roman" w:cs="Times New Roman"/>
          <w:sz w:val="24"/>
          <w:szCs w:val="24"/>
        </w:rPr>
        <w:t>2</w:t>
      </w:r>
      <w:r w:rsidR="00B40A65" w:rsidRPr="0024503A">
        <w:rPr>
          <w:rFonts w:ascii="Times New Roman" w:hAnsi="Times New Roman" w:cs="Times New Roman"/>
          <w:sz w:val="24"/>
          <w:szCs w:val="24"/>
        </w:rPr>
        <w:t xml:space="preserve">% </w:t>
      </w:r>
      <w:r w:rsidR="0038246F" w:rsidRPr="0024503A">
        <w:rPr>
          <w:rFonts w:ascii="Times New Roman" w:hAnsi="Times New Roman" w:cs="Times New Roman"/>
          <w:sz w:val="24"/>
          <w:szCs w:val="24"/>
        </w:rPr>
        <w:t>51,7</w:t>
      </w:r>
      <w:r w:rsidR="00B40A65" w:rsidRPr="0024503A">
        <w:rPr>
          <w:rFonts w:ascii="Times New Roman" w:hAnsi="Times New Roman" w:cs="Times New Roman"/>
          <w:sz w:val="24"/>
          <w:szCs w:val="24"/>
        </w:rPr>
        <w:t xml:space="preserve"> tuhande tonnini 201</w:t>
      </w:r>
      <w:r w:rsidR="0038246F" w:rsidRPr="0024503A">
        <w:rPr>
          <w:rFonts w:ascii="Times New Roman" w:hAnsi="Times New Roman" w:cs="Times New Roman"/>
          <w:sz w:val="24"/>
          <w:szCs w:val="24"/>
        </w:rPr>
        <w:t>2</w:t>
      </w:r>
      <w:r w:rsidR="00B40A65" w:rsidRPr="0024503A">
        <w:rPr>
          <w:rFonts w:ascii="Times New Roman" w:hAnsi="Times New Roman" w:cs="Times New Roman"/>
          <w:sz w:val="24"/>
          <w:szCs w:val="24"/>
        </w:rPr>
        <w:t>/201</w:t>
      </w:r>
      <w:r w:rsidR="0038246F" w:rsidRPr="0024503A">
        <w:rPr>
          <w:rFonts w:ascii="Times New Roman" w:hAnsi="Times New Roman" w:cs="Times New Roman"/>
          <w:sz w:val="24"/>
          <w:szCs w:val="24"/>
        </w:rPr>
        <w:t>3</w:t>
      </w:r>
      <w:r w:rsidR="00E72D2E">
        <w:rPr>
          <w:rFonts w:ascii="Times New Roman" w:hAnsi="Times New Roman" w:cs="Times New Roman"/>
          <w:sz w:val="24"/>
          <w:szCs w:val="24"/>
        </w:rPr>
        <w:t>.</w:t>
      </w:r>
      <w:r w:rsidR="00B40A65" w:rsidRPr="0024503A">
        <w:rPr>
          <w:rFonts w:ascii="Times New Roman" w:hAnsi="Times New Roman" w:cs="Times New Roman"/>
          <w:sz w:val="24"/>
          <w:szCs w:val="24"/>
        </w:rPr>
        <w:t xml:space="preserve"> turustusaasta</w:t>
      </w:r>
      <w:r w:rsidR="009014ED" w:rsidRPr="0024503A">
        <w:rPr>
          <w:rFonts w:ascii="Times New Roman" w:hAnsi="Times New Roman" w:cs="Times New Roman"/>
          <w:sz w:val="24"/>
          <w:szCs w:val="24"/>
        </w:rPr>
        <w:t>ks</w:t>
      </w:r>
      <w:r w:rsidR="00B40A65" w:rsidRPr="0024503A">
        <w:rPr>
          <w:rFonts w:ascii="Times New Roman" w:hAnsi="Times New Roman" w:cs="Times New Roman"/>
          <w:sz w:val="24"/>
          <w:szCs w:val="24"/>
        </w:rPr>
        <w:t>. Sarnaselt maailma teraviljakasvatuse trendi kujunemisele on eelkõige vähenemine toimunud loomasööda</w:t>
      </w:r>
      <w:r w:rsidR="0002766A">
        <w:rPr>
          <w:rFonts w:ascii="Times New Roman" w:hAnsi="Times New Roman" w:cs="Times New Roman"/>
          <w:sz w:val="24"/>
          <w:szCs w:val="24"/>
        </w:rPr>
        <w:t>na</w:t>
      </w:r>
      <w:r w:rsidR="00B40A65" w:rsidRPr="0024503A">
        <w:rPr>
          <w:rFonts w:ascii="Times New Roman" w:hAnsi="Times New Roman" w:cs="Times New Roman"/>
          <w:sz w:val="24"/>
          <w:szCs w:val="24"/>
        </w:rPr>
        <w:t xml:space="preserve"> kasutamise vähenemise arvelt. Võrreldes 2004/2005</w:t>
      </w:r>
      <w:r w:rsidR="00E72D2E">
        <w:rPr>
          <w:rFonts w:ascii="Times New Roman" w:hAnsi="Times New Roman" w:cs="Times New Roman"/>
          <w:sz w:val="24"/>
          <w:szCs w:val="24"/>
        </w:rPr>
        <w:t>.</w:t>
      </w:r>
      <w:r w:rsidR="00B40A65" w:rsidRPr="0024503A">
        <w:rPr>
          <w:rFonts w:ascii="Times New Roman" w:hAnsi="Times New Roman" w:cs="Times New Roman"/>
          <w:sz w:val="24"/>
          <w:szCs w:val="24"/>
        </w:rPr>
        <w:t xml:space="preserve"> turustusaastaga on kaera kasutamine loomasöödana langenud 1</w:t>
      </w:r>
      <w:r w:rsidR="0038246F" w:rsidRPr="0024503A">
        <w:rPr>
          <w:rFonts w:ascii="Times New Roman" w:hAnsi="Times New Roman" w:cs="Times New Roman"/>
          <w:sz w:val="24"/>
          <w:szCs w:val="24"/>
        </w:rPr>
        <w:t>3</w:t>
      </w:r>
      <w:r w:rsidR="00B40A65" w:rsidRPr="0024503A">
        <w:rPr>
          <w:rFonts w:ascii="Times New Roman" w:hAnsi="Times New Roman" w:cs="Times New Roman"/>
          <w:sz w:val="24"/>
          <w:szCs w:val="24"/>
        </w:rPr>
        <w:t>% 201</w:t>
      </w:r>
      <w:r w:rsidR="0038246F" w:rsidRPr="0024503A">
        <w:rPr>
          <w:rFonts w:ascii="Times New Roman" w:hAnsi="Times New Roman" w:cs="Times New Roman"/>
          <w:sz w:val="24"/>
          <w:szCs w:val="24"/>
        </w:rPr>
        <w:t>2</w:t>
      </w:r>
      <w:r w:rsidR="00B40A65" w:rsidRPr="0024503A">
        <w:rPr>
          <w:rFonts w:ascii="Times New Roman" w:hAnsi="Times New Roman" w:cs="Times New Roman"/>
          <w:sz w:val="24"/>
          <w:szCs w:val="24"/>
        </w:rPr>
        <w:t>/201</w:t>
      </w:r>
      <w:r w:rsidR="0038246F" w:rsidRPr="0024503A">
        <w:rPr>
          <w:rFonts w:ascii="Times New Roman" w:hAnsi="Times New Roman" w:cs="Times New Roman"/>
          <w:sz w:val="24"/>
          <w:szCs w:val="24"/>
        </w:rPr>
        <w:t>3</w:t>
      </w:r>
      <w:r w:rsidR="00E72D2E">
        <w:rPr>
          <w:rFonts w:ascii="Times New Roman" w:hAnsi="Times New Roman" w:cs="Times New Roman"/>
          <w:sz w:val="24"/>
          <w:szCs w:val="24"/>
        </w:rPr>
        <w:t>.</w:t>
      </w:r>
      <w:r w:rsidR="00D570A8">
        <w:rPr>
          <w:rFonts w:ascii="Times New Roman" w:hAnsi="Times New Roman" w:cs="Times New Roman"/>
          <w:sz w:val="24"/>
          <w:szCs w:val="24"/>
        </w:rPr>
        <w:t xml:space="preserve"> turustusaastaks</w:t>
      </w:r>
      <w:r w:rsidR="00B40A65" w:rsidRPr="0024503A">
        <w:rPr>
          <w:rFonts w:ascii="Times New Roman" w:hAnsi="Times New Roman" w:cs="Times New Roman"/>
          <w:sz w:val="24"/>
          <w:szCs w:val="24"/>
        </w:rPr>
        <w:t>. Kaera osas oleme isevarustav riik, 201</w:t>
      </w:r>
      <w:r w:rsidR="0038246F" w:rsidRPr="0024503A">
        <w:rPr>
          <w:rFonts w:ascii="Times New Roman" w:hAnsi="Times New Roman" w:cs="Times New Roman"/>
          <w:sz w:val="24"/>
          <w:szCs w:val="24"/>
        </w:rPr>
        <w:t>2</w:t>
      </w:r>
      <w:r w:rsidR="00B40A65" w:rsidRPr="0024503A">
        <w:rPr>
          <w:rFonts w:ascii="Times New Roman" w:hAnsi="Times New Roman" w:cs="Times New Roman"/>
          <w:sz w:val="24"/>
          <w:szCs w:val="24"/>
        </w:rPr>
        <w:t>/201</w:t>
      </w:r>
      <w:r w:rsidR="0038246F" w:rsidRPr="0024503A">
        <w:rPr>
          <w:rFonts w:ascii="Times New Roman" w:hAnsi="Times New Roman" w:cs="Times New Roman"/>
          <w:sz w:val="24"/>
          <w:szCs w:val="24"/>
        </w:rPr>
        <w:t>3</w:t>
      </w:r>
      <w:r w:rsidR="00E72D2E">
        <w:rPr>
          <w:rFonts w:ascii="Times New Roman" w:hAnsi="Times New Roman" w:cs="Times New Roman"/>
          <w:sz w:val="24"/>
          <w:szCs w:val="24"/>
        </w:rPr>
        <w:t>.</w:t>
      </w:r>
      <w:r w:rsidR="00B40A65" w:rsidRPr="0024503A">
        <w:rPr>
          <w:rFonts w:ascii="Times New Roman" w:hAnsi="Times New Roman" w:cs="Times New Roman"/>
          <w:sz w:val="24"/>
          <w:szCs w:val="24"/>
        </w:rPr>
        <w:t xml:space="preserve"> turustusaastal oli kaeraga isevarustatuse tase </w:t>
      </w:r>
      <w:r w:rsidR="0038246F" w:rsidRPr="0024503A">
        <w:rPr>
          <w:rFonts w:ascii="Times New Roman" w:hAnsi="Times New Roman" w:cs="Times New Roman"/>
          <w:sz w:val="24"/>
          <w:szCs w:val="24"/>
        </w:rPr>
        <w:t>152</w:t>
      </w:r>
      <w:r w:rsidR="00B40A65" w:rsidRPr="0024503A">
        <w:rPr>
          <w:rFonts w:ascii="Times New Roman" w:hAnsi="Times New Roman" w:cs="Times New Roman"/>
          <w:sz w:val="24"/>
          <w:szCs w:val="24"/>
        </w:rPr>
        <w:t xml:space="preserve">%. </w:t>
      </w:r>
      <w:bookmarkStart w:id="354" w:name="_Toc378697814"/>
      <w:bookmarkStart w:id="355" w:name="_Toc378773261"/>
      <w:bookmarkStart w:id="356" w:name="_Toc379197442"/>
      <w:bookmarkStart w:id="357" w:name="_Toc379205480"/>
      <w:bookmarkStart w:id="358" w:name="_Toc379268176"/>
      <w:bookmarkStart w:id="359" w:name="_Toc379296751"/>
      <w:bookmarkStart w:id="360" w:name="_Toc379373460"/>
      <w:bookmarkStart w:id="361" w:name="_Toc379799844"/>
      <w:bookmarkStart w:id="362" w:name="_Toc381633586"/>
      <w:bookmarkStart w:id="363" w:name="_Toc381633731"/>
      <w:bookmarkStart w:id="364" w:name="_Toc384050899"/>
      <w:bookmarkStart w:id="365" w:name="_Toc384052603"/>
      <w:bookmarkStart w:id="366" w:name="_Toc384283946"/>
      <w:bookmarkStart w:id="367" w:name="_Toc384284057"/>
      <w:bookmarkStart w:id="368" w:name="_Toc384386251"/>
      <w:bookmarkStart w:id="369" w:name="_Toc384386463"/>
      <w:bookmarkStart w:id="370" w:name="_Toc384392329"/>
      <w:bookmarkStart w:id="371" w:name="_Toc385253760"/>
    </w:p>
    <w:p w:rsidR="00B40A65" w:rsidRPr="0024503A" w:rsidRDefault="00B40A65" w:rsidP="00617526">
      <w:pPr>
        <w:pStyle w:val="Heading3"/>
        <w:spacing w:line="276" w:lineRule="auto"/>
        <w:rPr>
          <w:rFonts w:ascii="Times New Roman" w:hAnsi="Times New Roman" w:cs="Times New Roman"/>
          <w:b w:val="0"/>
        </w:rPr>
      </w:pPr>
      <w:bookmarkStart w:id="372" w:name="_Toc385335132"/>
      <w:bookmarkStart w:id="373" w:name="_Toc389128801"/>
      <w:bookmarkStart w:id="374" w:name="_Toc389131348"/>
      <w:bookmarkStart w:id="375" w:name="_Toc389223883"/>
      <w:bookmarkStart w:id="376" w:name="_Toc389223945"/>
      <w:bookmarkStart w:id="377" w:name="_Toc391908877"/>
      <w:bookmarkStart w:id="378" w:name="_Toc391991811"/>
      <w:bookmarkStart w:id="379" w:name="_Toc397593031"/>
      <w:bookmarkStart w:id="380" w:name="_Toc398896326"/>
      <w:bookmarkStart w:id="381" w:name="_Toc398896466"/>
      <w:bookmarkStart w:id="382" w:name="_Toc400972838"/>
      <w:r w:rsidRPr="0024503A">
        <w:rPr>
          <w:rFonts w:ascii="Times New Roman" w:hAnsi="Times New Roman" w:cs="Times New Roman"/>
        </w:rPr>
        <w:t>Raps</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 w:rsidR="00126816" w:rsidRPr="0024503A" w:rsidRDefault="00126816" w:rsidP="00617526">
      <w:pPr>
        <w:pStyle w:val="BodyText"/>
        <w:spacing w:line="276" w:lineRule="auto"/>
        <w:rPr>
          <w:rFonts w:ascii="Times New Roman" w:hAnsi="Times New Roman" w:cs="Times New Roman"/>
          <w:sz w:val="24"/>
          <w:szCs w:val="24"/>
        </w:rPr>
      </w:pPr>
    </w:p>
    <w:p w:rsidR="00B40A65" w:rsidRPr="0024503A" w:rsidRDefault="00B40A65" w:rsidP="00617526">
      <w:pPr>
        <w:pStyle w:val="BodyText"/>
        <w:spacing w:line="276" w:lineRule="auto"/>
        <w:rPr>
          <w:rFonts w:ascii="Times New Roman" w:hAnsi="Times New Roman" w:cs="Times New Roman"/>
          <w:sz w:val="24"/>
          <w:szCs w:val="24"/>
        </w:rPr>
      </w:pPr>
      <w:r w:rsidRPr="0024503A">
        <w:rPr>
          <w:rFonts w:ascii="Times New Roman" w:hAnsi="Times New Roman" w:cs="Times New Roman"/>
          <w:sz w:val="24"/>
          <w:szCs w:val="24"/>
        </w:rPr>
        <w:t>Maailma suurimad rapsikasvatajad on EL (enim Saksamaa ja Prantsusmaa), Kanada ja Hiina. Rapsi kasutatakse loomasöödaks, taimse õlina inimtoiduks ja biodiisliks. Raps on mullastiku suhtes nõudlik kultuur. Eelistatud on soodsa niiskusrežiimiga, sügavamad toitainete- ja huumusrikkad mullad.</w:t>
      </w:r>
    </w:p>
    <w:p w:rsidR="00B40A65" w:rsidRPr="0024503A" w:rsidRDefault="00B40A65" w:rsidP="00617526">
      <w:pPr>
        <w:pStyle w:val="BodyText"/>
        <w:spacing w:line="276" w:lineRule="auto"/>
        <w:rPr>
          <w:rFonts w:ascii="Times New Roman" w:hAnsi="Times New Roman" w:cs="Times New Roman"/>
          <w:sz w:val="24"/>
          <w:szCs w:val="24"/>
        </w:rPr>
      </w:pPr>
    </w:p>
    <w:p w:rsidR="00B40A65" w:rsidRDefault="00B40A65" w:rsidP="00617526">
      <w:pPr>
        <w:pStyle w:val="BodyText"/>
        <w:spacing w:line="276" w:lineRule="auto"/>
        <w:rPr>
          <w:rFonts w:ascii="Times New Roman" w:hAnsi="Times New Roman" w:cs="Times New Roman"/>
          <w:sz w:val="24"/>
          <w:szCs w:val="24"/>
        </w:rPr>
      </w:pPr>
      <w:r w:rsidRPr="0024503A">
        <w:rPr>
          <w:rFonts w:ascii="Times New Roman" w:hAnsi="Times New Roman" w:cs="Times New Roman"/>
          <w:sz w:val="24"/>
          <w:szCs w:val="24"/>
        </w:rPr>
        <w:t>Võrreldes 2004. aastaga on rapsi kasvupind Ee</w:t>
      </w:r>
      <w:r w:rsidR="002B0389" w:rsidRPr="0024503A">
        <w:rPr>
          <w:rFonts w:ascii="Times New Roman" w:hAnsi="Times New Roman" w:cs="Times New Roman"/>
          <w:sz w:val="24"/>
          <w:szCs w:val="24"/>
        </w:rPr>
        <w:t>stis 2013. aastaks suurenenud 71% ulatudes 86</w:t>
      </w:r>
      <w:r w:rsidRPr="0024503A">
        <w:rPr>
          <w:rFonts w:ascii="Times New Roman" w:hAnsi="Times New Roman" w:cs="Times New Roman"/>
          <w:sz w:val="24"/>
          <w:szCs w:val="24"/>
        </w:rPr>
        <w:t>,1 tuhande hektarini</w:t>
      </w:r>
      <w:r w:rsidR="00727AE1" w:rsidRPr="0024503A">
        <w:rPr>
          <w:rFonts w:ascii="Times New Roman" w:hAnsi="Times New Roman" w:cs="Times New Roman"/>
          <w:sz w:val="24"/>
          <w:szCs w:val="24"/>
        </w:rPr>
        <w:t xml:space="preserve"> (joonis 11)</w:t>
      </w:r>
      <w:r w:rsidRPr="0024503A">
        <w:rPr>
          <w:rFonts w:ascii="Times New Roman" w:hAnsi="Times New Roman" w:cs="Times New Roman"/>
          <w:sz w:val="24"/>
          <w:szCs w:val="24"/>
        </w:rPr>
        <w:t xml:space="preserve">. Nõudlus rapsi järele on maailmas suur (eriti ELis). Eelkõige </w:t>
      </w:r>
      <w:r w:rsidR="004B2B2A" w:rsidRPr="0024503A">
        <w:rPr>
          <w:rFonts w:ascii="Times New Roman" w:hAnsi="Times New Roman" w:cs="Times New Roman"/>
          <w:sz w:val="24"/>
          <w:szCs w:val="24"/>
        </w:rPr>
        <w:t xml:space="preserve">mõjutab seda </w:t>
      </w:r>
      <w:r w:rsidRPr="0024503A">
        <w:rPr>
          <w:rFonts w:ascii="Times New Roman" w:hAnsi="Times New Roman" w:cs="Times New Roman"/>
          <w:sz w:val="24"/>
          <w:szCs w:val="24"/>
        </w:rPr>
        <w:t xml:space="preserve">biodiisli kasutamise laienemine ning seega on rapsi eest maailmaturul võimalik väga head hinda saada. Euroopa Liidus toetatakse praegu biodiisli tootmist, kuid kui otsustatakse biodiisli toestussüsteem ümber vaadata, siis võib tekkida ELi turul rapsi ülejääk, mis omakorda võib oluliselt langetada rapsi hinda. Eestis on rapsi kasvupind küll hoogsalt suurenenud, kuid </w:t>
      </w:r>
      <w:r w:rsidR="00875DDE">
        <w:rPr>
          <w:rFonts w:ascii="Times New Roman" w:hAnsi="Times New Roman" w:cs="Times New Roman"/>
          <w:sz w:val="24"/>
          <w:szCs w:val="24"/>
        </w:rPr>
        <w:t xml:space="preserve">seda piirab asjaolu, et </w:t>
      </w:r>
      <w:r w:rsidRPr="0024503A">
        <w:rPr>
          <w:rFonts w:ascii="Times New Roman" w:hAnsi="Times New Roman" w:cs="Times New Roman"/>
          <w:sz w:val="24"/>
          <w:szCs w:val="24"/>
        </w:rPr>
        <w:t xml:space="preserve">mulla kaudu levivate haiguste tõttu soovitatakse rapsi külvata samale kasvupinnale alles 4–5 aasta järel. </w:t>
      </w:r>
      <w:r w:rsidR="002B0389" w:rsidRPr="0024503A">
        <w:rPr>
          <w:rFonts w:ascii="Times New Roman" w:hAnsi="Times New Roman" w:cs="Times New Roman"/>
          <w:sz w:val="24"/>
          <w:szCs w:val="24"/>
        </w:rPr>
        <w:t>2013. aastal saadi suvirapsi 1,8</w:t>
      </w:r>
      <w:r w:rsidRPr="0024503A">
        <w:rPr>
          <w:rFonts w:ascii="Times New Roman" w:hAnsi="Times New Roman" w:cs="Times New Roman"/>
          <w:sz w:val="24"/>
          <w:szCs w:val="24"/>
        </w:rPr>
        <w:t xml:space="preserve"> tonni hektarilt ning talirapsi 2,5 to</w:t>
      </w:r>
      <w:r w:rsidR="002B0389" w:rsidRPr="0024503A">
        <w:rPr>
          <w:rFonts w:ascii="Times New Roman" w:hAnsi="Times New Roman" w:cs="Times New Roman"/>
          <w:sz w:val="24"/>
          <w:szCs w:val="24"/>
        </w:rPr>
        <w:t>nni hektarilt kogusaagiga 173,9</w:t>
      </w:r>
      <w:r w:rsidRPr="0024503A">
        <w:rPr>
          <w:rFonts w:ascii="Times New Roman" w:hAnsi="Times New Roman" w:cs="Times New Roman"/>
          <w:sz w:val="24"/>
          <w:szCs w:val="24"/>
        </w:rPr>
        <w:t xml:space="preserve"> tuhat tonni. Sarnaselt teraviljale on ka rapsi saagipotentsiaal Eestis palju kõrgem.</w:t>
      </w:r>
    </w:p>
    <w:p w:rsidR="003D78E9" w:rsidRPr="00AD2555" w:rsidRDefault="003D78E9" w:rsidP="00617526">
      <w:pPr>
        <w:pStyle w:val="BodyText"/>
        <w:spacing w:line="276" w:lineRule="auto"/>
        <w:rPr>
          <w:rFonts w:ascii="Times New Roman" w:hAnsi="Times New Roman" w:cs="Times New Roman"/>
          <w:sz w:val="24"/>
          <w:szCs w:val="24"/>
        </w:rPr>
      </w:pPr>
    </w:p>
    <w:p w:rsidR="00B40A65" w:rsidRPr="00D549C9" w:rsidRDefault="00AD2555" w:rsidP="00617526">
      <w:pPr>
        <w:pStyle w:val="BodyText"/>
        <w:spacing w:line="276" w:lineRule="auto"/>
        <w:rPr>
          <w:sz w:val="24"/>
          <w:szCs w:val="24"/>
        </w:rPr>
      </w:pPr>
      <w:r>
        <w:rPr>
          <w:noProof/>
        </w:rPr>
        <w:lastRenderedPageBreak/>
        <w:drawing>
          <wp:inline distT="0" distB="0" distL="0" distR="0" wp14:anchorId="30871F4B" wp14:editId="4AC85105">
            <wp:extent cx="6057900" cy="2628900"/>
            <wp:effectExtent l="0" t="0" r="19050" b="190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40A65" w:rsidRPr="00EE3FB5" w:rsidRDefault="00B40A65" w:rsidP="00617526">
      <w:pPr>
        <w:pStyle w:val="BodyText"/>
        <w:spacing w:line="276" w:lineRule="auto"/>
        <w:rPr>
          <w:rFonts w:ascii="Arial" w:hAnsi="Arial" w:cs="Arial"/>
        </w:rPr>
      </w:pPr>
      <w:r w:rsidRPr="00EE3FB5">
        <w:rPr>
          <w:rFonts w:ascii="Arial" w:hAnsi="Arial" w:cs="Arial"/>
        </w:rPr>
        <w:t>Allikas: SA</w:t>
      </w:r>
    </w:p>
    <w:p w:rsidR="00B40A65" w:rsidRDefault="00B40A65" w:rsidP="00617526">
      <w:pPr>
        <w:pStyle w:val="BodyText"/>
        <w:spacing w:line="276" w:lineRule="auto"/>
        <w:rPr>
          <w:rFonts w:ascii="Times New Roman" w:hAnsi="Times New Roman" w:cs="Times New Roman"/>
          <w:b/>
          <w:bCs/>
          <w:sz w:val="24"/>
          <w:szCs w:val="24"/>
        </w:rPr>
      </w:pPr>
      <w:r w:rsidRPr="006977B6">
        <w:rPr>
          <w:rFonts w:ascii="Times New Roman" w:hAnsi="Times New Roman" w:cs="Times New Roman"/>
          <w:b/>
          <w:sz w:val="24"/>
          <w:szCs w:val="24"/>
        </w:rPr>
        <w:t xml:space="preserve">Joonis 11. </w:t>
      </w:r>
      <w:r w:rsidRPr="006977B6">
        <w:rPr>
          <w:rFonts w:ascii="Times New Roman" w:hAnsi="Times New Roman" w:cs="Times New Roman"/>
          <w:b/>
          <w:noProof/>
          <w:sz w:val="24"/>
          <w:szCs w:val="24"/>
        </w:rPr>
        <w:t>Tali</w:t>
      </w:r>
      <w:r w:rsidR="006D0813">
        <w:rPr>
          <w:rFonts w:ascii="Times New Roman" w:hAnsi="Times New Roman" w:cs="Times New Roman"/>
          <w:b/>
          <w:noProof/>
          <w:sz w:val="24"/>
          <w:szCs w:val="24"/>
        </w:rPr>
        <w:t xml:space="preserve"> (TR)</w:t>
      </w:r>
      <w:r w:rsidRPr="006977B6">
        <w:rPr>
          <w:rFonts w:ascii="Times New Roman" w:hAnsi="Times New Roman" w:cs="Times New Roman"/>
          <w:b/>
          <w:noProof/>
          <w:sz w:val="24"/>
          <w:szCs w:val="24"/>
        </w:rPr>
        <w:t>- ja suvirapsi</w:t>
      </w:r>
      <w:r w:rsidR="006D0813">
        <w:rPr>
          <w:rFonts w:ascii="Times New Roman" w:hAnsi="Times New Roman" w:cs="Times New Roman"/>
          <w:b/>
          <w:noProof/>
          <w:sz w:val="24"/>
          <w:szCs w:val="24"/>
        </w:rPr>
        <w:t xml:space="preserve"> (SR)</w:t>
      </w:r>
      <w:r w:rsidRPr="006977B6">
        <w:rPr>
          <w:rFonts w:ascii="Times New Roman" w:hAnsi="Times New Roman" w:cs="Times New Roman"/>
          <w:b/>
          <w:noProof/>
          <w:sz w:val="24"/>
          <w:szCs w:val="24"/>
        </w:rPr>
        <w:t xml:space="preserve"> </w:t>
      </w:r>
      <w:r w:rsidRPr="006977B6">
        <w:rPr>
          <w:rFonts w:ascii="Times New Roman" w:hAnsi="Times New Roman" w:cs="Times New Roman"/>
          <w:b/>
          <w:bCs/>
          <w:noProof/>
          <w:sz w:val="24"/>
          <w:szCs w:val="24"/>
        </w:rPr>
        <w:t>saak</w:t>
      </w:r>
      <w:r w:rsidRPr="006977B6">
        <w:rPr>
          <w:rFonts w:ascii="Times New Roman" w:hAnsi="Times New Roman" w:cs="Times New Roman"/>
          <w:b/>
          <w:bCs/>
          <w:sz w:val="24"/>
          <w:szCs w:val="24"/>
        </w:rPr>
        <w:t>, kasvupind ja saagikus aastatel 2004</w:t>
      </w:r>
      <w:r w:rsidR="00923F76" w:rsidRPr="0024503A">
        <w:rPr>
          <w:rFonts w:ascii="Times New Roman" w:hAnsi="Times New Roman" w:cs="Times New Roman"/>
          <w:sz w:val="24"/>
          <w:szCs w:val="24"/>
        </w:rPr>
        <w:t>–</w:t>
      </w:r>
      <w:r w:rsidRPr="006977B6">
        <w:rPr>
          <w:rFonts w:ascii="Times New Roman" w:hAnsi="Times New Roman" w:cs="Times New Roman"/>
          <w:b/>
          <w:bCs/>
          <w:sz w:val="24"/>
          <w:szCs w:val="24"/>
        </w:rPr>
        <w:t>201</w:t>
      </w:r>
      <w:r w:rsidR="0097241B" w:rsidRPr="006977B6">
        <w:rPr>
          <w:rFonts w:ascii="Times New Roman" w:hAnsi="Times New Roman" w:cs="Times New Roman"/>
          <w:b/>
          <w:bCs/>
          <w:sz w:val="24"/>
          <w:szCs w:val="24"/>
        </w:rPr>
        <w:t>3</w:t>
      </w:r>
    </w:p>
    <w:p w:rsidR="001E6D77" w:rsidRPr="006977B6" w:rsidRDefault="001E6D77" w:rsidP="00617526">
      <w:pPr>
        <w:pStyle w:val="BodyText"/>
        <w:spacing w:line="276" w:lineRule="auto"/>
        <w:rPr>
          <w:rFonts w:ascii="Times New Roman" w:hAnsi="Times New Roman" w:cs="Times New Roman"/>
          <w:sz w:val="24"/>
          <w:szCs w:val="24"/>
        </w:rPr>
      </w:pPr>
    </w:p>
    <w:p w:rsidR="003D78E9" w:rsidRPr="0024503A" w:rsidRDefault="00B40A65" w:rsidP="00617526">
      <w:pPr>
        <w:pStyle w:val="BodyText"/>
        <w:spacing w:line="276" w:lineRule="auto"/>
        <w:rPr>
          <w:rFonts w:ascii="Times New Roman" w:hAnsi="Times New Roman" w:cs="Times New Roman"/>
          <w:sz w:val="24"/>
          <w:szCs w:val="24"/>
        </w:rPr>
      </w:pPr>
      <w:r w:rsidRPr="0024503A">
        <w:rPr>
          <w:rFonts w:ascii="Times New Roman" w:hAnsi="Times New Roman" w:cs="Times New Roman"/>
          <w:sz w:val="24"/>
          <w:szCs w:val="24"/>
        </w:rPr>
        <w:t>Raps on kasvukoha suhtes nõudlik kultuur ning hea saagi saamiseks tehtavad kulutused on samuti kõrged. Viimastel aastatel on Eestis talirapsi kasvupind</w:t>
      </w:r>
      <w:r w:rsidR="0095045B">
        <w:rPr>
          <w:rFonts w:ascii="Times New Roman" w:hAnsi="Times New Roman" w:cs="Times New Roman"/>
          <w:sz w:val="24"/>
          <w:szCs w:val="24"/>
        </w:rPr>
        <w:t>a suurendatud</w:t>
      </w:r>
      <w:r w:rsidRPr="0024503A">
        <w:rPr>
          <w:rFonts w:ascii="Times New Roman" w:hAnsi="Times New Roman" w:cs="Times New Roman"/>
          <w:sz w:val="24"/>
          <w:szCs w:val="24"/>
        </w:rPr>
        <w:t>, kuna ta on suurema saagikusega ning annab võimaluse hajutada kevad- ja sügistöid. 2010. aastaga võrre</w:t>
      </w:r>
      <w:r w:rsidR="0008017B" w:rsidRPr="0024503A">
        <w:rPr>
          <w:rFonts w:ascii="Times New Roman" w:hAnsi="Times New Roman" w:cs="Times New Roman"/>
          <w:sz w:val="24"/>
          <w:szCs w:val="24"/>
        </w:rPr>
        <w:t>ldes on talirapsi kasvupind 2013</w:t>
      </w:r>
      <w:r w:rsidRPr="0024503A">
        <w:rPr>
          <w:rFonts w:ascii="Times New Roman" w:hAnsi="Times New Roman" w:cs="Times New Roman"/>
          <w:sz w:val="24"/>
          <w:szCs w:val="24"/>
        </w:rPr>
        <w:t xml:space="preserve">. aastaks suurenenud </w:t>
      </w:r>
      <w:r w:rsidR="0008017B" w:rsidRPr="0024503A">
        <w:rPr>
          <w:rFonts w:ascii="Times New Roman" w:hAnsi="Times New Roman" w:cs="Times New Roman"/>
          <w:sz w:val="24"/>
          <w:szCs w:val="24"/>
        </w:rPr>
        <w:t>97%  kokku 24,3</w:t>
      </w:r>
      <w:r w:rsidRPr="0024503A">
        <w:rPr>
          <w:rFonts w:ascii="Times New Roman" w:hAnsi="Times New Roman" w:cs="Times New Roman"/>
          <w:sz w:val="24"/>
          <w:szCs w:val="24"/>
        </w:rPr>
        <w:t xml:space="preserve"> tuhande hektarini, samas suv</w:t>
      </w:r>
      <w:r w:rsidR="0008017B" w:rsidRPr="0024503A">
        <w:rPr>
          <w:rFonts w:ascii="Times New Roman" w:hAnsi="Times New Roman" w:cs="Times New Roman"/>
          <w:sz w:val="24"/>
          <w:szCs w:val="24"/>
        </w:rPr>
        <w:t>irapsi kasvupind on vähenenud 28</w:t>
      </w:r>
      <w:r w:rsidRPr="0024503A">
        <w:rPr>
          <w:rFonts w:ascii="Times New Roman" w:hAnsi="Times New Roman" w:cs="Times New Roman"/>
          <w:sz w:val="24"/>
          <w:szCs w:val="24"/>
        </w:rPr>
        <w:t xml:space="preserve">%. </w:t>
      </w:r>
      <w:r w:rsidR="007C00F1">
        <w:rPr>
          <w:rFonts w:ascii="Times New Roman" w:hAnsi="Times New Roman" w:cs="Times New Roman"/>
          <w:sz w:val="24"/>
          <w:szCs w:val="24"/>
        </w:rPr>
        <w:t xml:space="preserve">Vaadeldaval perioodil </w:t>
      </w:r>
      <w:r w:rsidR="0008017B" w:rsidRPr="0024503A">
        <w:rPr>
          <w:rFonts w:ascii="Times New Roman" w:hAnsi="Times New Roman" w:cs="Times New Roman"/>
          <w:sz w:val="24"/>
          <w:szCs w:val="24"/>
        </w:rPr>
        <w:t>on talirapsi pind suurenenud 12</w:t>
      </w:r>
      <w:r w:rsidRPr="0024503A">
        <w:rPr>
          <w:rFonts w:ascii="Times New Roman" w:hAnsi="Times New Roman" w:cs="Times New Roman"/>
          <w:sz w:val="24"/>
          <w:szCs w:val="24"/>
        </w:rPr>
        <w:t xml:space="preserve"> korda.</w:t>
      </w:r>
    </w:p>
    <w:p w:rsidR="00AD20FA" w:rsidRPr="0024503A" w:rsidRDefault="00AD20FA" w:rsidP="00617526">
      <w:pPr>
        <w:pStyle w:val="Heading3"/>
        <w:spacing w:line="276" w:lineRule="auto"/>
        <w:rPr>
          <w:rFonts w:ascii="Times New Roman" w:hAnsi="Times New Roman" w:cs="Times New Roman"/>
          <w:b w:val="0"/>
        </w:rPr>
      </w:pPr>
      <w:bookmarkStart w:id="383" w:name="_Toc378697815"/>
      <w:bookmarkStart w:id="384" w:name="_Toc378773262"/>
      <w:bookmarkStart w:id="385" w:name="_Toc379197443"/>
      <w:bookmarkStart w:id="386" w:name="_Toc379205481"/>
      <w:bookmarkStart w:id="387" w:name="_Toc379268177"/>
      <w:bookmarkStart w:id="388" w:name="_Toc379296752"/>
      <w:bookmarkStart w:id="389" w:name="_Toc379373461"/>
      <w:bookmarkStart w:id="390" w:name="_Toc379799845"/>
      <w:bookmarkStart w:id="391" w:name="_Toc381633587"/>
      <w:bookmarkStart w:id="392" w:name="_Toc381633732"/>
      <w:bookmarkStart w:id="393" w:name="_Toc384050900"/>
      <w:bookmarkStart w:id="394" w:name="_Toc384052604"/>
      <w:bookmarkStart w:id="395" w:name="_Toc384283947"/>
      <w:bookmarkStart w:id="396" w:name="_Toc384284058"/>
      <w:bookmarkStart w:id="397" w:name="_Toc384386252"/>
      <w:bookmarkStart w:id="398" w:name="_Toc384386464"/>
      <w:bookmarkStart w:id="399" w:name="_Toc384392330"/>
      <w:bookmarkStart w:id="400" w:name="_Toc385253761"/>
      <w:bookmarkStart w:id="401" w:name="_Toc385335133"/>
      <w:bookmarkStart w:id="402" w:name="_Toc389128802"/>
      <w:bookmarkStart w:id="403" w:name="_Toc389131349"/>
      <w:bookmarkStart w:id="404" w:name="_Toc389223884"/>
      <w:bookmarkStart w:id="405" w:name="_Toc389223946"/>
      <w:bookmarkStart w:id="406" w:name="_Toc391908878"/>
      <w:bookmarkStart w:id="407" w:name="_Toc391991812"/>
      <w:bookmarkStart w:id="408" w:name="_Toc397593032"/>
      <w:bookmarkStart w:id="409" w:name="_Toc398896327"/>
      <w:bookmarkStart w:id="410" w:name="_Toc398896467"/>
      <w:bookmarkStart w:id="411" w:name="_Toc400972839"/>
      <w:r w:rsidRPr="0024503A">
        <w:rPr>
          <w:rFonts w:ascii="Times New Roman" w:hAnsi="Times New Roman" w:cs="Times New Roman"/>
        </w:rPr>
        <w:t>Kaunviljad</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rsidR="00126816" w:rsidRPr="0024503A" w:rsidRDefault="00126816" w:rsidP="00617526">
      <w:pPr>
        <w:pStyle w:val="BodyText"/>
        <w:spacing w:line="276" w:lineRule="auto"/>
        <w:rPr>
          <w:rFonts w:ascii="Times New Roman" w:hAnsi="Times New Roman" w:cs="Times New Roman"/>
          <w:sz w:val="24"/>
          <w:szCs w:val="24"/>
        </w:rPr>
      </w:pPr>
    </w:p>
    <w:p w:rsidR="00AD20FA" w:rsidRPr="0024503A" w:rsidRDefault="00AD20FA" w:rsidP="00617526">
      <w:pPr>
        <w:pStyle w:val="BodyText"/>
        <w:spacing w:line="276" w:lineRule="auto"/>
        <w:rPr>
          <w:rFonts w:ascii="Times New Roman" w:hAnsi="Times New Roman" w:cs="Times New Roman"/>
          <w:sz w:val="24"/>
          <w:szCs w:val="24"/>
        </w:rPr>
      </w:pPr>
      <w:r w:rsidRPr="0024503A">
        <w:rPr>
          <w:rFonts w:ascii="Times New Roman" w:hAnsi="Times New Roman" w:cs="Times New Roman"/>
          <w:sz w:val="24"/>
          <w:szCs w:val="24"/>
        </w:rPr>
        <w:t>Maailma suurimad hernekasvatajad on USA, India</w:t>
      </w:r>
      <w:r w:rsidR="001154CE">
        <w:rPr>
          <w:rFonts w:ascii="Times New Roman" w:hAnsi="Times New Roman" w:cs="Times New Roman"/>
          <w:sz w:val="24"/>
          <w:szCs w:val="24"/>
        </w:rPr>
        <w:t xml:space="preserve"> ja Hiina</w:t>
      </w:r>
      <w:r w:rsidRPr="0024503A">
        <w:rPr>
          <w:rFonts w:ascii="Times New Roman" w:hAnsi="Times New Roman" w:cs="Times New Roman"/>
          <w:sz w:val="24"/>
          <w:szCs w:val="24"/>
        </w:rPr>
        <w:t xml:space="preserve">. Aedoa </w:t>
      </w:r>
      <w:r w:rsidR="001154CE" w:rsidRPr="0024503A">
        <w:rPr>
          <w:rFonts w:ascii="Times New Roman" w:hAnsi="Times New Roman" w:cs="Times New Roman"/>
          <w:sz w:val="24"/>
          <w:szCs w:val="24"/>
        </w:rPr>
        <w:t>suur</w:t>
      </w:r>
      <w:r w:rsidR="001154CE">
        <w:rPr>
          <w:rFonts w:ascii="Times New Roman" w:hAnsi="Times New Roman" w:cs="Times New Roman"/>
          <w:sz w:val="24"/>
          <w:szCs w:val="24"/>
        </w:rPr>
        <w:t>imad</w:t>
      </w:r>
      <w:r w:rsidR="001154CE" w:rsidRPr="0024503A">
        <w:rPr>
          <w:rFonts w:ascii="Times New Roman" w:hAnsi="Times New Roman" w:cs="Times New Roman"/>
          <w:sz w:val="24"/>
          <w:szCs w:val="24"/>
        </w:rPr>
        <w:t xml:space="preserve"> </w:t>
      </w:r>
      <w:r w:rsidRPr="0024503A">
        <w:rPr>
          <w:rFonts w:ascii="Times New Roman" w:hAnsi="Times New Roman" w:cs="Times New Roman"/>
          <w:sz w:val="24"/>
          <w:szCs w:val="24"/>
        </w:rPr>
        <w:t>kasv</w:t>
      </w:r>
      <w:r w:rsidR="001154CE">
        <w:rPr>
          <w:rFonts w:ascii="Times New Roman" w:hAnsi="Times New Roman" w:cs="Times New Roman"/>
          <w:sz w:val="24"/>
          <w:szCs w:val="24"/>
        </w:rPr>
        <w:t>atajad</w:t>
      </w:r>
      <w:r w:rsidRPr="0024503A">
        <w:rPr>
          <w:rFonts w:ascii="Times New Roman" w:hAnsi="Times New Roman" w:cs="Times New Roman"/>
          <w:sz w:val="24"/>
          <w:szCs w:val="24"/>
        </w:rPr>
        <w:t xml:space="preserve"> on India, </w:t>
      </w:r>
      <w:r w:rsidR="001154CE">
        <w:rPr>
          <w:rFonts w:ascii="Times New Roman" w:hAnsi="Times New Roman" w:cs="Times New Roman"/>
          <w:sz w:val="24"/>
          <w:szCs w:val="24"/>
        </w:rPr>
        <w:t>Brasiilia ja Birma</w:t>
      </w:r>
      <w:r w:rsidRPr="0024503A">
        <w:rPr>
          <w:rFonts w:ascii="Times New Roman" w:hAnsi="Times New Roman" w:cs="Times New Roman"/>
          <w:sz w:val="24"/>
          <w:szCs w:val="24"/>
        </w:rPr>
        <w:t xml:space="preserve">. Kaunviljad on energiarikkad taimsed proteiinisöödad. Nendes on poole rohkem proteiini teraviljadega võrreldes (kuivaines 25–30%). </w:t>
      </w:r>
    </w:p>
    <w:p w:rsidR="00AD20FA" w:rsidRPr="0024503A" w:rsidRDefault="00AD20FA" w:rsidP="00617526">
      <w:pPr>
        <w:pStyle w:val="BodyText"/>
        <w:spacing w:line="276" w:lineRule="auto"/>
        <w:rPr>
          <w:rFonts w:ascii="Times New Roman" w:hAnsi="Times New Roman" w:cs="Times New Roman"/>
          <w:color w:val="000000"/>
          <w:sz w:val="24"/>
          <w:szCs w:val="24"/>
        </w:rPr>
      </w:pPr>
    </w:p>
    <w:p w:rsidR="00AD20FA" w:rsidRDefault="00AD20FA" w:rsidP="00617526">
      <w:pPr>
        <w:pStyle w:val="BodyText"/>
        <w:spacing w:line="276" w:lineRule="auto"/>
        <w:rPr>
          <w:rFonts w:ascii="Times New Roman" w:hAnsi="Times New Roman" w:cs="Times New Roman"/>
          <w:color w:val="000000"/>
          <w:sz w:val="24"/>
          <w:szCs w:val="24"/>
        </w:rPr>
      </w:pPr>
      <w:r w:rsidRPr="0024503A">
        <w:rPr>
          <w:rFonts w:ascii="Times New Roman" w:hAnsi="Times New Roman" w:cs="Times New Roman"/>
          <w:color w:val="000000"/>
          <w:sz w:val="24"/>
          <w:szCs w:val="24"/>
        </w:rPr>
        <w:t>Kaunviljad on oma juurestikul olevate mügarbakterite tõttu viljavahelduse</w:t>
      </w:r>
      <w:r w:rsidR="00581AD8">
        <w:rPr>
          <w:rFonts w:ascii="Times New Roman" w:hAnsi="Times New Roman" w:cs="Times New Roman"/>
          <w:color w:val="000000"/>
          <w:sz w:val="24"/>
          <w:szCs w:val="24"/>
        </w:rPr>
        <w:t>ks</w:t>
      </w:r>
      <w:r w:rsidRPr="0024503A">
        <w:rPr>
          <w:rFonts w:ascii="Times New Roman" w:hAnsi="Times New Roman" w:cs="Times New Roman"/>
          <w:color w:val="000000"/>
          <w:sz w:val="24"/>
          <w:szCs w:val="24"/>
        </w:rPr>
        <w:t xml:space="preserve"> väga vajalikud kultuurid. Mügarbakterid seovad õhust lämmastiku ning varustavad sellega taime. Kaunviljade pind Eestis on iga-aastaga </w:t>
      </w:r>
      <w:r w:rsidR="008E20C1" w:rsidRPr="0024503A">
        <w:rPr>
          <w:rFonts w:ascii="Times New Roman" w:hAnsi="Times New Roman" w:cs="Times New Roman"/>
          <w:color w:val="000000"/>
          <w:sz w:val="24"/>
          <w:szCs w:val="24"/>
        </w:rPr>
        <w:t>suurenenud</w:t>
      </w:r>
      <w:r w:rsidR="008E20C1">
        <w:rPr>
          <w:rFonts w:ascii="Times New Roman" w:hAnsi="Times New Roman" w:cs="Times New Roman"/>
          <w:color w:val="000000"/>
          <w:sz w:val="24"/>
          <w:szCs w:val="24"/>
        </w:rPr>
        <w:t>, millele on kaasa aidanud ka</w:t>
      </w:r>
      <w:r w:rsidR="008E20C1" w:rsidRPr="0024503A">
        <w:rPr>
          <w:rFonts w:ascii="Times New Roman" w:hAnsi="Times New Roman" w:cs="Times New Roman"/>
          <w:color w:val="000000"/>
          <w:sz w:val="24"/>
          <w:szCs w:val="24"/>
        </w:rPr>
        <w:t xml:space="preserve"> </w:t>
      </w:r>
      <w:r w:rsidRPr="0024503A">
        <w:rPr>
          <w:rFonts w:ascii="Times New Roman" w:hAnsi="Times New Roman" w:cs="Times New Roman"/>
          <w:color w:val="000000"/>
          <w:sz w:val="24"/>
          <w:szCs w:val="24"/>
        </w:rPr>
        <w:t>keskkonnasõbraliku majandamise toetuse (KSM)</w:t>
      </w:r>
      <w:r w:rsidR="002F74D9">
        <w:rPr>
          <w:rFonts w:ascii="Times New Roman" w:hAnsi="Times New Roman" w:cs="Times New Roman"/>
          <w:color w:val="000000"/>
          <w:sz w:val="24"/>
          <w:szCs w:val="24"/>
        </w:rPr>
        <w:t xml:space="preserve"> rakendamine</w:t>
      </w:r>
      <w:r w:rsidRPr="0024503A">
        <w:rPr>
          <w:rFonts w:ascii="Times New Roman" w:hAnsi="Times New Roman" w:cs="Times New Roman"/>
          <w:color w:val="000000"/>
          <w:sz w:val="24"/>
          <w:szCs w:val="24"/>
        </w:rPr>
        <w:t>. Kui 2004. aastal kasvatati kaunvilju 4,3 tuhandel hektaril, siis 201</w:t>
      </w:r>
      <w:r w:rsidR="00D32D83" w:rsidRPr="0024503A">
        <w:rPr>
          <w:rFonts w:ascii="Times New Roman" w:hAnsi="Times New Roman" w:cs="Times New Roman"/>
          <w:color w:val="000000"/>
          <w:sz w:val="24"/>
          <w:szCs w:val="24"/>
        </w:rPr>
        <w:t>3</w:t>
      </w:r>
      <w:r w:rsidRPr="0024503A">
        <w:rPr>
          <w:rFonts w:ascii="Times New Roman" w:hAnsi="Times New Roman" w:cs="Times New Roman"/>
          <w:color w:val="000000"/>
          <w:sz w:val="24"/>
          <w:szCs w:val="24"/>
        </w:rPr>
        <w:t xml:space="preserve">. aastaks oli kasvupind suurenenud juba </w:t>
      </w:r>
      <w:r w:rsidR="00D32D83" w:rsidRPr="0024503A">
        <w:rPr>
          <w:rFonts w:ascii="Times New Roman" w:hAnsi="Times New Roman" w:cs="Times New Roman"/>
          <w:color w:val="000000"/>
          <w:sz w:val="24"/>
          <w:szCs w:val="24"/>
        </w:rPr>
        <w:t>üle 3 korra</w:t>
      </w:r>
      <w:r w:rsidR="00727AE1" w:rsidRPr="0024503A">
        <w:rPr>
          <w:rFonts w:ascii="Times New Roman" w:hAnsi="Times New Roman" w:cs="Times New Roman"/>
          <w:color w:val="000000"/>
          <w:sz w:val="24"/>
          <w:szCs w:val="24"/>
        </w:rPr>
        <w:t>, kokku</w:t>
      </w:r>
      <w:r w:rsidR="00D32D83" w:rsidRPr="0024503A">
        <w:rPr>
          <w:rFonts w:ascii="Times New Roman" w:hAnsi="Times New Roman" w:cs="Times New Roman"/>
          <w:color w:val="000000"/>
          <w:sz w:val="24"/>
          <w:szCs w:val="24"/>
        </w:rPr>
        <w:t xml:space="preserve"> 14,2</w:t>
      </w:r>
      <w:r w:rsidRPr="0024503A">
        <w:rPr>
          <w:rFonts w:ascii="Times New Roman" w:hAnsi="Times New Roman" w:cs="Times New Roman"/>
          <w:color w:val="000000"/>
          <w:sz w:val="24"/>
          <w:szCs w:val="24"/>
        </w:rPr>
        <w:t xml:space="preserve"> tuhande hektarini</w:t>
      </w:r>
      <w:r w:rsidR="00727AE1" w:rsidRPr="0024503A">
        <w:rPr>
          <w:rFonts w:ascii="Times New Roman" w:hAnsi="Times New Roman" w:cs="Times New Roman"/>
          <w:color w:val="000000"/>
          <w:sz w:val="24"/>
          <w:szCs w:val="24"/>
        </w:rPr>
        <w:t xml:space="preserve"> (joonis 12)</w:t>
      </w:r>
      <w:r w:rsidR="009B10D5">
        <w:rPr>
          <w:rFonts w:ascii="Times New Roman" w:hAnsi="Times New Roman" w:cs="Times New Roman"/>
          <w:color w:val="000000"/>
          <w:sz w:val="24"/>
          <w:szCs w:val="24"/>
        </w:rPr>
        <w:t xml:space="preserve">. Aastate keskmisena on </w:t>
      </w:r>
      <w:r w:rsidRPr="0024503A">
        <w:rPr>
          <w:rFonts w:ascii="Times New Roman" w:hAnsi="Times New Roman" w:cs="Times New Roman"/>
          <w:color w:val="000000"/>
          <w:sz w:val="24"/>
          <w:szCs w:val="24"/>
        </w:rPr>
        <w:t>herne saagikus olnud muutuvam kui teraviljade oma. Saagi ebastabiilsust põhjustavad kasvuperioodi muutlikud agrometeoroloogilised tingimused</w:t>
      </w:r>
      <w:r w:rsidR="00A40585">
        <w:rPr>
          <w:rFonts w:ascii="Times New Roman" w:hAnsi="Times New Roman" w:cs="Times New Roman"/>
          <w:color w:val="000000"/>
          <w:sz w:val="24"/>
          <w:szCs w:val="24"/>
        </w:rPr>
        <w:t>. Näiteks</w:t>
      </w:r>
      <w:r w:rsidRPr="0024503A">
        <w:rPr>
          <w:rFonts w:ascii="Times New Roman" w:hAnsi="Times New Roman" w:cs="Times New Roman"/>
          <w:color w:val="000000"/>
          <w:sz w:val="24"/>
          <w:szCs w:val="24"/>
        </w:rPr>
        <w:t xml:space="preserve"> 2008. aastal</w:t>
      </w:r>
      <w:r w:rsidR="00A40585">
        <w:rPr>
          <w:rFonts w:ascii="Times New Roman" w:hAnsi="Times New Roman" w:cs="Times New Roman"/>
          <w:color w:val="000000"/>
          <w:sz w:val="24"/>
          <w:szCs w:val="24"/>
        </w:rPr>
        <w:t>,</w:t>
      </w:r>
      <w:r w:rsidRPr="0024503A">
        <w:rPr>
          <w:rFonts w:ascii="Times New Roman" w:hAnsi="Times New Roman" w:cs="Times New Roman"/>
          <w:color w:val="000000"/>
          <w:sz w:val="24"/>
          <w:szCs w:val="24"/>
        </w:rPr>
        <w:t xml:space="preserve"> kui viljakoristusperiood oli väga vihmane</w:t>
      </w:r>
      <w:r w:rsidR="00A40585">
        <w:rPr>
          <w:rFonts w:ascii="Times New Roman" w:hAnsi="Times New Roman" w:cs="Times New Roman"/>
          <w:color w:val="000000"/>
          <w:sz w:val="24"/>
          <w:szCs w:val="24"/>
        </w:rPr>
        <w:t>,</w:t>
      </w:r>
      <w:r w:rsidRPr="0024503A">
        <w:rPr>
          <w:rFonts w:ascii="Times New Roman" w:hAnsi="Times New Roman" w:cs="Times New Roman"/>
          <w:color w:val="000000"/>
          <w:sz w:val="24"/>
          <w:szCs w:val="24"/>
        </w:rPr>
        <w:t xml:space="preserve"> </w:t>
      </w:r>
      <w:r w:rsidR="00A40585">
        <w:rPr>
          <w:rFonts w:ascii="Times New Roman" w:hAnsi="Times New Roman" w:cs="Times New Roman"/>
          <w:color w:val="000000"/>
          <w:sz w:val="24"/>
          <w:szCs w:val="24"/>
        </w:rPr>
        <w:t>saadi</w:t>
      </w:r>
      <w:r w:rsidR="00A40585" w:rsidRPr="0024503A">
        <w:rPr>
          <w:rFonts w:ascii="Times New Roman" w:hAnsi="Times New Roman" w:cs="Times New Roman"/>
          <w:color w:val="000000"/>
          <w:sz w:val="24"/>
          <w:szCs w:val="24"/>
        </w:rPr>
        <w:t xml:space="preserve"> </w:t>
      </w:r>
      <w:r w:rsidRPr="0024503A">
        <w:rPr>
          <w:rFonts w:ascii="Times New Roman" w:hAnsi="Times New Roman" w:cs="Times New Roman"/>
          <w:color w:val="000000"/>
          <w:sz w:val="24"/>
          <w:szCs w:val="24"/>
        </w:rPr>
        <w:t>herne saagikuseks vaid 0,7 tonni hektarilt. Vihmade tõttu lamandus hernes põldudel, levisid haigused, tera läks peas kasvama ning suur osa hernest künti mulda. Võrdluseks</w:t>
      </w:r>
      <w:r w:rsidR="00B60C1E">
        <w:rPr>
          <w:rFonts w:ascii="Times New Roman" w:hAnsi="Times New Roman" w:cs="Times New Roman"/>
          <w:color w:val="000000"/>
          <w:sz w:val="24"/>
          <w:szCs w:val="24"/>
        </w:rPr>
        <w:t>:</w:t>
      </w:r>
      <w:r w:rsidRPr="0024503A">
        <w:rPr>
          <w:rFonts w:ascii="Times New Roman" w:hAnsi="Times New Roman" w:cs="Times New Roman"/>
          <w:color w:val="000000"/>
          <w:sz w:val="24"/>
          <w:szCs w:val="24"/>
        </w:rPr>
        <w:t xml:space="preserve"> </w:t>
      </w:r>
      <w:r w:rsidR="009868A7">
        <w:rPr>
          <w:rFonts w:ascii="Times New Roman" w:hAnsi="Times New Roman" w:cs="Times New Roman"/>
          <w:color w:val="000000"/>
          <w:sz w:val="24"/>
          <w:szCs w:val="24"/>
        </w:rPr>
        <w:t xml:space="preserve">väga heal </w:t>
      </w:r>
      <w:r w:rsidR="0008017B" w:rsidRPr="0024503A">
        <w:rPr>
          <w:rFonts w:ascii="Times New Roman" w:hAnsi="Times New Roman" w:cs="Times New Roman"/>
          <w:color w:val="000000"/>
          <w:sz w:val="24"/>
          <w:szCs w:val="24"/>
        </w:rPr>
        <w:t>herne kas</w:t>
      </w:r>
      <w:r w:rsidR="009868A7">
        <w:rPr>
          <w:rFonts w:ascii="Times New Roman" w:hAnsi="Times New Roman" w:cs="Times New Roman"/>
          <w:color w:val="000000"/>
          <w:sz w:val="24"/>
          <w:szCs w:val="24"/>
        </w:rPr>
        <w:t>vu aastal</w:t>
      </w:r>
      <w:r w:rsidR="00D32D83" w:rsidRPr="0024503A">
        <w:rPr>
          <w:rFonts w:ascii="Times New Roman" w:hAnsi="Times New Roman" w:cs="Times New Roman"/>
          <w:color w:val="000000"/>
          <w:sz w:val="24"/>
          <w:szCs w:val="24"/>
        </w:rPr>
        <w:t xml:space="preserve"> kujunes 2013</w:t>
      </w:r>
      <w:r w:rsidRPr="0024503A">
        <w:rPr>
          <w:rFonts w:ascii="Times New Roman" w:hAnsi="Times New Roman" w:cs="Times New Roman"/>
          <w:color w:val="000000"/>
          <w:sz w:val="24"/>
          <w:szCs w:val="24"/>
        </w:rPr>
        <w:t xml:space="preserve">. aastal </w:t>
      </w:r>
      <w:r w:rsidR="00D32D83" w:rsidRPr="0024503A">
        <w:rPr>
          <w:rFonts w:ascii="Times New Roman" w:hAnsi="Times New Roman" w:cs="Times New Roman"/>
          <w:color w:val="000000"/>
          <w:sz w:val="24"/>
          <w:szCs w:val="24"/>
        </w:rPr>
        <w:t>saagikuseks 2,3</w:t>
      </w:r>
      <w:r w:rsidRPr="0024503A">
        <w:rPr>
          <w:rFonts w:ascii="Times New Roman" w:hAnsi="Times New Roman" w:cs="Times New Roman"/>
          <w:color w:val="000000"/>
          <w:sz w:val="24"/>
          <w:szCs w:val="24"/>
        </w:rPr>
        <w:t xml:space="preserve"> tonni hekta</w:t>
      </w:r>
      <w:r w:rsidR="00D32D83" w:rsidRPr="0024503A">
        <w:rPr>
          <w:rFonts w:ascii="Times New Roman" w:hAnsi="Times New Roman" w:cs="Times New Roman"/>
          <w:color w:val="000000"/>
          <w:sz w:val="24"/>
          <w:szCs w:val="24"/>
        </w:rPr>
        <w:t>rilt ning kogusaagiks saadi 32,8</w:t>
      </w:r>
      <w:r w:rsidRPr="0024503A">
        <w:rPr>
          <w:rFonts w:ascii="Times New Roman" w:hAnsi="Times New Roman" w:cs="Times New Roman"/>
          <w:color w:val="000000"/>
          <w:sz w:val="24"/>
          <w:szCs w:val="24"/>
        </w:rPr>
        <w:t xml:space="preserve"> tuhat tonni. </w:t>
      </w:r>
      <w:r w:rsidR="00F96D2E">
        <w:rPr>
          <w:rFonts w:ascii="Times New Roman" w:hAnsi="Times New Roman" w:cs="Times New Roman"/>
          <w:color w:val="000000"/>
          <w:sz w:val="24"/>
          <w:szCs w:val="24"/>
        </w:rPr>
        <w:t xml:space="preserve">Arvestades herne kasvavat populaarsust Eestis võib 2020. aastaks prognoosida </w:t>
      </w:r>
      <w:r w:rsidR="003B274C">
        <w:rPr>
          <w:rFonts w:ascii="Times New Roman" w:hAnsi="Times New Roman" w:cs="Times New Roman"/>
          <w:color w:val="000000"/>
          <w:sz w:val="24"/>
          <w:szCs w:val="24"/>
        </w:rPr>
        <w:t xml:space="preserve">positiivse stsenaariumi korral </w:t>
      </w:r>
      <w:r w:rsidR="00F96D2E">
        <w:rPr>
          <w:rFonts w:ascii="Times New Roman" w:hAnsi="Times New Roman" w:cs="Times New Roman"/>
          <w:color w:val="000000"/>
          <w:sz w:val="24"/>
          <w:szCs w:val="24"/>
        </w:rPr>
        <w:t>isegi kuni 3 tonnist hektarisaaki.</w:t>
      </w:r>
    </w:p>
    <w:p w:rsidR="00FB42E4" w:rsidRPr="0024503A" w:rsidRDefault="00FB42E4" w:rsidP="00617526">
      <w:pPr>
        <w:pStyle w:val="BodyText"/>
        <w:spacing w:line="276" w:lineRule="auto"/>
        <w:rPr>
          <w:rFonts w:ascii="Times New Roman" w:hAnsi="Times New Roman" w:cs="Times New Roman"/>
          <w:color w:val="000000"/>
          <w:sz w:val="24"/>
          <w:szCs w:val="24"/>
        </w:rPr>
      </w:pPr>
    </w:p>
    <w:p w:rsidR="00AD20FA" w:rsidRPr="00D549C9" w:rsidRDefault="0082063E" w:rsidP="00617526">
      <w:pPr>
        <w:spacing w:line="276" w:lineRule="auto"/>
        <w:jc w:val="both"/>
        <w:rPr>
          <w:sz w:val="24"/>
          <w:szCs w:val="24"/>
        </w:rPr>
      </w:pPr>
      <w:r>
        <w:rPr>
          <w:noProof/>
        </w:rPr>
        <w:lastRenderedPageBreak/>
        <w:drawing>
          <wp:inline distT="0" distB="0" distL="0" distR="0" wp14:anchorId="01D8FF51" wp14:editId="7CC77960">
            <wp:extent cx="6086475" cy="2409825"/>
            <wp:effectExtent l="0" t="0" r="9525"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D20FA" w:rsidRPr="00AD673F" w:rsidRDefault="00AD20FA" w:rsidP="00617526">
      <w:pPr>
        <w:pStyle w:val="BodyText"/>
        <w:spacing w:line="276" w:lineRule="auto"/>
        <w:rPr>
          <w:rFonts w:ascii="Arial" w:hAnsi="Arial" w:cs="Arial"/>
        </w:rPr>
      </w:pPr>
      <w:r w:rsidRPr="00AD673F">
        <w:rPr>
          <w:rFonts w:ascii="Arial" w:hAnsi="Arial" w:cs="Arial"/>
        </w:rPr>
        <w:t>Allikas: SA</w:t>
      </w:r>
    </w:p>
    <w:p w:rsidR="00AD20FA" w:rsidRPr="006977B6" w:rsidRDefault="00AD20FA" w:rsidP="00617526">
      <w:pPr>
        <w:pStyle w:val="BodyText"/>
        <w:spacing w:line="276" w:lineRule="auto"/>
        <w:rPr>
          <w:rFonts w:ascii="Times New Roman" w:hAnsi="Times New Roman" w:cs="Times New Roman"/>
          <w:sz w:val="24"/>
          <w:szCs w:val="24"/>
        </w:rPr>
      </w:pPr>
      <w:r w:rsidRPr="006977B6">
        <w:rPr>
          <w:rFonts w:ascii="Times New Roman" w:hAnsi="Times New Roman" w:cs="Times New Roman"/>
          <w:b/>
          <w:sz w:val="24"/>
          <w:szCs w:val="24"/>
        </w:rPr>
        <w:t xml:space="preserve">Joonis 12. </w:t>
      </w:r>
      <w:r w:rsidRPr="006977B6">
        <w:rPr>
          <w:rFonts w:ascii="Times New Roman" w:hAnsi="Times New Roman" w:cs="Times New Roman"/>
          <w:b/>
          <w:noProof/>
          <w:sz w:val="24"/>
          <w:szCs w:val="24"/>
        </w:rPr>
        <w:t xml:space="preserve">Kaunvilja </w:t>
      </w:r>
      <w:r w:rsidRPr="006977B6">
        <w:rPr>
          <w:rFonts w:ascii="Times New Roman" w:hAnsi="Times New Roman" w:cs="Times New Roman"/>
          <w:b/>
          <w:bCs/>
          <w:noProof/>
          <w:sz w:val="24"/>
          <w:szCs w:val="24"/>
        </w:rPr>
        <w:t>saak</w:t>
      </w:r>
      <w:r w:rsidRPr="006977B6">
        <w:rPr>
          <w:rFonts w:ascii="Times New Roman" w:hAnsi="Times New Roman" w:cs="Times New Roman"/>
          <w:b/>
          <w:bCs/>
          <w:sz w:val="24"/>
          <w:szCs w:val="24"/>
        </w:rPr>
        <w:t>, kasvupind ja saagikus aastatel 2004</w:t>
      </w:r>
      <w:r w:rsidR="00C96E5A" w:rsidRPr="0024503A">
        <w:rPr>
          <w:rFonts w:ascii="Times New Roman" w:hAnsi="Times New Roman" w:cs="Times New Roman"/>
          <w:sz w:val="24"/>
          <w:szCs w:val="24"/>
        </w:rPr>
        <w:t>–</w:t>
      </w:r>
      <w:r w:rsidRPr="006977B6">
        <w:rPr>
          <w:rFonts w:ascii="Times New Roman" w:hAnsi="Times New Roman" w:cs="Times New Roman"/>
          <w:b/>
          <w:bCs/>
          <w:sz w:val="24"/>
          <w:szCs w:val="24"/>
        </w:rPr>
        <w:t>2013</w:t>
      </w:r>
    </w:p>
    <w:p w:rsidR="00AD20FA" w:rsidRPr="006977B6" w:rsidRDefault="00AD20FA" w:rsidP="00617526">
      <w:pPr>
        <w:spacing w:line="276" w:lineRule="auto"/>
        <w:jc w:val="both"/>
        <w:rPr>
          <w:rFonts w:ascii="Times New Roman" w:hAnsi="Times New Roman" w:cs="Times New Roman"/>
          <w:sz w:val="24"/>
          <w:szCs w:val="24"/>
        </w:rPr>
      </w:pPr>
    </w:p>
    <w:p w:rsidR="00441276" w:rsidRPr="0024503A" w:rsidRDefault="00B355E0" w:rsidP="00617526">
      <w:pPr>
        <w:spacing w:line="276" w:lineRule="auto"/>
        <w:jc w:val="both"/>
        <w:rPr>
          <w:rFonts w:ascii="Times New Roman" w:hAnsi="Times New Roman" w:cs="Times New Roman"/>
          <w:sz w:val="24"/>
          <w:szCs w:val="24"/>
        </w:rPr>
      </w:pPr>
      <w:r>
        <w:rPr>
          <w:rFonts w:ascii="Times New Roman" w:hAnsi="Times New Roman" w:cs="Times New Roman"/>
          <w:sz w:val="24"/>
          <w:szCs w:val="24"/>
        </w:rPr>
        <w:t>K</w:t>
      </w:r>
      <w:r w:rsidR="00241B1D">
        <w:rPr>
          <w:rFonts w:ascii="Times New Roman" w:hAnsi="Times New Roman" w:cs="Times New Roman"/>
          <w:sz w:val="24"/>
          <w:szCs w:val="24"/>
        </w:rPr>
        <w:t>aunviljade</w:t>
      </w:r>
      <w:r w:rsidR="00AD20FA" w:rsidRPr="0024503A">
        <w:rPr>
          <w:rFonts w:ascii="Times New Roman" w:hAnsi="Times New Roman" w:cs="Times New Roman"/>
          <w:sz w:val="24"/>
          <w:szCs w:val="24"/>
        </w:rPr>
        <w:t xml:space="preserve"> tarbimine</w:t>
      </w:r>
      <w:r>
        <w:rPr>
          <w:rFonts w:ascii="Times New Roman" w:hAnsi="Times New Roman" w:cs="Times New Roman"/>
          <w:sz w:val="24"/>
          <w:szCs w:val="24"/>
        </w:rPr>
        <w:t xml:space="preserve"> on</w:t>
      </w:r>
      <w:r w:rsidR="00AD20FA" w:rsidRPr="0024503A">
        <w:rPr>
          <w:rFonts w:ascii="Times New Roman" w:hAnsi="Times New Roman" w:cs="Times New Roman"/>
          <w:sz w:val="24"/>
          <w:szCs w:val="24"/>
        </w:rPr>
        <w:t xml:space="preserve"> võrreldes 2004/2005</w:t>
      </w:r>
      <w:r w:rsidR="003A53B1">
        <w:rPr>
          <w:rFonts w:ascii="Times New Roman" w:hAnsi="Times New Roman" w:cs="Times New Roman"/>
          <w:sz w:val="24"/>
          <w:szCs w:val="24"/>
        </w:rPr>
        <w:t>.</w:t>
      </w:r>
      <w:r w:rsidR="00AD20FA" w:rsidRPr="0024503A">
        <w:rPr>
          <w:rFonts w:ascii="Times New Roman" w:hAnsi="Times New Roman" w:cs="Times New Roman"/>
          <w:sz w:val="24"/>
          <w:szCs w:val="24"/>
        </w:rPr>
        <w:t xml:space="preserve"> turustusaastaga suurenenud 4,1 tuhandelt tonnilt </w:t>
      </w:r>
      <w:r w:rsidR="00714EF2" w:rsidRPr="0024503A">
        <w:rPr>
          <w:rFonts w:ascii="Times New Roman" w:hAnsi="Times New Roman" w:cs="Times New Roman"/>
          <w:sz w:val="24"/>
          <w:szCs w:val="24"/>
        </w:rPr>
        <w:t>7</w:t>
      </w:r>
      <w:r w:rsidR="00AD20FA" w:rsidRPr="0024503A">
        <w:rPr>
          <w:rFonts w:ascii="Times New Roman" w:hAnsi="Times New Roman" w:cs="Times New Roman"/>
          <w:sz w:val="24"/>
          <w:szCs w:val="24"/>
        </w:rPr>
        <w:t>,1 tuhande tonnini 201</w:t>
      </w:r>
      <w:r w:rsidR="00714EF2" w:rsidRPr="0024503A">
        <w:rPr>
          <w:rFonts w:ascii="Times New Roman" w:hAnsi="Times New Roman" w:cs="Times New Roman"/>
          <w:sz w:val="24"/>
          <w:szCs w:val="24"/>
        </w:rPr>
        <w:t>2</w:t>
      </w:r>
      <w:r w:rsidR="00AD20FA" w:rsidRPr="0024503A">
        <w:rPr>
          <w:rFonts w:ascii="Times New Roman" w:hAnsi="Times New Roman" w:cs="Times New Roman"/>
          <w:sz w:val="24"/>
          <w:szCs w:val="24"/>
        </w:rPr>
        <w:t>/201</w:t>
      </w:r>
      <w:r w:rsidR="00714EF2" w:rsidRPr="0024503A">
        <w:rPr>
          <w:rFonts w:ascii="Times New Roman" w:hAnsi="Times New Roman" w:cs="Times New Roman"/>
          <w:sz w:val="24"/>
          <w:szCs w:val="24"/>
        </w:rPr>
        <w:t>3</w:t>
      </w:r>
      <w:r w:rsidR="003A53B1">
        <w:rPr>
          <w:rFonts w:ascii="Times New Roman" w:hAnsi="Times New Roman" w:cs="Times New Roman"/>
          <w:sz w:val="24"/>
          <w:szCs w:val="24"/>
        </w:rPr>
        <w:t>.</w:t>
      </w:r>
      <w:r w:rsidR="00287315">
        <w:rPr>
          <w:rFonts w:ascii="Times New Roman" w:hAnsi="Times New Roman" w:cs="Times New Roman"/>
          <w:sz w:val="24"/>
          <w:szCs w:val="24"/>
        </w:rPr>
        <w:t xml:space="preserve"> turustusaastaks</w:t>
      </w:r>
      <w:r w:rsidR="00AD20FA" w:rsidRPr="0024503A">
        <w:rPr>
          <w:rFonts w:ascii="Times New Roman" w:hAnsi="Times New Roman" w:cs="Times New Roman"/>
          <w:sz w:val="24"/>
          <w:szCs w:val="24"/>
        </w:rPr>
        <w:t xml:space="preserve">. Viimastel aastatel on Eestis kaunviljadega isevarustatus olnud tagatud, moodustades </w:t>
      </w:r>
      <w:r w:rsidR="00016CE8" w:rsidRPr="0024503A">
        <w:rPr>
          <w:rFonts w:ascii="Times New Roman" w:hAnsi="Times New Roman" w:cs="Times New Roman"/>
          <w:sz w:val="24"/>
          <w:szCs w:val="24"/>
        </w:rPr>
        <w:t>182</w:t>
      </w:r>
      <w:r w:rsidR="00AD20FA" w:rsidRPr="0024503A">
        <w:rPr>
          <w:rFonts w:ascii="Times New Roman" w:hAnsi="Times New Roman" w:cs="Times New Roman"/>
          <w:sz w:val="24"/>
          <w:szCs w:val="24"/>
        </w:rPr>
        <w:t>% 201</w:t>
      </w:r>
      <w:r w:rsidR="00016CE8" w:rsidRPr="0024503A">
        <w:rPr>
          <w:rFonts w:ascii="Times New Roman" w:hAnsi="Times New Roman" w:cs="Times New Roman"/>
          <w:sz w:val="24"/>
          <w:szCs w:val="24"/>
        </w:rPr>
        <w:t>2</w:t>
      </w:r>
      <w:r w:rsidR="00AD20FA" w:rsidRPr="0024503A">
        <w:rPr>
          <w:rFonts w:ascii="Times New Roman" w:hAnsi="Times New Roman" w:cs="Times New Roman"/>
          <w:sz w:val="24"/>
          <w:szCs w:val="24"/>
        </w:rPr>
        <w:t>/201</w:t>
      </w:r>
      <w:r w:rsidR="00016CE8" w:rsidRPr="0024503A">
        <w:rPr>
          <w:rFonts w:ascii="Times New Roman" w:hAnsi="Times New Roman" w:cs="Times New Roman"/>
          <w:sz w:val="24"/>
          <w:szCs w:val="24"/>
        </w:rPr>
        <w:t>3</w:t>
      </w:r>
      <w:r w:rsidR="003A53B1">
        <w:rPr>
          <w:rFonts w:ascii="Times New Roman" w:hAnsi="Times New Roman" w:cs="Times New Roman"/>
          <w:sz w:val="24"/>
          <w:szCs w:val="24"/>
        </w:rPr>
        <w:t>.</w:t>
      </w:r>
      <w:r w:rsidR="00AD20FA" w:rsidRPr="0024503A">
        <w:rPr>
          <w:rFonts w:ascii="Times New Roman" w:hAnsi="Times New Roman" w:cs="Times New Roman"/>
          <w:sz w:val="24"/>
          <w:szCs w:val="24"/>
        </w:rPr>
        <w:t xml:space="preserve"> turustusaastal, samas kui 2004/2005</w:t>
      </w:r>
      <w:r w:rsidR="003A53B1">
        <w:rPr>
          <w:rFonts w:ascii="Times New Roman" w:hAnsi="Times New Roman" w:cs="Times New Roman"/>
          <w:sz w:val="24"/>
          <w:szCs w:val="24"/>
        </w:rPr>
        <w:t>.</w:t>
      </w:r>
      <w:r w:rsidR="00AD20FA" w:rsidRPr="0024503A">
        <w:rPr>
          <w:rFonts w:ascii="Times New Roman" w:hAnsi="Times New Roman" w:cs="Times New Roman"/>
          <w:sz w:val="24"/>
          <w:szCs w:val="24"/>
        </w:rPr>
        <w:t xml:space="preserve"> turustusaastal oli see 80%. Ainuüksi loomasöödana kasutamine on nimetatud perioodil suurenenud </w:t>
      </w:r>
      <w:r w:rsidR="00016CE8" w:rsidRPr="0024503A">
        <w:rPr>
          <w:rFonts w:ascii="Times New Roman" w:hAnsi="Times New Roman" w:cs="Times New Roman"/>
          <w:sz w:val="24"/>
          <w:szCs w:val="24"/>
        </w:rPr>
        <w:t>48</w:t>
      </w:r>
      <w:r w:rsidR="00AD20FA" w:rsidRPr="0024503A">
        <w:rPr>
          <w:rFonts w:ascii="Times New Roman" w:hAnsi="Times New Roman" w:cs="Times New Roman"/>
          <w:sz w:val="24"/>
          <w:szCs w:val="24"/>
        </w:rPr>
        <w:t>%</w:t>
      </w:r>
      <w:r w:rsidR="005B2A2C">
        <w:rPr>
          <w:rFonts w:ascii="Times New Roman" w:hAnsi="Times New Roman" w:cs="Times New Roman"/>
          <w:sz w:val="24"/>
          <w:szCs w:val="24"/>
        </w:rPr>
        <w:t xml:space="preserve">. </w:t>
      </w:r>
      <w:r w:rsidR="00241B1D">
        <w:rPr>
          <w:rFonts w:ascii="Times New Roman" w:hAnsi="Times New Roman" w:cs="Times New Roman"/>
          <w:sz w:val="24"/>
          <w:szCs w:val="24"/>
        </w:rPr>
        <w:t>Kaunviljad on</w:t>
      </w:r>
      <w:r w:rsidR="00AD20FA" w:rsidRPr="0024503A">
        <w:rPr>
          <w:rFonts w:ascii="Times New Roman" w:hAnsi="Times New Roman" w:cs="Times New Roman"/>
          <w:sz w:val="24"/>
          <w:szCs w:val="24"/>
        </w:rPr>
        <w:t xml:space="preserve"> oma lämmastikusidumisvõime poolest väga head kultuurid mulla viljakuse parandamisel ning saanud oluliseks osaks ka loomade söö</w:t>
      </w:r>
      <w:r w:rsidR="005B2A2C">
        <w:rPr>
          <w:rFonts w:ascii="Times New Roman" w:hAnsi="Times New Roman" w:cs="Times New Roman"/>
          <w:sz w:val="24"/>
          <w:szCs w:val="24"/>
        </w:rPr>
        <w:t xml:space="preserve">daratsioonis. Siiski sõltub </w:t>
      </w:r>
      <w:r w:rsidR="00AD20FA" w:rsidRPr="0024503A">
        <w:rPr>
          <w:rFonts w:ascii="Times New Roman" w:hAnsi="Times New Roman" w:cs="Times New Roman"/>
          <w:sz w:val="24"/>
          <w:szCs w:val="24"/>
        </w:rPr>
        <w:t xml:space="preserve">herne kasvatamine suuresti ilmastikust, </w:t>
      </w:r>
      <w:r w:rsidR="00581AD8">
        <w:rPr>
          <w:rFonts w:ascii="Times New Roman" w:hAnsi="Times New Roman" w:cs="Times New Roman"/>
          <w:sz w:val="24"/>
          <w:szCs w:val="24"/>
        </w:rPr>
        <w:t>mistõttu</w:t>
      </w:r>
      <w:r w:rsidR="00E17753">
        <w:rPr>
          <w:rFonts w:ascii="Times New Roman" w:hAnsi="Times New Roman" w:cs="Times New Roman"/>
          <w:sz w:val="24"/>
          <w:szCs w:val="24"/>
        </w:rPr>
        <w:t xml:space="preserve"> on selle kultuuri kasvatamine seotud riskidega</w:t>
      </w:r>
      <w:r w:rsidR="00AD20FA" w:rsidRPr="0024503A">
        <w:rPr>
          <w:rFonts w:ascii="Times New Roman" w:hAnsi="Times New Roman" w:cs="Times New Roman"/>
          <w:sz w:val="24"/>
          <w:szCs w:val="24"/>
        </w:rPr>
        <w:t xml:space="preserve">. </w:t>
      </w:r>
    </w:p>
    <w:p w:rsidR="00441276" w:rsidRPr="0024503A" w:rsidRDefault="00441276" w:rsidP="00617526">
      <w:pPr>
        <w:pStyle w:val="Heading3"/>
        <w:spacing w:line="276" w:lineRule="auto"/>
        <w:rPr>
          <w:rFonts w:ascii="Times New Roman" w:hAnsi="Times New Roman" w:cs="Times New Roman"/>
          <w:b w:val="0"/>
        </w:rPr>
      </w:pPr>
      <w:bookmarkStart w:id="412" w:name="_Toc378697816"/>
      <w:bookmarkStart w:id="413" w:name="_Toc378773263"/>
      <w:bookmarkStart w:id="414" w:name="_Toc379197444"/>
      <w:bookmarkStart w:id="415" w:name="_Toc379205482"/>
      <w:bookmarkStart w:id="416" w:name="_Toc379268178"/>
      <w:bookmarkStart w:id="417" w:name="_Toc379296753"/>
      <w:bookmarkStart w:id="418" w:name="_Toc379373462"/>
      <w:bookmarkStart w:id="419" w:name="_Toc379799846"/>
      <w:bookmarkStart w:id="420" w:name="_Toc381633588"/>
      <w:bookmarkStart w:id="421" w:name="_Toc381633733"/>
      <w:bookmarkStart w:id="422" w:name="_Toc384050901"/>
      <w:bookmarkStart w:id="423" w:name="_Toc384052605"/>
      <w:bookmarkStart w:id="424" w:name="_Toc384283948"/>
      <w:bookmarkStart w:id="425" w:name="_Toc384284059"/>
      <w:bookmarkStart w:id="426" w:name="_Toc384386253"/>
      <w:bookmarkStart w:id="427" w:name="_Toc384386465"/>
      <w:bookmarkStart w:id="428" w:name="_Toc384392331"/>
      <w:bookmarkStart w:id="429" w:name="_Toc385253762"/>
      <w:bookmarkStart w:id="430" w:name="_Toc385335134"/>
      <w:bookmarkStart w:id="431" w:name="_Toc389128803"/>
      <w:bookmarkStart w:id="432" w:name="_Toc389131350"/>
      <w:bookmarkStart w:id="433" w:name="_Toc389223885"/>
      <w:bookmarkStart w:id="434" w:name="_Toc389223947"/>
      <w:bookmarkStart w:id="435" w:name="_Toc391908879"/>
      <w:bookmarkStart w:id="436" w:name="_Toc391991813"/>
      <w:bookmarkStart w:id="437" w:name="_Toc397593033"/>
      <w:bookmarkStart w:id="438" w:name="_Toc398896328"/>
      <w:bookmarkStart w:id="439" w:name="_Toc398896468"/>
      <w:bookmarkStart w:id="440" w:name="_Toc400972840"/>
      <w:r w:rsidRPr="0024503A">
        <w:rPr>
          <w:rFonts w:ascii="Times New Roman" w:hAnsi="Times New Roman" w:cs="Times New Roman"/>
        </w:rPr>
        <w:t>Mahetootmine</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rsidR="00126816" w:rsidRPr="0024503A" w:rsidRDefault="00126816" w:rsidP="00617526">
      <w:pPr>
        <w:adjustRightInd w:val="0"/>
        <w:spacing w:line="276" w:lineRule="auto"/>
        <w:jc w:val="both"/>
        <w:rPr>
          <w:rFonts w:ascii="Times New Roman" w:hAnsi="Times New Roman" w:cs="Times New Roman"/>
          <w:sz w:val="24"/>
          <w:szCs w:val="24"/>
        </w:rPr>
      </w:pPr>
    </w:p>
    <w:p w:rsidR="00441276" w:rsidRPr="0024503A" w:rsidRDefault="00441276" w:rsidP="00617526">
      <w:pPr>
        <w:adjustRightInd w:val="0"/>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Teraviljatootmises on järjest laienemas ka mahetootmisviis. Teravilja kasvatati mahepõllumajanduslikult 2006. aastal 8</w:t>
      </w:r>
      <w:r w:rsidR="006F4CB2" w:rsidRPr="0024503A">
        <w:rPr>
          <w:rFonts w:ascii="Times New Roman" w:hAnsi="Times New Roman" w:cs="Times New Roman"/>
          <w:sz w:val="24"/>
          <w:szCs w:val="24"/>
        </w:rPr>
        <w:t>,5 tuhandel</w:t>
      </w:r>
      <w:r w:rsidR="00BD2D22" w:rsidRPr="0024503A">
        <w:rPr>
          <w:rFonts w:ascii="Times New Roman" w:hAnsi="Times New Roman" w:cs="Times New Roman"/>
          <w:sz w:val="24"/>
          <w:szCs w:val="24"/>
        </w:rPr>
        <w:t xml:space="preserve"> hektaril, 2013</w:t>
      </w:r>
      <w:r w:rsidRPr="0024503A">
        <w:rPr>
          <w:rFonts w:ascii="Times New Roman" w:hAnsi="Times New Roman" w:cs="Times New Roman"/>
          <w:sz w:val="24"/>
          <w:szCs w:val="24"/>
        </w:rPr>
        <w:t>. aastal 23</w:t>
      </w:r>
      <w:r w:rsidR="00BD2D22" w:rsidRPr="0024503A">
        <w:rPr>
          <w:rFonts w:ascii="Times New Roman" w:hAnsi="Times New Roman" w:cs="Times New Roman"/>
          <w:sz w:val="24"/>
          <w:szCs w:val="24"/>
        </w:rPr>
        <w:t>,1</w:t>
      </w:r>
      <w:r w:rsidR="006F4CB2" w:rsidRPr="0024503A">
        <w:rPr>
          <w:rFonts w:ascii="Times New Roman" w:hAnsi="Times New Roman" w:cs="Times New Roman"/>
          <w:sz w:val="24"/>
          <w:szCs w:val="24"/>
        </w:rPr>
        <w:t xml:space="preserve"> tuhandel</w:t>
      </w:r>
      <w:r w:rsidRPr="0024503A">
        <w:rPr>
          <w:rFonts w:ascii="Times New Roman" w:hAnsi="Times New Roman" w:cs="Times New Roman"/>
          <w:sz w:val="24"/>
          <w:szCs w:val="24"/>
        </w:rPr>
        <w:t xml:space="preserve"> hektaril, millest oli üleminekuaja</w:t>
      </w:r>
      <w:r w:rsidR="00470883">
        <w:rPr>
          <w:rStyle w:val="FootnoteReference"/>
          <w:rFonts w:ascii="Times New Roman" w:hAnsi="Times New Roman" w:cs="Times New Roman"/>
          <w:sz w:val="24"/>
          <w:szCs w:val="24"/>
        </w:rPr>
        <w:footnoteReference w:id="16"/>
      </w:r>
      <w:r w:rsidRPr="0024503A">
        <w:rPr>
          <w:rFonts w:ascii="Times New Roman" w:hAnsi="Times New Roman" w:cs="Times New Roman"/>
          <w:sz w:val="24"/>
          <w:szCs w:val="24"/>
        </w:rPr>
        <w:t xml:space="preserve"> läbinud maad 20</w:t>
      </w:r>
      <w:r w:rsidR="00BD2D22" w:rsidRPr="0024503A">
        <w:rPr>
          <w:rFonts w:ascii="Times New Roman" w:hAnsi="Times New Roman" w:cs="Times New Roman"/>
          <w:sz w:val="24"/>
          <w:szCs w:val="24"/>
        </w:rPr>
        <w:t>,8</w:t>
      </w:r>
      <w:r w:rsidR="006F4CB2" w:rsidRPr="0024503A">
        <w:rPr>
          <w:rFonts w:ascii="Times New Roman" w:hAnsi="Times New Roman" w:cs="Times New Roman"/>
          <w:sz w:val="24"/>
          <w:szCs w:val="24"/>
        </w:rPr>
        <w:t xml:space="preserve"> tuhat</w:t>
      </w:r>
      <w:r w:rsidRPr="0024503A">
        <w:rPr>
          <w:rFonts w:ascii="Times New Roman" w:hAnsi="Times New Roman" w:cs="Times New Roman"/>
          <w:sz w:val="24"/>
          <w:szCs w:val="24"/>
        </w:rPr>
        <w:t xml:space="preserve"> hektarit</w:t>
      </w:r>
      <w:r w:rsidR="00727AE1" w:rsidRPr="0024503A">
        <w:rPr>
          <w:rFonts w:ascii="Times New Roman" w:hAnsi="Times New Roman" w:cs="Times New Roman"/>
          <w:sz w:val="24"/>
          <w:szCs w:val="24"/>
        </w:rPr>
        <w:t xml:space="preserve"> (joonis 13)</w:t>
      </w:r>
      <w:r w:rsidRPr="0024503A">
        <w:rPr>
          <w:rFonts w:ascii="Times New Roman" w:hAnsi="Times New Roman" w:cs="Times New Roman"/>
          <w:sz w:val="24"/>
          <w:szCs w:val="24"/>
        </w:rPr>
        <w:t>. Ajavahemikul 2006–</w:t>
      </w:r>
      <w:r w:rsidR="00BD2D22" w:rsidRPr="0024503A">
        <w:rPr>
          <w:rFonts w:ascii="Times New Roman" w:hAnsi="Times New Roman" w:cs="Times New Roman"/>
          <w:sz w:val="24"/>
          <w:szCs w:val="24"/>
        </w:rPr>
        <w:t>2013</w:t>
      </w:r>
      <w:r w:rsidRPr="0024503A">
        <w:rPr>
          <w:rFonts w:ascii="Times New Roman" w:hAnsi="Times New Roman" w:cs="Times New Roman"/>
          <w:sz w:val="24"/>
          <w:szCs w:val="24"/>
        </w:rPr>
        <w:t xml:space="preserve"> on </w:t>
      </w:r>
      <w:r w:rsidR="006C74FB">
        <w:rPr>
          <w:rFonts w:ascii="Times New Roman" w:hAnsi="Times New Roman" w:cs="Times New Roman"/>
          <w:sz w:val="24"/>
          <w:szCs w:val="24"/>
        </w:rPr>
        <w:t>mahe</w:t>
      </w:r>
      <w:r w:rsidRPr="0024503A">
        <w:rPr>
          <w:rFonts w:ascii="Times New Roman" w:hAnsi="Times New Roman" w:cs="Times New Roman"/>
          <w:sz w:val="24"/>
          <w:szCs w:val="24"/>
        </w:rPr>
        <w:t>te</w:t>
      </w:r>
      <w:r w:rsidR="00BD2D22" w:rsidRPr="0024503A">
        <w:rPr>
          <w:rFonts w:ascii="Times New Roman" w:hAnsi="Times New Roman" w:cs="Times New Roman"/>
          <w:sz w:val="24"/>
          <w:szCs w:val="24"/>
        </w:rPr>
        <w:t>ravilja kasvupind suurenenud 2,7</w:t>
      </w:r>
      <w:r w:rsidRPr="0024503A">
        <w:rPr>
          <w:rFonts w:ascii="Times New Roman" w:hAnsi="Times New Roman" w:cs="Times New Roman"/>
          <w:sz w:val="24"/>
          <w:szCs w:val="24"/>
        </w:rPr>
        <w:t xml:space="preserve"> k</w:t>
      </w:r>
      <w:r w:rsidR="00BD2D22" w:rsidRPr="0024503A">
        <w:rPr>
          <w:rFonts w:ascii="Times New Roman" w:hAnsi="Times New Roman" w:cs="Times New Roman"/>
          <w:sz w:val="24"/>
          <w:szCs w:val="24"/>
        </w:rPr>
        <w:t xml:space="preserve">orda. </w:t>
      </w:r>
      <w:r w:rsidR="006C74FB">
        <w:rPr>
          <w:rFonts w:ascii="Times New Roman" w:hAnsi="Times New Roman" w:cs="Times New Roman"/>
          <w:sz w:val="24"/>
          <w:szCs w:val="24"/>
        </w:rPr>
        <w:t>Mahet</w:t>
      </w:r>
      <w:r w:rsidR="00BD2D22" w:rsidRPr="0024503A">
        <w:rPr>
          <w:rFonts w:ascii="Times New Roman" w:hAnsi="Times New Roman" w:cs="Times New Roman"/>
          <w:sz w:val="24"/>
          <w:szCs w:val="24"/>
        </w:rPr>
        <w:t>eravilja kasvatasid 2013. aastal 658</w:t>
      </w:r>
      <w:r w:rsidRPr="0024503A">
        <w:rPr>
          <w:rFonts w:ascii="Times New Roman" w:hAnsi="Times New Roman" w:cs="Times New Roman"/>
          <w:sz w:val="24"/>
          <w:szCs w:val="24"/>
        </w:rPr>
        <w:t xml:space="preserve"> ettevõtet ning suurim kasvu</w:t>
      </w:r>
      <w:r w:rsidR="00BD2D22" w:rsidRPr="0024503A">
        <w:rPr>
          <w:rFonts w:ascii="Times New Roman" w:hAnsi="Times New Roman" w:cs="Times New Roman"/>
          <w:sz w:val="24"/>
          <w:szCs w:val="24"/>
        </w:rPr>
        <w:t>pind ühes ettevõttes oli 570</w:t>
      </w:r>
      <w:r w:rsidRPr="0024503A">
        <w:rPr>
          <w:rFonts w:ascii="Times New Roman" w:hAnsi="Times New Roman" w:cs="Times New Roman"/>
          <w:sz w:val="24"/>
          <w:szCs w:val="24"/>
        </w:rPr>
        <w:t xml:space="preserve"> hektarit. Kõige rohkem kasvatati </w:t>
      </w:r>
      <w:r w:rsidR="006C74FB">
        <w:rPr>
          <w:rFonts w:ascii="Times New Roman" w:hAnsi="Times New Roman" w:cs="Times New Roman"/>
          <w:sz w:val="24"/>
          <w:szCs w:val="24"/>
        </w:rPr>
        <w:t xml:space="preserve">mahedalt </w:t>
      </w:r>
      <w:r w:rsidRPr="0024503A">
        <w:rPr>
          <w:rFonts w:ascii="Times New Roman" w:hAnsi="Times New Roman" w:cs="Times New Roman"/>
          <w:sz w:val="24"/>
          <w:szCs w:val="24"/>
        </w:rPr>
        <w:t xml:space="preserve">kaera (umbes pool </w:t>
      </w:r>
      <w:r w:rsidR="006C74FB">
        <w:rPr>
          <w:rFonts w:ascii="Times New Roman" w:hAnsi="Times New Roman" w:cs="Times New Roman"/>
          <w:sz w:val="24"/>
          <w:szCs w:val="24"/>
        </w:rPr>
        <w:t>mahe</w:t>
      </w:r>
      <w:r w:rsidRPr="0024503A">
        <w:rPr>
          <w:rFonts w:ascii="Times New Roman" w:hAnsi="Times New Roman" w:cs="Times New Roman"/>
          <w:sz w:val="24"/>
          <w:szCs w:val="24"/>
        </w:rPr>
        <w:t xml:space="preserve">teraviljade </w:t>
      </w:r>
      <w:r w:rsidR="00BF6618">
        <w:rPr>
          <w:rFonts w:ascii="Times New Roman" w:hAnsi="Times New Roman" w:cs="Times New Roman"/>
          <w:sz w:val="24"/>
          <w:szCs w:val="24"/>
        </w:rPr>
        <w:t>kasvu</w:t>
      </w:r>
      <w:r w:rsidRPr="0024503A">
        <w:rPr>
          <w:rFonts w:ascii="Times New Roman" w:hAnsi="Times New Roman" w:cs="Times New Roman"/>
          <w:sz w:val="24"/>
          <w:szCs w:val="24"/>
        </w:rPr>
        <w:t xml:space="preserve">pinnast), nisu, otra ja rukist. Teraviljade saagikus on mahetootmises seni keskmiselt 25–40% madalam võrreldes tavatootmisega. </w:t>
      </w:r>
    </w:p>
    <w:p w:rsidR="00441276" w:rsidRPr="0024503A" w:rsidRDefault="00441276" w:rsidP="00617526">
      <w:pPr>
        <w:adjustRightInd w:val="0"/>
        <w:spacing w:line="276" w:lineRule="auto"/>
        <w:jc w:val="both"/>
        <w:rPr>
          <w:rFonts w:ascii="Times New Roman" w:hAnsi="Times New Roman" w:cs="Times New Roman"/>
          <w:sz w:val="24"/>
          <w:szCs w:val="24"/>
        </w:rPr>
      </w:pPr>
    </w:p>
    <w:p w:rsidR="00441276" w:rsidRPr="00D549C9" w:rsidRDefault="00441276" w:rsidP="00617526">
      <w:pPr>
        <w:adjustRightInd w:val="0"/>
        <w:spacing w:line="276" w:lineRule="auto"/>
        <w:jc w:val="both"/>
        <w:rPr>
          <w:sz w:val="24"/>
          <w:szCs w:val="24"/>
        </w:rPr>
      </w:pPr>
      <w:r w:rsidRPr="004C2338">
        <w:rPr>
          <w:noProof/>
          <w:sz w:val="16"/>
          <w:szCs w:val="16"/>
        </w:rPr>
        <w:lastRenderedPageBreak/>
        <w:drawing>
          <wp:inline distT="0" distB="0" distL="0" distR="0" wp14:anchorId="0B884580" wp14:editId="05DF0004">
            <wp:extent cx="6076950" cy="2562225"/>
            <wp:effectExtent l="0" t="0" r="19050" b="952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41276" w:rsidRPr="00142A32" w:rsidRDefault="00441276" w:rsidP="00617526">
      <w:pPr>
        <w:pStyle w:val="BodyText"/>
        <w:spacing w:line="276" w:lineRule="auto"/>
        <w:rPr>
          <w:rFonts w:ascii="Arial" w:hAnsi="Arial" w:cs="Arial"/>
        </w:rPr>
      </w:pPr>
      <w:r w:rsidRPr="00142A32">
        <w:rPr>
          <w:rFonts w:ascii="Arial" w:hAnsi="Arial" w:cs="Arial"/>
        </w:rPr>
        <w:t>Allikas: PMA, PM arvutused</w:t>
      </w:r>
    </w:p>
    <w:p w:rsidR="00441276" w:rsidRPr="0024503A" w:rsidRDefault="00441276" w:rsidP="00617526">
      <w:pPr>
        <w:pStyle w:val="BodyText"/>
        <w:spacing w:line="276" w:lineRule="auto"/>
        <w:rPr>
          <w:rFonts w:ascii="Times New Roman" w:hAnsi="Times New Roman" w:cs="Times New Roman"/>
          <w:sz w:val="24"/>
          <w:szCs w:val="24"/>
        </w:rPr>
      </w:pPr>
      <w:r w:rsidRPr="0024503A">
        <w:rPr>
          <w:rFonts w:ascii="Times New Roman" w:hAnsi="Times New Roman" w:cs="Times New Roman"/>
          <w:b/>
          <w:sz w:val="24"/>
          <w:szCs w:val="24"/>
        </w:rPr>
        <w:t xml:space="preserve">Joonis 13. </w:t>
      </w:r>
      <w:r w:rsidRPr="0024503A">
        <w:rPr>
          <w:rFonts w:ascii="Times New Roman" w:hAnsi="Times New Roman" w:cs="Times New Roman"/>
          <w:b/>
          <w:noProof/>
          <w:sz w:val="24"/>
          <w:szCs w:val="24"/>
        </w:rPr>
        <w:t xml:space="preserve">Maheteravilja </w:t>
      </w:r>
      <w:r w:rsidRPr="0024503A">
        <w:rPr>
          <w:rFonts w:ascii="Times New Roman" w:hAnsi="Times New Roman" w:cs="Times New Roman"/>
          <w:b/>
          <w:bCs/>
          <w:noProof/>
          <w:sz w:val="24"/>
          <w:szCs w:val="24"/>
        </w:rPr>
        <w:t>saak</w:t>
      </w:r>
      <w:r w:rsidRPr="0024503A">
        <w:rPr>
          <w:rFonts w:ascii="Times New Roman" w:hAnsi="Times New Roman" w:cs="Times New Roman"/>
          <w:b/>
          <w:bCs/>
          <w:sz w:val="24"/>
          <w:szCs w:val="24"/>
        </w:rPr>
        <w:t>, kasvupind (üleminekuaja läbinud) ja saagikus aastatel 2006</w:t>
      </w:r>
      <w:r w:rsidR="00D74BA9" w:rsidRPr="0024503A">
        <w:rPr>
          <w:rFonts w:ascii="Times New Roman" w:hAnsi="Times New Roman" w:cs="Times New Roman"/>
          <w:sz w:val="24"/>
          <w:szCs w:val="24"/>
        </w:rPr>
        <w:t>–</w:t>
      </w:r>
      <w:r w:rsidRPr="0024503A">
        <w:rPr>
          <w:rFonts w:ascii="Times New Roman" w:hAnsi="Times New Roman" w:cs="Times New Roman"/>
          <w:b/>
          <w:bCs/>
          <w:sz w:val="24"/>
          <w:szCs w:val="24"/>
        </w:rPr>
        <w:t>201</w:t>
      </w:r>
      <w:r w:rsidR="007F0C17" w:rsidRPr="0024503A">
        <w:rPr>
          <w:rFonts w:ascii="Times New Roman" w:hAnsi="Times New Roman" w:cs="Times New Roman"/>
          <w:b/>
          <w:bCs/>
          <w:sz w:val="24"/>
          <w:szCs w:val="24"/>
        </w:rPr>
        <w:t>2</w:t>
      </w:r>
    </w:p>
    <w:p w:rsidR="00441276" w:rsidRPr="0024503A" w:rsidRDefault="00441276" w:rsidP="00617526">
      <w:pPr>
        <w:adjustRightInd w:val="0"/>
        <w:spacing w:line="276" w:lineRule="auto"/>
        <w:jc w:val="both"/>
        <w:rPr>
          <w:rFonts w:ascii="Times New Roman" w:hAnsi="Times New Roman" w:cs="Times New Roman"/>
          <w:sz w:val="24"/>
          <w:szCs w:val="24"/>
        </w:rPr>
      </w:pPr>
    </w:p>
    <w:p w:rsidR="00441276" w:rsidRPr="0024503A" w:rsidRDefault="00441276" w:rsidP="00617526">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 xml:space="preserve">Peamised probleemid mahekasvatuses on teravilja madal saagikus ja kvaliteet, mille peamiseks põhjuseks on madal tehnoloogiline tase ja investeerimisvõimekus, ebapiisav tähelepanu mullaviljakuse säilitamisele ning vähe arenenud maheseemnekasvatus. Suur osa </w:t>
      </w:r>
      <w:r w:rsidR="00FC4A97">
        <w:rPr>
          <w:rFonts w:ascii="Times New Roman" w:hAnsi="Times New Roman" w:cs="Times New Roman"/>
          <w:sz w:val="24"/>
          <w:szCs w:val="24"/>
        </w:rPr>
        <w:t>maheteravilja kasvupin</w:t>
      </w:r>
      <w:r w:rsidR="00DB26FF">
        <w:rPr>
          <w:rFonts w:ascii="Times New Roman" w:hAnsi="Times New Roman" w:cs="Times New Roman"/>
          <w:sz w:val="24"/>
          <w:szCs w:val="24"/>
        </w:rPr>
        <w:t>d</w:t>
      </w:r>
      <w:r w:rsidR="00FC4A97">
        <w:rPr>
          <w:rFonts w:ascii="Times New Roman" w:hAnsi="Times New Roman" w:cs="Times New Roman"/>
          <w:sz w:val="24"/>
          <w:szCs w:val="24"/>
        </w:rPr>
        <w:t>adest</w:t>
      </w:r>
      <w:r w:rsidRPr="0024503A">
        <w:rPr>
          <w:rFonts w:ascii="Times New Roman" w:hAnsi="Times New Roman" w:cs="Times New Roman"/>
          <w:sz w:val="24"/>
          <w:szCs w:val="24"/>
        </w:rPr>
        <w:t xml:space="preserve"> asub väheviljakatel aladel. Peamiseks väljakutseks on mahepõllumajanduse konkurentsivõime parandamine.</w:t>
      </w:r>
    </w:p>
    <w:p w:rsidR="00441276" w:rsidRPr="0024503A" w:rsidRDefault="00441276" w:rsidP="00617526">
      <w:pPr>
        <w:adjustRightInd w:val="0"/>
        <w:spacing w:line="276" w:lineRule="auto"/>
        <w:jc w:val="both"/>
        <w:rPr>
          <w:rFonts w:ascii="Times New Roman" w:hAnsi="Times New Roman" w:cs="Times New Roman"/>
          <w:sz w:val="24"/>
          <w:szCs w:val="24"/>
        </w:rPr>
      </w:pPr>
    </w:p>
    <w:p w:rsidR="00441276" w:rsidRPr="0024503A" w:rsidRDefault="00441276" w:rsidP="00617526">
      <w:pPr>
        <w:adjustRightInd w:val="0"/>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 xml:space="preserve">Seoses võimalustega turustada teravilja Euroopa Liidu riikidesse laieneb üha enam maheda toiduteravilja kasvatamine ning alguse on saanud mahetootjate hea turustusalane koostöö. Mahepõllumajanduse registri andmetel oli 2012. aastal 20 </w:t>
      </w:r>
      <w:r w:rsidR="00BA6AD0" w:rsidRPr="0024503A">
        <w:rPr>
          <w:rFonts w:ascii="Times New Roman" w:hAnsi="Times New Roman" w:cs="Times New Roman"/>
          <w:sz w:val="24"/>
          <w:szCs w:val="24"/>
        </w:rPr>
        <w:t>tuhat</w:t>
      </w:r>
      <w:r w:rsidRPr="0024503A">
        <w:rPr>
          <w:rFonts w:ascii="Times New Roman" w:hAnsi="Times New Roman" w:cs="Times New Roman"/>
          <w:sz w:val="24"/>
          <w:szCs w:val="24"/>
        </w:rPr>
        <w:t xml:space="preserve"> h</w:t>
      </w:r>
      <w:r w:rsidR="006F4CB2" w:rsidRPr="0024503A">
        <w:rPr>
          <w:rFonts w:ascii="Times New Roman" w:hAnsi="Times New Roman" w:cs="Times New Roman"/>
          <w:sz w:val="24"/>
          <w:szCs w:val="24"/>
        </w:rPr>
        <w:t>ektari</w:t>
      </w:r>
      <w:r w:rsidRPr="0024503A">
        <w:rPr>
          <w:rFonts w:ascii="Times New Roman" w:hAnsi="Times New Roman" w:cs="Times New Roman"/>
          <w:sz w:val="24"/>
          <w:szCs w:val="24"/>
        </w:rPr>
        <w:t xml:space="preserve"> (ca </w:t>
      </w:r>
      <w:r w:rsidR="00E5257B">
        <w:rPr>
          <w:rFonts w:ascii="Times New Roman" w:hAnsi="Times New Roman" w:cs="Times New Roman"/>
          <w:sz w:val="24"/>
          <w:szCs w:val="24"/>
        </w:rPr>
        <w:t>7</w:t>
      </w:r>
      <w:r w:rsidRPr="0024503A">
        <w:rPr>
          <w:rFonts w:ascii="Times New Roman" w:hAnsi="Times New Roman" w:cs="Times New Roman"/>
          <w:sz w:val="24"/>
          <w:szCs w:val="24"/>
        </w:rPr>
        <w:t xml:space="preserve">% </w:t>
      </w:r>
      <w:r w:rsidR="00E5257B">
        <w:rPr>
          <w:rFonts w:ascii="Times New Roman" w:hAnsi="Times New Roman" w:cs="Times New Roman"/>
          <w:sz w:val="24"/>
          <w:szCs w:val="24"/>
        </w:rPr>
        <w:t xml:space="preserve">teravilja </w:t>
      </w:r>
      <w:r w:rsidRPr="0024503A">
        <w:rPr>
          <w:rFonts w:ascii="Times New Roman" w:hAnsi="Times New Roman" w:cs="Times New Roman"/>
          <w:sz w:val="24"/>
          <w:szCs w:val="24"/>
        </w:rPr>
        <w:t>kogu</w:t>
      </w:r>
      <w:r w:rsidR="004139F6">
        <w:rPr>
          <w:rFonts w:ascii="Times New Roman" w:hAnsi="Times New Roman" w:cs="Times New Roman"/>
          <w:sz w:val="24"/>
          <w:szCs w:val="24"/>
        </w:rPr>
        <w:t xml:space="preserve"> kasvu</w:t>
      </w:r>
      <w:r w:rsidRPr="0024503A">
        <w:rPr>
          <w:rFonts w:ascii="Times New Roman" w:hAnsi="Times New Roman" w:cs="Times New Roman"/>
          <w:sz w:val="24"/>
          <w:szCs w:val="24"/>
        </w:rPr>
        <w:t xml:space="preserve">pinnast) üleminekuaja läbinud maa teraviljatoodang kokku </w:t>
      </w:r>
      <w:r w:rsidR="006F4CB2" w:rsidRPr="0024503A">
        <w:rPr>
          <w:rFonts w:ascii="Times New Roman" w:hAnsi="Times New Roman" w:cs="Times New Roman"/>
          <w:sz w:val="24"/>
          <w:szCs w:val="24"/>
        </w:rPr>
        <w:t>34,1 tuhat</w:t>
      </w:r>
      <w:r w:rsidRPr="0024503A">
        <w:rPr>
          <w:rFonts w:ascii="Times New Roman" w:hAnsi="Times New Roman" w:cs="Times New Roman"/>
          <w:sz w:val="24"/>
          <w:szCs w:val="24"/>
        </w:rPr>
        <w:t xml:space="preserve"> tonni</w:t>
      </w:r>
      <w:r w:rsidR="00DE7406" w:rsidRPr="0024503A">
        <w:rPr>
          <w:rFonts w:ascii="Times New Roman" w:hAnsi="Times New Roman" w:cs="Times New Roman"/>
          <w:sz w:val="24"/>
          <w:szCs w:val="24"/>
        </w:rPr>
        <w:t>, mis on 3,4</w:t>
      </w:r>
      <w:r w:rsidRPr="0024503A">
        <w:rPr>
          <w:rFonts w:ascii="Times New Roman" w:hAnsi="Times New Roman" w:cs="Times New Roman"/>
          <w:sz w:val="24"/>
          <w:szCs w:val="24"/>
        </w:rPr>
        <w:t xml:space="preserve">% teravilja kogusaagist. </w:t>
      </w:r>
    </w:p>
    <w:p w:rsidR="00441276" w:rsidRPr="0024503A" w:rsidRDefault="00441276" w:rsidP="00617526">
      <w:pPr>
        <w:adjustRightInd w:val="0"/>
        <w:spacing w:line="276" w:lineRule="auto"/>
        <w:jc w:val="both"/>
        <w:rPr>
          <w:rFonts w:ascii="Times New Roman" w:hAnsi="Times New Roman" w:cs="Times New Roman"/>
          <w:sz w:val="24"/>
          <w:szCs w:val="24"/>
        </w:rPr>
      </w:pPr>
    </w:p>
    <w:p w:rsidR="00441276" w:rsidRPr="0024503A" w:rsidRDefault="00441276" w:rsidP="00617526">
      <w:pPr>
        <w:adjustRightInd w:val="0"/>
        <w:spacing w:line="276" w:lineRule="auto"/>
        <w:jc w:val="both"/>
        <w:rPr>
          <w:rFonts w:ascii="Times New Roman" w:hAnsi="Times New Roman" w:cs="Times New Roman"/>
          <w:color w:val="000000"/>
          <w:sz w:val="24"/>
          <w:szCs w:val="24"/>
        </w:rPr>
      </w:pPr>
      <w:r w:rsidRPr="0024503A">
        <w:rPr>
          <w:rFonts w:ascii="Times New Roman" w:hAnsi="Times New Roman" w:cs="Times New Roman"/>
          <w:color w:val="000000"/>
          <w:sz w:val="24"/>
          <w:szCs w:val="24"/>
        </w:rPr>
        <w:t>Maheteravilja saagikus on võrreldes tavatootmisega keskmiselt 30% madalam, kuid viljakamatel muldadel kasvatades võib saagikus küündida tavateraviljale ligilähedale</w:t>
      </w:r>
      <w:r w:rsidR="00727AE1" w:rsidRPr="0024503A">
        <w:rPr>
          <w:rFonts w:ascii="Times New Roman" w:hAnsi="Times New Roman" w:cs="Times New Roman"/>
          <w:color w:val="000000"/>
          <w:sz w:val="24"/>
          <w:szCs w:val="24"/>
        </w:rPr>
        <w:t xml:space="preserve"> (joonis 14).</w:t>
      </w:r>
      <w:r w:rsidRPr="0024503A">
        <w:rPr>
          <w:rFonts w:ascii="Times New Roman" w:hAnsi="Times New Roman" w:cs="Times New Roman"/>
          <w:color w:val="000000"/>
          <w:sz w:val="24"/>
          <w:szCs w:val="24"/>
        </w:rPr>
        <w:t xml:space="preserve"> </w:t>
      </w:r>
      <w:r w:rsidR="00727AE1" w:rsidRPr="0024503A">
        <w:rPr>
          <w:rFonts w:ascii="Times New Roman" w:hAnsi="Times New Roman" w:cs="Times New Roman"/>
          <w:color w:val="000000"/>
          <w:sz w:val="24"/>
          <w:szCs w:val="24"/>
        </w:rPr>
        <w:t>Seda iseloomustab ka</w:t>
      </w:r>
      <w:r w:rsidRPr="0024503A">
        <w:rPr>
          <w:rFonts w:ascii="Times New Roman" w:hAnsi="Times New Roman" w:cs="Times New Roman"/>
          <w:color w:val="000000"/>
          <w:sz w:val="24"/>
          <w:szCs w:val="24"/>
        </w:rPr>
        <w:t xml:space="preserve"> aastatel 2008–2012 Eesti Taimekasvatuse Instituudis läbiviidud rakendusuuring „Tera- ja kaunviljade ning õlikultuuride mahepõllumajanduse tarbeks sobivate sortide valik, aretus, seemnekasvatus ja agrotehnika ning nende kultuuride maheviljeluse tulemuste võrdlemine </w:t>
      </w:r>
      <w:proofErr w:type="spellStart"/>
      <w:r w:rsidRPr="0024503A">
        <w:rPr>
          <w:rFonts w:ascii="Times New Roman" w:hAnsi="Times New Roman" w:cs="Times New Roman"/>
          <w:color w:val="000000"/>
          <w:sz w:val="24"/>
          <w:szCs w:val="24"/>
        </w:rPr>
        <w:t>tavapõllumajandusega</w:t>
      </w:r>
      <w:r w:rsidR="00280412" w:rsidRPr="00280412">
        <w:rPr>
          <w:rFonts w:ascii="Times New Roman" w:hAnsi="Times New Roman" w:cs="Times New Roman"/>
          <w:bCs/>
          <w:sz w:val="24"/>
          <w:szCs w:val="24"/>
        </w:rPr>
        <w:t>ˮ</w:t>
      </w:r>
      <w:proofErr w:type="spellEnd"/>
      <w:r w:rsidRPr="0024503A">
        <w:rPr>
          <w:rFonts w:ascii="Times New Roman" w:hAnsi="Times New Roman" w:cs="Times New Roman"/>
          <w:color w:val="000000"/>
          <w:sz w:val="24"/>
          <w:szCs w:val="24"/>
        </w:rPr>
        <w:t xml:space="preserve"> (edaspidi </w:t>
      </w:r>
      <w:r w:rsidRPr="00365C45">
        <w:rPr>
          <w:rFonts w:ascii="Times New Roman" w:hAnsi="Times New Roman" w:cs="Times New Roman"/>
          <w:i/>
          <w:color w:val="000000"/>
          <w:sz w:val="24"/>
          <w:szCs w:val="24"/>
        </w:rPr>
        <w:t>rakendusuuring</w:t>
      </w:r>
      <w:r w:rsidRPr="0024503A">
        <w:rPr>
          <w:rFonts w:ascii="Times New Roman" w:hAnsi="Times New Roman" w:cs="Times New Roman"/>
          <w:color w:val="000000"/>
          <w:sz w:val="24"/>
          <w:szCs w:val="24"/>
        </w:rPr>
        <w:t>).</w:t>
      </w:r>
    </w:p>
    <w:p w:rsidR="00E062AF" w:rsidRPr="00D549C9" w:rsidRDefault="00E062AF" w:rsidP="00617526">
      <w:pPr>
        <w:adjustRightInd w:val="0"/>
        <w:spacing w:line="276" w:lineRule="auto"/>
        <w:jc w:val="both"/>
        <w:rPr>
          <w:sz w:val="24"/>
          <w:szCs w:val="24"/>
        </w:rPr>
      </w:pPr>
    </w:p>
    <w:p w:rsidR="00441276" w:rsidRPr="00D549C9" w:rsidRDefault="00441276" w:rsidP="00617526">
      <w:pPr>
        <w:pStyle w:val="Standard"/>
        <w:spacing w:line="276" w:lineRule="auto"/>
        <w:jc w:val="both"/>
        <w:rPr>
          <w:rFonts w:asciiTheme="majorHAnsi" w:hAnsiTheme="majorHAnsi"/>
        </w:rPr>
      </w:pPr>
      <w:r w:rsidRPr="00D549C9">
        <w:rPr>
          <w:rFonts w:asciiTheme="majorHAnsi" w:hAnsiTheme="majorHAnsi"/>
          <w:noProof/>
          <w:lang w:eastAsia="et-EE"/>
        </w:rPr>
        <w:lastRenderedPageBreak/>
        <w:drawing>
          <wp:inline distT="0" distB="0" distL="0" distR="0" wp14:anchorId="57105BFD" wp14:editId="29A5DE24">
            <wp:extent cx="6029325" cy="2419350"/>
            <wp:effectExtent l="0" t="0" r="0" b="0"/>
            <wp:docPr id="10" name="Picture 10" descr="C:\Users\krand\Pictures\ma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nd\Pictures\mah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30999" cy="2420022"/>
                    </a:xfrm>
                    <a:prstGeom prst="rect">
                      <a:avLst/>
                    </a:prstGeom>
                    <a:noFill/>
                    <a:ln>
                      <a:noFill/>
                    </a:ln>
                  </pic:spPr>
                </pic:pic>
              </a:graphicData>
            </a:graphic>
          </wp:inline>
        </w:drawing>
      </w:r>
    </w:p>
    <w:p w:rsidR="00441276" w:rsidRPr="00CF6DC3" w:rsidRDefault="00441276" w:rsidP="00617526">
      <w:pPr>
        <w:pStyle w:val="Textbody"/>
        <w:spacing w:line="276" w:lineRule="auto"/>
        <w:rPr>
          <w:rFonts w:ascii="Arial" w:hAnsi="Arial" w:cs="Arial"/>
          <w:sz w:val="20"/>
          <w:szCs w:val="20"/>
        </w:rPr>
      </w:pPr>
      <w:r w:rsidRPr="00CF6DC3">
        <w:rPr>
          <w:rFonts w:ascii="Arial" w:hAnsi="Arial" w:cs="Arial"/>
          <w:sz w:val="20"/>
          <w:szCs w:val="20"/>
        </w:rPr>
        <w:t>Allikas: ETKI maheviljeluse alane rakendusuuring 2008–2012</w:t>
      </w:r>
    </w:p>
    <w:p w:rsidR="00441276" w:rsidRPr="0024503A" w:rsidRDefault="00441276" w:rsidP="00617526">
      <w:pPr>
        <w:pStyle w:val="Textbody"/>
        <w:spacing w:line="276" w:lineRule="auto"/>
        <w:rPr>
          <w:rFonts w:cs="Times New Roman"/>
          <w:b/>
        </w:rPr>
      </w:pPr>
      <w:r w:rsidRPr="0024503A">
        <w:rPr>
          <w:rFonts w:cs="Times New Roman"/>
          <w:b/>
        </w:rPr>
        <w:t>Joonis</w:t>
      </w:r>
      <w:r w:rsidR="00727AE1" w:rsidRPr="0024503A">
        <w:rPr>
          <w:rFonts w:cs="Times New Roman"/>
          <w:b/>
        </w:rPr>
        <w:t xml:space="preserve"> 14</w:t>
      </w:r>
      <w:r w:rsidRPr="0024503A">
        <w:rPr>
          <w:rFonts w:cs="Times New Roman"/>
          <w:b/>
        </w:rPr>
        <w:t>. Talinisu mahe- ja ta</w:t>
      </w:r>
      <w:r w:rsidR="00CF6DC3">
        <w:rPr>
          <w:rFonts w:cs="Times New Roman"/>
          <w:b/>
        </w:rPr>
        <w:t>vakatse saagikus aastatel 2008–</w:t>
      </w:r>
      <w:r w:rsidRPr="0024503A">
        <w:rPr>
          <w:rFonts w:cs="Times New Roman"/>
          <w:b/>
        </w:rPr>
        <w:t>2012</w:t>
      </w:r>
    </w:p>
    <w:p w:rsidR="00441276" w:rsidRPr="0024503A" w:rsidRDefault="00441276" w:rsidP="00617526">
      <w:pPr>
        <w:pStyle w:val="Standard"/>
        <w:spacing w:line="276" w:lineRule="auto"/>
        <w:jc w:val="both"/>
        <w:rPr>
          <w:rFonts w:cs="Times New Roman"/>
          <w:lang w:eastAsia="et-EE"/>
        </w:rPr>
      </w:pPr>
    </w:p>
    <w:p w:rsidR="009868A7" w:rsidRDefault="006D20B0" w:rsidP="00617526">
      <w:pPr>
        <w:pStyle w:val="Standard"/>
        <w:spacing w:line="276" w:lineRule="auto"/>
        <w:jc w:val="both"/>
        <w:rPr>
          <w:rFonts w:cs="Times New Roman"/>
          <w:lang w:eastAsia="et-EE"/>
        </w:rPr>
      </w:pPr>
      <w:r>
        <w:rPr>
          <w:rFonts w:cs="Times New Roman"/>
          <w:lang w:eastAsia="et-EE"/>
        </w:rPr>
        <w:t>Kuna m</w:t>
      </w:r>
      <w:r w:rsidR="00441276" w:rsidRPr="0024503A">
        <w:rPr>
          <w:rFonts w:cs="Times New Roman"/>
          <w:lang w:eastAsia="et-EE"/>
        </w:rPr>
        <w:t>aheviljeluses</w:t>
      </w:r>
      <w:r w:rsidR="00C277C6" w:rsidRPr="00C277C6">
        <w:rPr>
          <w:rFonts w:cs="Times New Roman"/>
          <w:lang w:eastAsia="et-EE"/>
        </w:rPr>
        <w:t xml:space="preserve"> </w:t>
      </w:r>
      <w:r>
        <w:rPr>
          <w:rFonts w:cs="Times New Roman"/>
          <w:lang w:eastAsia="et-EE"/>
        </w:rPr>
        <w:t>kasvatatakse taimi</w:t>
      </w:r>
      <w:r w:rsidR="00C277C6" w:rsidRPr="0024503A">
        <w:rPr>
          <w:rFonts w:cs="Times New Roman"/>
          <w:lang w:eastAsia="et-EE"/>
        </w:rPr>
        <w:t xml:space="preserve"> </w:t>
      </w:r>
      <w:r w:rsidR="00441276" w:rsidRPr="0024503A">
        <w:rPr>
          <w:rFonts w:cs="Times New Roman"/>
          <w:lang w:eastAsia="et-EE"/>
        </w:rPr>
        <w:t>mineraalväetisi ja keemilisi taimekaitsevahendeid</w:t>
      </w:r>
      <w:r>
        <w:rPr>
          <w:rFonts w:cs="Times New Roman"/>
          <w:lang w:eastAsia="et-EE"/>
        </w:rPr>
        <w:t xml:space="preserve"> kasutamata, </w:t>
      </w:r>
      <w:r w:rsidR="00441276" w:rsidRPr="0024503A">
        <w:rPr>
          <w:rFonts w:cs="Times New Roman"/>
          <w:lang w:eastAsia="et-EE"/>
        </w:rPr>
        <w:t xml:space="preserve">on mahetootmises kasvatatavatele teravilja ja õlikultuuride sortidele esitatavad nõuded erinevad </w:t>
      </w:r>
      <w:r>
        <w:rPr>
          <w:rFonts w:cs="Times New Roman"/>
          <w:lang w:eastAsia="et-EE"/>
        </w:rPr>
        <w:t>tavatootmise nõuetest</w:t>
      </w:r>
      <w:r w:rsidR="00441276" w:rsidRPr="0024503A">
        <w:rPr>
          <w:rFonts w:cs="Times New Roman"/>
          <w:lang w:eastAsia="et-EE"/>
        </w:rPr>
        <w:t xml:space="preserve">. Maheviljeluses kasvatatavad sordid peavad olema võimelised andma head ja stabiilset saaki ka mõõduka ning ebaühtlase mullaviljakuse korral, millest tulenevalt on selles tootmisviisis hinnatud hea toitainete omastamise võimega sordid – hästi arenenud, suurema ja sügavama juurestikuga. Kaasaegsed </w:t>
      </w:r>
      <w:r w:rsidR="0012393F">
        <w:rPr>
          <w:rFonts w:cs="Times New Roman"/>
          <w:lang w:eastAsia="et-EE"/>
        </w:rPr>
        <w:t>intensiivseks kasvatamiseks mõeldud</w:t>
      </w:r>
      <w:r w:rsidR="00441276" w:rsidRPr="0024503A">
        <w:rPr>
          <w:rFonts w:cs="Times New Roman"/>
          <w:lang w:eastAsia="et-EE"/>
        </w:rPr>
        <w:t xml:space="preserve"> sordid on sageli väikese juurestikuga, olles saagikad vaid suurte mineraalväetiste koguste jaotatud andmise korral. </w:t>
      </w:r>
    </w:p>
    <w:p w:rsidR="009868A7" w:rsidRDefault="009868A7" w:rsidP="00617526">
      <w:pPr>
        <w:pStyle w:val="Standard"/>
        <w:spacing w:line="276" w:lineRule="auto"/>
        <w:jc w:val="both"/>
        <w:rPr>
          <w:rFonts w:cs="Times New Roman"/>
          <w:lang w:eastAsia="et-EE"/>
        </w:rPr>
      </w:pPr>
    </w:p>
    <w:p w:rsidR="00441276" w:rsidRPr="0024503A" w:rsidRDefault="00441276" w:rsidP="00617526">
      <w:pPr>
        <w:pStyle w:val="Standard"/>
        <w:spacing w:line="276" w:lineRule="auto"/>
        <w:jc w:val="both"/>
        <w:rPr>
          <w:rFonts w:cs="Times New Roman"/>
          <w:lang w:eastAsia="et-EE"/>
        </w:rPr>
      </w:pPr>
      <w:r w:rsidRPr="0024503A">
        <w:rPr>
          <w:rFonts w:cs="Times New Roman"/>
          <w:lang w:eastAsia="et-EE"/>
        </w:rPr>
        <w:t xml:space="preserve">Maheviljelus on </w:t>
      </w:r>
      <w:r w:rsidR="009868A7">
        <w:rPr>
          <w:rFonts w:cs="Times New Roman"/>
          <w:lang w:eastAsia="et-EE"/>
        </w:rPr>
        <w:t xml:space="preserve">ühtlasi </w:t>
      </w:r>
      <w:r w:rsidRPr="0024503A">
        <w:rPr>
          <w:rFonts w:cs="Times New Roman"/>
          <w:lang w:eastAsia="et-EE"/>
        </w:rPr>
        <w:t>sobiv võimalus väärtustada rahvusl</w:t>
      </w:r>
      <w:r w:rsidR="0041256C">
        <w:rPr>
          <w:rFonts w:cs="Times New Roman"/>
          <w:lang w:eastAsia="et-EE"/>
        </w:rPr>
        <w:t>ikku pärandit. Näiteks talirukki</w:t>
      </w:r>
      <w:r w:rsidRPr="0024503A">
        <w:rPr>
          <w:rFonts w:cs="Times New Roman"/>
          <w:lang w:eastAsia="et-EE"/>
        </w:rPr>
        <w:t xml:space="preserve"> „</w:t>
      </w:r>
      <w:proofErr w:type="spellStart"/>
      <w:r w:rsidRPr="0024503A">
        <w:rPr>
          <w:rFonts w:cs="Times New Roman"/>
          <w:lang w:eastAsia="et-EE"/>
        </w:rPr>
        <w:t>Sangaste</w:t>
      </w:r>
      <w:r w:rsidR="00A14640" w:rsidRPr="000771AA">
        <w:rPr>
          <w:bCs/>
        </w:rPr>
        <w:t>ˮ</w:t>
      </w:r>
      <w:proofErr w:type="spellEnd"/>
      <w:r w:rsidR="009868A7">
        <w:rPr>
          <w:rFonts w:cs="Times New Roman"/>
          <w:lang w:eastAsia="et-EE"/>
        </w:rPr>
        <w:t>,</w:t>
      </w:r>
      <w:r w:rsidRPr="0024503A">
        <w:rPr>
          <w:rFonts w:cs="Times New Roman"/>
          <w:lang w:eastAsia="et-EE"/>
        </w:rPr>
        <w:t xml:space="preserve"> mille sünniaastaks võib luge</w:t>
      </w:r>
      <w:r w:rsidR="009868A7">
        <w:rPr>
          <w:rFonts w:cs="Times New Roman"/>
          <w:lang w:eastAsia="et-EE"/>
        </w:rPr>
        <w:t xml:space="preserve">da 1875, </w:t>
      </w:r>
      <w:r w:rsidR="00DF03AA">
        <w:rPr>
          <w:rFonts w:cs="Times New Roman"/>
          <w:lang w:eastAsia="et-EE"/>
        </w:rPr>
        <w:t>puhul on</w:t>
      </w:r>
      <w:r w:rsidRPr="0024503A">
        <w:rPr>
          <w:rFonts w:cs="Times New Roman"/>
          <w:lang w:eastAsia="et-EE"/>
        </w:rPr>
        <w:t xml:space="preserve"> tegemist vanima praegusel ajal tootmises oleva kultuurrukki sordiga. Sellest tulenevalt on Eesti riik selle sordi kaitseks ja säilimiseks </w:t>
      </w:r>
      <w:r w:rsidR="009868A7">
        <w:rPr>
          <w:rFonts w:cs="Times New Roman"/>
          <w:lang w:eastAsia="et-EE"/>
        </w:rPr>
        <w:t>MAK kaudu ette näinud</w:t>
      </w:r>
      <w:r w:rsidRPr="0024503A">
        <w:rPr>
          <w:rFonts w:cs="Times New Roman"/>
          <w:lang w:eastAsia="et-EE"/>
        </w:rPr>
        <w:t xml:space="preserve"> kohalikku sorti taimede kasvatamise toetuse.</w:t>
      </w:r>
    </w:p>
    <w:p w:rsidR="00441276" w:rsidRPr="0024503A" w:rsidRDefault="00441276" w:rsidP="00617526">
      <w:pPr>
        <w:pStyle w:val="Standard"/>
        <w:spacing w:line="276" w:lineRule="auto"/>
        <w:jc w:val="both"/>
        <w:rPr>
          <w:rFonts w:cs="Times New Roman"/>
          <w:lang w:eastAsia="et-EE"/>
        </w:rPr>
      </w:pPr>
    </w:p>
    <w:p w:rsidR="00441276" w:rsidRPr="0024503A" w:rsidRDefault="00441276" w:rsidP="00617526">
      <w:pPr>
        <w:pStyle w:val="Standard"/>
        <w:spacing w:line="276" w:lineRule="auto"/>
        <w:jc w:val="both"/>
        <w:rPr>
          <w:rFonts w:cs="Times New Roman"/>
          <w:lang w:eastAsia="et-EE"/>
        </w:rPr>
      </w:pPr>
      <w:r w:rsidRPr="0024503A">
        <w:rPr>
          <w:rFonts w:cs="Times New Roman"/>
          <w:lang w:eastAsia="et-EE"/>
        </w:rPr>
        <w:t>Maheseemnekasvatus on samuti üks tehnoloogilisi võtmeküsimusi mahetootmises. Mahetootmise rakendusuuringu käigus selgus, et negatiivseid muutusi seemn</w:t>
      </w:r>
      <w:r w:rsidR="004435BD">
        <w:rPr>
          <w:rFonts w:cs="Times New Roman"/>
          <w:lang w:eastAsia="et-EE"/>
        </w:rPr>
        <w:t>ete kvaliteedi osas ei ilmnenud, seega on</w:t>
      </w:r>
      <w:r w:rsidRPr="0024503A">
        <w:rPr>
          <w:rFonts w:cs="Times New Roman"/>
          <w:lang w:eastAsia="et-EE"/>
        </w:rPr>
        <w:t xml:space="preserve"> </w:t>
      </w:r>
      <w:r w:rsidR="004435BD">
        <w:rPr>
          <w:rFonts w:cs="Times New Roman"/>
          <w:lang w:eastAsia="et-EE"/>
        </w:rPr>
        <w:t xml:space="preserve">maheseemne </w:t>
      </w:r>
      <w:r w:rsidRPr="0024503A">
        <w:rPr>
          <w:rFonts w:cs="Times New Roman"/>
          <w:lang w:eastAsia="et-EE"/>
        </w:rPr>
        <w:t>roll aasta aastalt suurenenud saagi ja kvaliteedi paranemise osas.</w:t>
      </w:r>
    </w:p>
    <w:p w:rsidR="00441276" w:rsidRPr="0024503A" w:rsidRDefault="00441276" w:rsidP="00617526">
      <w:pPr>
        <w:adjustRightInd w:val="0"/>
        <w:spacing w:line="276" w:lineRule="auto"/>
        <w:jc w:val="both"/>
        <w:rPr>
          <w:rFonts w:ascii="Times New Roman" w:hAnsi="Times New Roman" w:cs="Times New Roman"/>
          <w:sz w:val="24"/>
          <w:szCs w:val="24"/>
        </w:rPr>
      </w:pPr>
    </w:p>
    <w:p w:rsidR="00441276" w:rsidRPr="0024503A" w:rsidRDefault="00441276" w:rsidP="00617526">
      <w:pPr>
        <w:adjustRightInd w:val="0"/>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Võrreldes 200</w:t>
      </w:r>
      <w:r w:rsidR="004E0452">
        <w:rPr>
          <w:rFonts w:ascii="Times New Roman" w:hAnsi="Times New Roman" w:cs="Times New Roman"/>
          <w:sz w:val="24"/>
          <w:szCs w:val="24"/>
        </w:rPr>
        <w:t>6</w:t>
      </w:r>
      <w:r w:rsidRPr="0024503A">
        <w:rPr>
          <w:rFonts w:ascii="Times New Roman" w:hAnsi="Times New Roman" w:cs="Times New Roman"/>
          <w:sz w:val="24"/>
          <w:szCs w:val="24"/>
        </w:rPr>
        <w:t>. aastaga on</w:t>
      </w:r>
      <w:r w:rsidR="00A0694F">
        <w:rPr>
          <w:rFonts w:ascii="Times New Roman" w:hAnsi="Times New Roman" w:cs="Times New Roman"/>
          <w:sz w:val="24"/>
          <w:szCs w:val="24"/>
        </w:rPr>
        <w:t xml:space="preserve"> 2013. aastaks</w:t>
      </w:r>
      <w:r w:rsidRPr="0024503A">
        <w:rPr>
          <w:rFonts w:ascii="Times New Roman" w:hAnsi="Times New Roman" w:cs="Times New Roman"/>
          <w:sz w:val="24"/>
          <w:szCs w:val="24"/>
        </w:rPr>
        <w:t xml:space="preserve"> </w:t>
      </w:r>
      <w:r w:rsidR="00A0694F" w:rsidRPr="0024503A">
        <w:rPr>
          <w:rFonts w:ascii="Times New Roman" w:hAnsi="Times New Roman" w:cs="Times New Roman"/>
          <w:sz w:val="24"/>
          <w:szCs w:val="24"/>
        </w:rPr>
        <w:t>tehniliste kultuuride (eelkõige maherapsi</w:t>
      </w:r>
      <w:r w:rsidR="00A0694F">
        <w:rPr>
          <w:rFonts w:ascii="Times New Roman" w:hAnsi="Times New Roman" w:cs="Times New Roman"/>
          <w:sz w:val="24"/>
          <w:szCs w:val="24"/>
        </w:rPr>
        <w:t xml:space="preserve"> ja -</w:t>
      </w:r>
      <w:proofErr w:type="spellStart"/>
      <w:r w:rsidR="00A0694F">
        <w:rPr>
          <w:rFonts w:ascii="Times New Roman" w:hAnsi="Times New Roman" w:cs="Times New Roman"/>
          <w:sz w:val="24"/>
          <w:szCs w:val="24"/>
        </w:rPr>
        <w:t>rüpsi</w:t>
      </w:r>
      <w:proofErr w:type="spellEnd"/>
      <w:r w:rsidR="00A0694F" w:rsidRPr="0024503A">
        <w:rPr>
          <w:rFonts w:ascii="Times New Roman" w:hAnsi="Times New Roman" w:cs="Times New Roman"/>
          <w:sz w:val="24"/>
          <w:szCs w:val="24"/>
        </w:rPr>
        <w:t>) kasvupind</w:t>
      </w:r>
      <w:r w:rsidR="00A0694F">
        <w:rPr>
          <w:rFonts w:ascii="Times New Roman" w:hAnsi="Times New Roman" w:cs="Times New Roman"/>
          <w:sz w:val="24"/>
          <w:szCs w:val="24"/>
        </w:rPr>
        <w:t xml:space="preserve"> suurenenud</w:t>
      </w:r>
      <w:r w:rsidR="00A0694F" w:rsidRPr="0024503A">
        <w:rPr>
          <w:rFonts w:ascii="Times New Roman" w:hAnsi="Times New Roman" w:cs="Times New Roman"/>
          <w:sz w:val="24"/>
          <w:szCs w:val="24"/>
        </w:rPr>
        <w:t xml:space="preserve"> </w:t>
      </w:r>
      <w:r w:rsidR="00A0694F">
        <w:rPr>
          <w:rFonts w:ascii="Times New Roman" w:hAnsi="Times New Roman" w:cs="Times New Roman"/>
          <w:sz w:val="24"/>
          <w:szCs w:val="24"/>
        </w:rPr>
        <w:t>11 korda</w:t>
      </w:r>
      <w:r w:rsidRPr="0024503A">
        <w:rPr>
          <w:rFonts w:ascii="Times New Roman" w:hAnsi="Times New Roman" w:cs="Times New Roman"/>
          <w:sz w:val="24"/>
          <w:szCs w:val="24"/>
        </w:rPr>
        <w:t xml:space="preserve">. </w:t>
      </w:r>
      <w:r w:rsidR="0011136A">
        <w:rPr>
          <w:rFonts w:ascii="Times New Roman" w:hAnsi="Times New Roman" w:cs="Times New Roman"/>
          <w:sz w:val="24"/>
          <w:szCs w:val="24"/>
        </w:rPr>
        <w:t>Mahedalt k</w:t>
      </w:r>
      <w:r w:rsidRPr="0024503A">
        <w:rPr>
          <w:rFonts w:ascii="Times New Roman" w:hAnsi="Times New Roman" w:cs="Times New Roman"/>
          <w:sz w:val="24"/>
          <w:szCs w:val="24"/>
        </w:rPr>
        <w:t>asvatatakse ka lina, valget sinepit, kanepit, köömet, tutra ja õlirõigast. Tehniliste kultuuride kasvupind</w:t>
      </w:r>
      <w:r w:rsidR="00BD2D22" w:rsidRPr="0024503A">
        <w:rPr>
          <w:rFonts w:ascii="Times New Roman" w:hAnsi="Times New Roman" w:cs="Times New Roman"/>
          <w:sz w:val="24"/>
          <w:szCs w:val="24"/>
        </w:rPr>
        <w:t xml:space="preserve"> oli 2013</w:t>
      </w:r>
      <w:r w:rsidRPr="0024503A">
        <w:rPr>
          <w:rFonts w:ascii="Times New Roman" w:hAnsi="Times New Roman" w:cs="Times New Roman"/>
          <w:sz w:val="24"/>
          <w:szCs w:val="24"/>
        </w:rPr>
        <w:t xml:space="preserve">. aastal kokku </w:t>
      </w:r>
      <w:r w:rsidR="00BD2D22" w:rsidRPr="0024503A">
        <w:rPr>
          <w:rFonts w:ascii="Times New Roman" w:hAnsi="Times New Roman" w:cs="Times New Roman"/>
          <w:sz w:val="24"/>
          <w:szCs w:val="24"/>
        </w:rPr>
        <w:t>3,4</w:t>
      </w:r>
      <w:r w:rsidR="006F4CB2" w:rsidRPr="0024503A">
        <w:rPr>
          <w:rFonts w:ascii="Times New Roman" w:hAnsi="Times New Roman" w:cs="Times New Roman"/>
          <w:sz w:val="24"/>
          <w:szCs w:val="24"/>
        </w:rPr>
        <w:t xml:space="preserve"> tuhat hektarit</w:t>
      </w:r>
      <w:r w:rsidR="00BD2D22" w:rsidRPr="0024503A">
        <w:rPr>
          <w:rFonts w:ascii="Times New Roman" w:hAnsi="Times New Roman" w:cs="Times New Roman"/>
          <w:sz w:val="24"/>
          <w:szCs w:val="24"/>
        </w:rPr>
        <w:t>.</w:t>
      </w:r>
    </w:p>
    <w:p w:rsidR="00441276" w:rsidRPr="0024503A" w:rsidRDefault="00441276" w:rsidP="00617526">
      <w:pPr>
        <w:pStyle w:val="Textbody"/>
        <w:spacing w:line="276" w:lineRule="auto"/>
        <w:rPr>
          <w:rFonts w:cs="Times New Roman"/>
        </w:rPr>
      </w:pPr>
    </w:p>
    <w:p w:rsidR="00441276" w:rsidRDefault="00441276" w:rsidP="00617526">
      <w:pPr>
        <w:suppressAutoHyphens/>
        <w:spacing w:line="276" w:lineRule="auto"/>
        <w:jc w:val="both"/>
        <w:textAlignment w:val="baseline"/>
        <w:rPr>
          <w:rFonts w:ascii="Times New Roman" w:hAnsi="Times New Roman" w:cs="Times New Roman"/>
          <w:color w:val="000000"/>
          <w:kern w:val="3"/>
          <w:sz w:val="24"/>
          <w:szCs w:val="24"/>
        </w:rPr>
      </w:pPr>
      <w:r w:rsidRPr="0024503A">
        <w:rPr>
          <w:rFonts w:ascii="Times New Roman" w:hAnsi="Times New Roman" w:cs="Times New Roman"/>
          <w:color w:val="000000"/>
          <w:kern w:val="3"/>
          <w:sz w:val="24"/>
          <w:szCs w:val="24"/>
        </w:rPr>
        <w:t>Tera- ja kaunviljade ning õlikultuuride kvaliteedinõuded on mahetootmises enamasti samad, mis tavatootmises. Mahetootjad peavad pöörama aga oma toodangu kvaliteedile eriti suurt tähelepanu, kuna see tootmisviis on orienteeritud tervisliku kvaliteettoidu tootmisele. Maheviljeluses on kriitilise tähtsusega nisu proteiini- ja kleepvalgusisaldus. Hea küpsetuskvaliteedi saamiseks tuleks maheviljeluses eelistada kõrge proteiini sisaldusega sorte ning kasutada sordi kvaliteedipotentsiaali avaldumist võimaldavat kasvatustehnoloogiat. Sellisel juhul on võimalik saada sobiv küpsetuskvaliteet nii suvi- kui talinisu kasvatades.</w:t>
      </w:r>
    </w:p>
    <w:p w:rsidR="002F74D9" w:rsidRPr="0024503A" w:rsidRDefault="002F74D9" w:rsidP="00617526">
      <w:pPr>
        <w:suppressAutoHyphens/>
        <w:spacing w:line="276" w:lineRule="auto"/>
        <w:jc w:val="both"/>
        <w:textAlignment w:val="baseline"/>
        <w:rPr>
          <w:rFonts w:ascii="Times New Roman" w:hAnsi="Times New Roman" w:cs="Times New Roman"/>
          <w:color w:val="000000"/>
          <w:kern w:val="3"/>
          <w:sz w:val="24"/>
          <w:szCs w:val="24"/>
        </w:rPr>
      </w:pPr>
    </w:p>
    <w:p w:rsidR="00441276" w:rsidRPr="0024503A" w:rsidRDefault="00441276" w:rsidP="00617526">
      <w:pPr>
        <w:suppressAutoHyphens/>
        <w:spacing w:line="276" w:lineRule="auto"/>
        <w:jc w:val="both"/>
        <w:textAlignment w:val="baseline"/>
        <w:rPr>
          <w:rFonts w:ascii="Times New Roman" w:hAnsi="Times New Roman" w:cs="Times New Roman"/>
          <w:color w:val="000000"/>
          <w:kern w:val="3"/>
          <w:sz w:val="24"/>
          <w:szCs w:val="24"/>
        </w:rPr>
      </w:pPr>
      <w:r w:rsidRPr="0024503A">
        <w:rPr>
          <w:rFonts w:ascii="Times New Roman" w:hAnsi="Times New Roman" w:cs="Times New Roman"/>
          <w:color w:val="000000"/>
          <w:kern w:val="3"/>
          <w:sz w:val="24"/>
          <w:szCs w:val="24"/>
        </w:rPr>
        <w:lastRenderedPageBreak/>
        <w:t xml:space="preserve">Maheteraviljakasvatuse kitsaskohaks tavaviljelusega võrreldes </w:t>
      </w:r>
      <w:r w:rsidR="009868A7">
        <w:rPr>
          <w:rFonts w:ascii="Times New Roman" w:hAnsi="Times New Roman" w:cs="Times New Roman"/>
          <w:color w:val="000000"/>
          <w:kern w:val="3"/>
          <w:sz w:val="24"/>
          <w:szCs w:val="24"/>
        </w:rPr>
        <w:t>on</w:t>
      </w:r>
      <w:r w:rsidRPr="0024503A">
        <w:rPr>
          <w:rFonts w:ascii="Times New Roman" w:hAnsi="Times New Roman" w:cs="Times New Roman"/>
          <w:color w:val="000000"/>
          <w:kern w:val="3"/>
          <w:sz w:val="24"/>
          <w:szCs w:val="24"/>
        </w:rPr>
        <w:t xml:space="preserve"> ka külvikorra madalam tootlikkus, mis tuleneb </w:t>
      </w:r>
      <w:r w:rsidR="007035A8">
        <w:rPr>
          <w:rFonts w:ascii="Times New Roman" w:hAnsi="Times New Roman" w:cs="Times New Roman"/>
          <w:color w:val="000000"/>
          <w:kern w:val="3"/>
          <w:sz w:val="24"/>
          <w:szCs w:val="24"/>
        </w:rPr>
        <w:t>vahe</w:t>
      </w:r>
      <w:r w:rsidR="007035A8" w:rsidRPr="0024503A">
        <w:rPr>
          <w:rFonts w:ascii="Times New Roman" w:hAnsi="Times New Roman" w:cs="Times New Roman"/>
          <w:color w:val="000000"/>
          <w:kern w:val="3"/>
          <w:sz w:val="24"/>
          <w:szCs w:val="24"/>
        </w:rPr>
        <w:t xml:space="preserve">kultuuride </w:t>
      </w:r>
      <w:r w:rsidRPr="0024503A">
        <w:rPr>
          <w:rFonts w:ascii="Times New Roman" w:hAnsi="Times New Roman" w:cs="Times New Roman"/>
          <w:color w:val="000000"/>
          <w:kern w:val="3"/>
          <w:sz w:val="24"/>
          <w:szCs w:val="24"/>
        </w:rPr>
        <w:t>kasvatamis</w:t>
      </w:r>
      <w:r w:rsidR="007035A8">
        <w:rPr>
          <w:rFonts w:ascii="Times New Roman" w:hAnsi="Times New Roman" w:cs="Times New Roman"/>
          <w:color w:val="000000"/>
          <w:kern w:val="3"/>
          <w:sz w:val="24"/>
          <w:szCs w:val="24"/>
        </w:rPr>
        <w:t>e vajadusest</w:t>
      </w:r>
      <w:r w:rsidRPr="0024503A">
        <w:rPr>
          <w:rFonts w:ascii="Times New Roman" w:hAnsi="Times New Roman" w:cs="Times New Roman"/>
          <w:color w:val="000000"/>
          <w:kern w:val="3"/>
          <w:sz w:val="24"/>
          <w:szCs w:val="24"/>
        </w:rPr>
        <w:t>. Maheviljeluse üheks väljakutseks on sobiva kasvatustehnoloogia leidmine, kuna kasutatav kasvatustehnoloogia on sageli vaid tavatootmise lihtsustatud variant, milles on taimede kasvu toetav</w:t>
      </w:r>
      <w:r w:rsidR="00D0651C">
        <w:rPr>
          <w:rFonts w:ascii="Times New Roman" w:hAnsi="Times New Roman" w:cs="Times New Roman"/>
          <w:color w:val="000000"/>
          <w:kern w:val="3"/>
          <w:sz w:val="24"/>
          <w:szCs w:val="24"/>
        </w:rPr>
        <w:t>ad mineraalväetised ja keemilised taimekaitsevahendid</w:t>
      </w:r>
      <w:r w:rsidRPr="0024503A">
        <w:rPr>
          <w:rFonts w:ascii="Times New Roman" w:hAnsi="Times New Roman" w:cs="Times New Roman"/>
          <w:color w:val="000000"/>
          <w:kern w:val="3"/>
          <w:sz w:val="24"/>
          <w:szCs w:val="24"/>
        </w:rPr>
        <w:t xml:space="preserve"> ära jäetud, aga kõike muud tehakse samamoodi nagu tavaviljeluses. Maheviljeluse konkurentsi tõstmiseks on vaja katsetada ja kasutusele võtta uusi tehnoloogiaid, kus lisaks teistsugustele teadmistele kasutatakse ka teistsuguseid masinaid. Otsene vajadus on investeerida nii teadmistesse kui ka tootmisvahenditesse. Positiivseks näiteks võib lugeda alanud koostööd tootjate ja teadusasutuste vahel MAK 2007–2013 meetme 1.7.1 raames, leidmaks sobivamaid tehnoloogilisi lahendusi maheteravilja ja õlikultuuride tootmiseks. Lahendused, millega tegeletakse, aitaksid kaasa ka ühiskonna seisukohast kõige olulisemate probleemide lahendamisele nagu vastuvõetava hinnaga mahetoodangu kättesa</w:t>
      </w:r>
      <w:r w:rsidR="009868A7">
        <w:rPr>
          <w:rFonts w:ascii="Times New Roman" w:hAnsi="Times New Roman" w:cs="Times New Roman"/>
          <w:color w:val="000000"/>
          <w:kern w:val="3"/>
          <w:sz w:val="24"/>
          <w:szCs w:val="24"/>
        </w:rPr>
        <w:t>adavuse parandamisele, sortimend</w:t>
      </w:r>
      <w:r w:rsidRPr="0024503A">
        <w:rPr>
          <w:rFonts w:ascii="Times New Roman" w:hAnsi="Times New Roman" w:cs="Times New Roman"/>
          <w:color w:val="000000"/>
          <w:kern w:val="3"/>
          <w:sz w:val="24"/>
          <w:szCs w:val="24"/>
        </w:rPr>
        <w:t>i laienemisele ning mullaviljakuse tõstmisele. Positiivse arenguna võib märkida, et maheviljelus on Euroopa tasandil prioriteetne teema ja on käivitunud mahe EIP (Euroopa Innovatsioonipartnerlus), mille raames ühendatakse jõud, et leida lahendusi sektori arengut enim piiravatele teguritele.</w:t>
      </w:r>
    </w:p>
    <w:p w:rsidR="00441276" w:rsidRPr="0024503A" w:rsidRDefault="00441276" w:rsidP="00617526">
      <w:pPr>
        <w:suppressAutoHyphens/>
        <w:spacing w:line="276" w:lineRule="auto"/>
        <w:jc w:val="both"/>
        <w:textAlignment w:val="baseline"/>
        <w:rPr>
          <w:rFonts w:ascii="Times New Roman" w:hAnsi="Times New Roman" w:cs="Times New Roman"/>
          <w:color w:val="000000"/>
          <w:kern w:val="3"/>
          <w:sz w:val="24"/>
          <w:szCs w:val="24"/>
        </w:rPr>
      </w:pPr>
    </w:p>
    <w:p w:rsidR="00441276" w:rsidRPr="0024503A" w:rsidRDefault="00441276" w:rsidP="00617526">
      <w:pPr>
        <w:suppressAutoHyphens/>
        <w:spacing w:line="276" w:lineRule="auto"/>
        <w:jc w:val="both"/>
        <w:textAlignment w:val="baseline"/>
        <w:rPr>
          <w:rFonts w:ascii="Times New Roman" w:hAnsi="Times New Roman" w:cs="Times New Roman"/>
          <w:color w:val="000000"/>
          <w:kern w:val="3"/>
          <w:sz w:val="24"/>
          <w:szCs w:val="24"/>
        </w:rPr>
      </w:pPr>
      <w:r w:rsidRPr="0024503A">
        <w:rPr>
          <w:rFonts w:ascii="Times New Roman" w:hAnsi="Times New Roman" w:cs="Times New Roman"/>
          <w:color w:val="000000"/>
          <w:kern w:val="3"/>
          <w:sz w:val="24"/>
          <w:szCs w:val="24"/>
        </w:rPr>
        <w:t xml:space="preserve">Lisaks teadlaste ja tootjate koostöö parandamisele oleks vajalik astuda ka samme investeerimispuudujääkide likvideerimiseks, kuna uued maheviljelusse sobivad tehnoloogiad vajavad teistsugust masinaparki, mille soetamiseks ja kasutamiseks oleks palju abi ühistulisest koostööst. Suurem osa hetkel Eestis toodetud maheteraviljast, -kaunviljast ja -õlikultuuridest eksporditakse töötlemata kujul, samas on Eestis olemas potentsiaalne sihtgrupp, kes oleks huvitatud mahetoodangu tarbimisest. </w:t>
      </w:r>
    </w:p>
    <w:p w:rsidR="00441276" w:rsidRPr="0024503A" w:rsidRDefault="00441276" w:rsidP="00617526">
      <w:pPr>
        <w:suppressAutoHyphens/>
        <w:spacing w:before="100" w:line="276" w:lineRule="auto"/>
        <w:jc w:val="both"/>
        <w:textAlignment w:val="baseline"/>
        <w:rPr>
          <w:rFonts w:ascii="Times New Roman" w:hAnsi="Times New Roman" w:cs="Times New Roman"/>
          <w:color w:val="000000"/>
          <w:kern w:val="3"/>
          <w:sz w:val="24"/>
          <w:szCs w:val="24"/>
        </w:rPr>
      </w:pPr>
    </w:p>
    <w:p w:rsidR="00441276" w:rsidRPr="0024503A" w:rsidRDefault="00CC472E" w:rsidP="00CC472E">
      <w:pPr>
        <w:pStyle w:val="Heading2"/>
        <w:spacing w:line="276" w:lineRule="auto"/>
        <w:rPr>
          <w:rFonts w:ascii="Times New Roman" w:hAnsi="Times New Roman" w:cs="Times New Roman"/>
          <w:b/>
          <w:sz w:val="28"/>
          <w:szCs w:val="28"/>
        </w:rPr>
      </w:pPr>
      <w:bookmarkStart w:id="441" w:name="_Toc378697817"/>
      <w:bookmarkStart w:id="442" w:name="_Toc378773264"/>
      <w:bookmarkStart w:id="443" w:name="_Toc379197445"/>
      <w:bookmarkStart w:id="444" w:name="_Toc379205483"/>
      <w:bookmarkStart w:id="445" w:name="_Toc379268179"/>
      <w:bookmarkStart w:id="446" w:name="_Toc379296754"/>
      <w:bookmarkStart w:id="447" w:name="_Toc379373463"/>
      <w:bookmarkStart w:id="448" w:name="_Toc379799847"/>
      <w:bookmarkStart w:id="449" w:name="_Toc381633589"/>
      <w:bookmarkStart w:id="450" w:name="_Toc381633734"/>
      <w:bookmarkStart w:id="451" w:name="_Toc384050902"/>
      <w:bookmarkStart w:id="452" w:name="_Toc384052606"/>
      <w:bookmarkStart w:id="453" w:name="_Toc384283949"/>
      <w:bookmarkStart w:id="454" w:name="_Toc384284060"/>
      <w:bookmarkStart w:id="455" w:name="_Toc384386254"/>
      <w:bookmarkStart w:id="456" w:name="_Toc384386466"/>
      <w:bookmarkStart w:id="457" w:name="_Toc384392332"/>
      <w:bookmarkStart w:id="458" w:name="_Toc385253763"/>
      <w:bookmarkStart w:id="459" w:name="_Toc385335135"/>
      <w:bookmarkStart w:id="460" w:name="_Toc389128804"/>
      <w:bookmarkStart w:id="461" w:name="_Toc389131351"/>
      <w:bookmarkStart w:id="462" w:name="_Toc389223886"/>
      <w:bookmarkStart w:id="463" w:name="_Toc389223948"/>
      <w:bookmarkStart w:id="464" w:name="_Toc391908880"/>
      <w:bookmarkStart w:id="465" w:name="_Toc391991814"/>
      <w:bookmarkStart w:id="466" w:name="_Toc397593034"/>
      <w:bookmarkStart w:id="467" w:name="_Toc398896329"/>
      <w:bookmarkStart w:id="468" w:name="_Toc398896469"/>
      <w:bookmarkStart w:id="469" w:name="_Toc400972841"/>
      <w:r>
        <w:rPr>
          <w:rFonts w:ascii="Times New Roman" w:hAnsi="Times New Roman" w:cs="Times New Roman"/>
          <w:b/>
          <w:sz w:val="28"/>
          <w:szCs w:val="28"/>
        </w:rPr>
        <w:t xml:space="preserve">7.2. </w:t>
      </w:r>
      <w:r w:rsidR="00441276" w:rsidRPr="0024503A">
        <w:rPr>
          <w:rFonts w:ascii="Times New Roman" w:hAnsi="Times New Roman" w:cs="Times New Roman"/>
          <w:b/>
          <w:sz w:val="28"/>
          <w:szCs w:val="28"/>
        </w:rPr>
        <w:t>Teravilja kvaliteet</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p w:rsidR="00E2045B" w:rsidRPr="0024503A" w:rsidRDefault="00E2045B" w:rsidP="00617526">
      <w:pPr>
        <w:spacing w:line="276" w:lineRule="auto"/>
        <w:jc w:val="both"/>
        <w:rPr>
          <w:rFonts w:ascii="Times New Roman" w:hAnsi="Times New Roman" w:cs="Times New Roman"/>
          <w:sz w:val="24"/>
          <w:szCs w:val="24"/>
        </w:rPr>
      </w:pPr>
    </w:p>
    <w:p w:rsidR="005D5165" w:rsidRPr="00F36A97" w:rsidRDefault="005D5165" w:rsidP="00F36A97">
      <w:pPr>
        <w:pStyle w:val="IntenseQuote"/>
        <w:tabs>
          <w:tab w:val="left" w:pos="9637"/>
        </w:tabs>
        <w:spacing w:line="276" w:lineRule="auto"/>
        <w:ind w:left="0" w:right="-2"/>
        <w:rPr>
          <w:rStyle w:val="IntenseReference"/>
          <w:rFonts w:ascii="Times New Roman" w:hAnsi="Times New Roman" w:cs="Times New Roman"/>
          <w:sz w:val="24"/>
          <w:szCs w:val="24"/>
        </w:rPr>
      </w:pPr>
      <w:r w:rsidRPr="00F36A97">
        <w:rPr>
          <w:rStyle w:val="IntenseReference"/>
          <w:rFonts w:ascii="Times New Roman" w:hAnsi="Times New Roman" w:cs="Times New Roman"/>
          <w:sz w:val="24"/>
          <w:szCs w:val="24"/>
        </w:rPr>
        <w:t>Lisaks sertifitseeritud seemne vähesel</w:t>
      </w:r>
      <w:r w:rsidR="003F50CC">
        <w:rPr>
          <w:rStyle w:val="IntenseReference"/>
          <w:rFonts w:ascii="Times New Roman" w:hAnsi="Times New Roman" w:cs="Times New Roman"/>
          <w:sz w:val="24"/>
          <w:szCs w:val="24"/>
        </w:rPr>
        <w:t>e kasutamisele on teravilja, õlI</w:t>
      </w:r>
      <w:r w:rsidRPr="00F36A97">
        <w:rPr>
          <w:rStyle w:val="IntenseReference"/>
          <w:rFonts w:ascii="Times New Roman" w:hAnsi="Times New Roman" w:cs="Times New Roman"/>
          <w:sz w:val="24"/>
          <w:szCs w:val="24"/>
        </w:rPr>
        <w:t xml:space="preserve">kultuuride ja kaunviljade kvaliteedis olenevalt aastast </w:t>
      </w:r>
      <w:r w:rsidR="0060415E">
        <w:rPr>
          <w:rStyle w:val="IntenseReference"/>
          <w:rFonts w:ascii="Times New Roman" w:hAnsi="Times New Roman" w:cs="Times New Roman"/>
          <w:sz w:val="24"/>
          <w:szCs w:val="24"/>
        </w:rPr>
        <w:t>olulisemateks</w:t>
      </w:r>
      <w:r w:rsidRPr="00F36A97">
        <w:rPr>
          <w:rStyle w:val="IntenseReference"/>
          <w:rFonts w:ascii="Times New Roman" w:hAnsi="Times New Roman" w:cs="Times New Roman"/>
          <w:sz w:val="24"/>
          <w:szCs w:val="24"/>
        </w:rPr>
        <w:t xml:space="preserve"> probleemi</w:t>
      </w:r>
      <w:r w:rsidR="0060415E">
        <w:rPr>
          <w:rStyle w:val="IntenseReference"/>
          <w:rFonts w:ascii="Times New Roman" w:hAnsi="Times New Roman" w:cs="Times New Roman"/>
          <w:sz w:val="24"/>
          <w:szCs w:val="24"/>
        </w:rPr>
        <w:t>de</w:t>
      </w:r>
      <w:r w:rsidRPr="00F36A97">
        <w:rPr>
          <w:rStyle w:val="IntenseReference"/>
          <w:rFonts w:ascii="Times New Roman" w:hAnsi="Times New Roman" w:cs="Times New Roman"/>
          <w:sz w:val="24"/>
          <w:szCs w:val="24"/>
        </w:rPr>
        <w:t xml:space="preserve">ks selle </w:t>
      </w:r>
      <w:r w:rsidR="007035A8">
        <w:rPr>
          <w:rStyle w:val="IntenseReference"/>
          <w:rFonts w:ascii="Times New Roman" w:hAnsi="Times New Roman" w:cs="Times New Roman"/>
          <w:sz w:val="24"/>
          <w:szCs w:val="24"/>
        </w:rPr>
        <w:t>MUUTLIKKUS</w:t>
      </w:r>
      <w:r w:rsidR="007035A8" w:rsidRPr="00F36A97">
        <w:rPr>
          <w:rStyle w:val="IntenseReference"/>
          <w:rFonts w:ascii="Times New Roman" w:hAnsi="Times New Roman" w:cs="Times New Roman"/>
          <w:sz w:val="24"/>
          <w:szCs w:val="24"/>
        </w:rPr>
        <w:t xml:space="preserve"> </w:t>
      </w:r>
      <w:r w:rsidRPr="00F36A97">
        <w:rPr>
          <w:rStyle w:val="IntenseReference"/>
          <w:rFonts w:ascii="Times New Roman" w:hAnsi="Times New Roman" w:cs="Times New Roman"/>
          <w:sz w:val="24"/>
          <w:szCs w:val="24"/>
        </w:rPr>
        <w:t>ja paiguti madal tase. Kvaliteedinäitajaid iga</w:t>
      </w:r>
      <w:r w:rsidR="00DF03AA">
        <w:rPr>
          <w:rStyle w:val="IntenseReference"/>
          <w:rFonts w:ascii="Times New Roman" w:hAnsi="Times New Roman" w:cs="Times New Roman"/>
          <w:sz w:val="24"/>
          <w:szCs w:val="24"/>
        </w:rPr>
        <w:t>-</w:t>
      </w:r>
      <w:r w:rsidRPr="00F36A97">
        <w:rPr>
          <w:rStyle w:val="IntenseReference"/>
          <w:rFonts w:ascii="Times New Roman" w:hAnsi="Times New Roman" w:cs="Times New Roman"/>
          <w:sz w:val="24"/>
          <w:szCs w:val="24"/>
        </w:rPr>
        <w:t xml:space="preserve">aastaselt koristatud viljast riiklikul tasemel ei koguta, mistõttu puudub ka tervikuna Eestis ülevaade teravilja, õlikultuuride ja kaunviljade kvaliteedist. </w:t>
      </w:r>
    </w:p>
    <w:p w:rsidR="005D5165" w:rsidRPr="0024503A" w:rsidRDefault="005D5165" w:rsidP="00617526">
      <w:pPr>
        <w:spacing w:line="276" w:lineRule="auto"/>
        <w:jc w:val="both"/>
        <w:rPr>
          <w:rFonts w:ascii="Times New Roman" w:hAnsi="Times New Roman" w:cs="Times New Roman"/>
          <w:sz w:val="24"/>
          <w:szCs w:val="24"/>
        </w:rPr>
      </w:pPr>
    </w:p>
    <w:p w:rsidR="00441276" w:rsidRPr="0024503A" w:rsidRDefault="00441276" w:rsidP="00617526">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 xml:space="preserve">Teravilja- ja rapsikasvatajatel tuleb arvestada nii Eesti kui ka Euroopa Liidu turu nõuetega. Väga oluline on tagada toodangu kõrge kvaliteet, mis võimaldaks Eestis kasvatatud teravilja ja rapsi olenevalt otstarbest senisest paremini turustada. Samuti on oluline saavutada ka teravilja kvaliteedi stabiilsus, et rahuldada siseriiklik tööstuslik vajadus vastava kvaliteediga toiduvilja järele ja tagada ka eksporditava toorme kõrge tase. </w:t>
      </w:r>
    </w:p>
    <w:p w:rsidR="00441276" w:rsidRPr="0024503A" w:rsidRDefault="00441276" w:rsidP="00617526">
      <w:pPr>
        <w:spacing w:line="276" w:lineRule="auto"/>
        <w:jc w:val="both"/>
        <w:rPr>
          <w:rFonts w:ascii="Times New Roman" w:hAnsi="Times New Roman" w:cs="Times New Roman"/>
          <w:color w:val="000000"/>
          <w:sz w:val="24"/>
          <w:szCs w:val="24"/>
        </w:rPr>
      </w:pPr>
    </w:p>
    <w:p w:rsidR="00441276" w:rsidRPr="0024503A" w:rsidRDefault="00441276" w:rsidP="00617526">
      <w:pPr>
        <w:spacing w:line="276" w:lineRule="auto"/>
        <w:jc w:val="both"/>
        <w:rPr>
          <w:rFonts w:ascii="Times New Roman" w:hAnsi="Times New Roman" w:cs="Times New Roman"/>
          <w:color w:val="000000"/>
          <w:sz w:val="24"/>
          <w:szCs w:val="24"/>
        </w:rPr>
      </w:pPr>
      <w:r w:rsidRPr="0024503A">
        <w:rPr>
          <w:rFonts w:ascii="Times New Roman" w:hAnsi="Times New Roman" w:cs="Times New Roman"/>
          <w:color w:val="000000"/>
          <w:sz w:val="24"/>
          <w:szCs w:val="24"/>
        </w:rPr>
        <w:t xml:space="preserve">Eestis </w:t>
      </w:r>
      <w:r w:rsidR="00904FA0">
        <w:rPr>
          <w:rFonts w:ascii="Times New Roman" w:hAnsi="Times New Roman" w:cs="Times New Roman"/>
          <w:color w:val="000000"/>
          <w:sz w:val="24"/>
          <w:szCs w:val="24"/>
        </w:rPr>
        <w:t xml:space="preserve">seirati </w:t>
      </w:r>
      <w:r w:rsidR="00A822F8">
        <w:rPr>
          <w:rFonts w:ascii="Times New Roman" w:hAnsi="Times New Roman" w:cs="Times New Roman"/>
          <w:color w:val="000000"/>
          <w:sz w:val="24"/>
          <w:szCs w:val="24"/>
        </w:rPr>
        <w:t>töötlemata</w:t>
      </w:r>
      <w:r w:rsidR="00A822F8" w:rsidRPr="0024503A">
        <w:rPr>
          <w:rFonts w:ascii="Times New Roman" w:hAnsi="Times New Roman" w:cs="Times New Roman"/>
          <w:color w:val="000000"/>
          <w:sz w:val="24"/>
          <w:szCs w:val="24"/>
        </w:rPr>
        <w:t xml:space="preserve"> </w:t>
      </w:r>
      <w:r w:rsidRPr="0024503A">
        <w:rPr>
          <w:rFonts w:ascii="Times New Roman" w:hAnsi="Times New Roman" w:cs="Times New Roman"/>
          <w:color w:val="000000"/>
          <w:sz w:val="24"/>
          <w:szCs w:val="24"/>
        </w:rPr>
        <w:t>teravilja</w:t>
      </w:r>
      <w:r w:rsidR="00A822F8">
        <w:rPr>
          <w:rFonts w:ascii="Times New Roman" w:hAnsi="Times New Roman" w:cs="Times New Roman"/>
          <w:color w:val="000000"/>
          <w:sz w:val="24"/>
          <w:szCs w:val="24"/>
        </w:rPr>
        <w:t xml:space="preserve"> </w:t>
      </w:r>
      <w:r w:rsidRPr="0024503A">
        <w:rPr>
          <w:rFonts w:ascii="Times New Roman" w:hAnsi="Times New Roman" w:cs="Times New Roman"/>
          <w:color w:val="000000"/>
          <w:sz w:val="24"/>
          <w:szCs w:val="24"/>
        </w:rPr>
        <w:t>kvalitee</w:t>
      </w:r>
      <w:r w:rsidR="00C01E48">
        <w:rPr>
          <w:rFonts w:ascii="Times New Roman" w:hAnsi="Times New Roman" w:cs="Times New Roman"/>
          <w:color w:val="000000"/>
          <w:sz w:val="24"/>
          <w:szCs w:val="24"/>
        </w:rPr>
        <w:t>t</w:t>
      </w:r>
      <w:r w:rsidRPr="0024503A">
        <w:rPr>
          <w:rFonts w:ascii="Times New Roman" w:hAnsi="Times New Roman" w:cs="Times New Roman"/>
          <w:color w:val="000000"/>
          <w:sz w:val="24"/>
          <w:szCs w:val="24"/>
        </w:rPr>
        <w:t>i ja ohutus</w:t>
      </w:r>
      <w:r w:rsidR="00C01E48">
        <w:rPr>
          <w:rFonts w:ascii="Times New Roman" w:hAnsi="Times New Roman" w:cs="Times New Roman"/>
          <w:color w:val="000000"/>
          <w:sz w:val="24"/>
          <w:szCs w:val="24"/>
        </w:rPr>
        <w:t>t</w:t>
      </w:r>
      <w:r w:rsidRPr="0024503A">
        <w:rPr>
          <w:rFonts w:ascii="Times New Roman" w:hAnsi="Times New Roman" w:cs="Times New Roman"/>
          <w:color w:val="000000"/>
          <w:sz w:val="24"/>
          <w:szCs w:val="24"/>
        </w:rPr>
        <w:t xml:space="preserve"> </w:t>
      </w:r>
      <w:r w:rsidR="00C01E48">
        <w:rPr>
          <w:rFonts w:ascii="Times New Roman" w:hAnsi="Times New Roman" w:cs="Times New Roman"/>
          <w:color w:val="000000"/>
          <w:sz w:val="24"/>
          <w:szCs w:val="24"/>
        </w:rPr>
        <w:t xml:space="preserve">viimati </w:t>
      </w:r>
      <w:r w:rsidRPr="0024503A">
        <w:rPr>
          <w:rFonts w:ascii="Times New Roman" w:hAnsi="Times New Roman" w:cs="Times New Roman"/>
          <w:color w:val="000000"/>
          <w:sz w:val="24"/>
          <w:szCs w:val="24"/>
        </w:rPr>
        <w:t xml:space="preserve">2004. aastal. Pärast seda on riiklikul tasemel kontrollitud ainult teraviljatooteid ning sedagi ohutuse aspektist, seejuures toorme päritoluriik ei ole alati teada. 2012. aastal tellis Veterinaar- ja Toiduamet Põllumajandusuuringute Keskuselt 12st </w:t>
      </w:r>
      <w:r w:rsidRPr="0024503A">
        <w:rPr>
          <w:rFonts w:ascii="Times New Roman" w:hAnsi="Times New Roman" w:cs="Times New Roman"/>
          <w:noProof/>
          <w:color w:val="000000"/>
          <w:sz w:val="24"/>
          <w:szCs w:val="24"/>
        </w:rPr>
        <w:t xml:space="preserve">teraviljatoote proovist </w:t>
      </w:r>
      <w:r w:rsidR="00EE3081">
        <w:rPr>
          <w:rFonts w:ascii="Times New Roman" w:hAnsi="Times New Roman" w:cs="Times New Roman"/>
          <w:noProof/>
          <w:color w:val="000000"/>
          <w:sz w:val="24"/>
          <w:szCs w:val="24"/>
        </w:rPr>
        <w:t xml:space="preserve">mükotoksiini  T2/HT2 määramise, 2013. aastal oli proove 36. </w:t>
      </w:r>
    </w:p>
    <w:p w:rsidR="00441276" w:rsidRPr="0024503A" w:rsidRDefault="00441276" w:rsidP="00617526">
      <w:pPr>
        <w:spacing w:line="276" w:lineRule="auto"/>
        <w:rPr>
          <w:rFonts w:ascii="Times New Roman" w:hAnsi="Times New Roman" w:cs="Times New Roman"/>
          <w:sz w:val="24"/>
          <w:szCs w:val="24"/>
        </w:rPr>
      </w:pPr>
    </w:p>
    <w:p w:rsidR="00441276" w:rsidRPr="0024503A" w:rsidRDefault="00441276" w:rsidP="00617526">
      <w:pPr>
        <w:spacing w:line="276" w:lineRule="auto"/>
        <w:rPr>
          <w:rFonts w:ascii="Times New Roman" w:hAnsi="Times New Roman" w:cs="Times New Roman"/>
          <w:sz w:val="24"/>
          <w:szCs w:val="24"/>
        </w:rPr>
      </w:pPr>
      <w:r w:rsidRPr="0024503A">
        <w:rPr>
          <w:rFonts w:ascii="Times New Roman" w:hAnsi="Times New Roman" w:cs="Times New Roman"/>
          <w:sz w:val="24"/>
          <w:szCs w:val="24"/>
        </w:rPr>
        <w:lastRenderedPageBreak/>
        <w:t>Teravilja</w:t>
      </w:r>
      <w:r w:rsidR="009868A7">
        <w:rPr>
          <w:rFonts w:ascii="Times New Roman" w:hAnsi="Times New Roman" w:cs="Times New Roman"/>
          <w:sz w:val="24"/>
          <w:szCs w:val="24"/>
        </w:rPr>
        <w:t xml:space="preserve"> ja rapsi peamised analüüsitava</w:t>
      </w:r>
      <w:r w:rsidRPr="0024503A">
        <w:rPr>
          <w:rFonts w:ascii="Times New Roman" w:hAnsi="Times New Roman" w:cs="Times New Roman"/>
          <w:sz w:val="24"/>
          <w:szCs w:val="24"/>
        </w:rPr>
        <w:t>d kvaliteediparameetrid on järgmised:</w:t>
      </w:r>
    </w:p>
    <w:p w:rsidR="00441276" w:rsidRPr="0024503A" w:rsidRDefault="00441276" w:rsidP="00617526">
      <w:pPr>
        <w:pStyle w:val="ListParagraph"/>
        <w:numPr>
          <w:ilvl w:val="0"/>
          <w:numId w:val="14"/>
        </w:numPr>
        <w:spacing w:line="276" w:lineRule="auto"/>
        <w:ind w:left="284" w:hanging="284"/>
        <w:rPr>
          <w:rFonts w:ascii="Times New Roman" w:hAnsi="Times New Roman" w:cs="Times New Roman"/>
          <w:noProof/>
          <w:sz w:val="24"/>
          <w:szCs w:val="24"/>
        </w:rPr>
      </w:pPr>
      <w:r w:rsidRPr="0024503A">
        <w:rPr>
          <w:rFonts w:ascii="Times New Roman" w:hAnsi="Times New Roman" w:cs="Times New Roman"/>
          <w:noProof/>
          <w:sz w:val="24"/>
          <w:szCs w:val="24"/>
        </w:rPr>
        <w:t xml:space="preserve">rukis (mahukaal, </w:t>
      </w:r>
      <w:r w:rsidR="005625EF">
        <w:rPr>
          <w:rFonts w:ascii="Times New Roman" w:hAnsi="Times New Roman" w:cs="Times New Roman"/>
          <w:noProof/>
          <w:sz w:val="24"/>
          <w:szCs w:val="24"/>
        </w:rPr>
        <w:t xml:space="preserve">proteiin, </w:t>
      </w:r>
      <w:r w:rsidRPr="0024503A">
        <w:rPr>
          <w:rFonts w:ascii="Times New Roman" w:hAnsi="Times New Roman" w:cs="Times New Roman"/>
          <w:noProof/>
          <w:sz w:val="24"/>
          <w:szCs w:val="24"/>
        </w:rPr>
        <w:t>1000 tera mass</w:t>
      </w:r>
      <w:r w:rsidR="005625EF">
        <w:rPr>
          <w:rFonts w:ascii="Times New Roman" w:hAnsi="Times New Roman" w:cs="Times New Roman"/>
          <w:noProof/>
          <w:sz w:val="24"/>
          <w:szCs w:val="24"/>
        </w:rPr>
        <w:t>,</w:t>
      </w:r>
      <w:r w:rsidR="005625EF" w:rsidRPr="005625EF">
        <w:rPr>
          <w:rFonts w:ascii="Times New Roman" w:hAnsi="Times New Roman" w:cs="Times New Roman"/>
          <w:noProof/>
          <w:sz w:val="24"/>
          <w:szCs w:val="24"/>
        </w:rPr>
        <w:t xml:space="preserve"> </w:t>
      </w:r>
      <w:r w:rsidR="005625EF">
        <w:rPr>
          <w:rFonts w:ascii="Times New Roman" w:hAnsi="Times New Roman" w:cs="Times New Roman"/>
          <w:noProof/>
          <w:sz w:val="24"/>
          <w:szCs w:val="24"/>
        </w:rPr>
        <w:t>langemisarv</w:t>
      </w:r>
      <w:r w:rsidRPr="0024503A">
        <w:rPr>
          <w:rFonts w:ascii="Times New Roman" w:hAnsi="Times New Roman" w:cs="Times New Roman"/>
          <w:noProof/>
          <w:sz w:val="24"/>
          <w:szCs w:val="24"/>
        </w:rPr>
        <w:t>);</w:t>
      </w:r>
    </w:p>
    <w:p w:rsidR="00441276" w:rsidRPr="0024503A" w:rsidRDefault="00441276" w:rsidP="00617526">
      <w:pPr>
        <w:pStyle w:val="ListParagraph"/>
        <w:numPr>
          <w:ilvl w:val="0"/>
          <w:numId w:val="14"/>
        </w:numPr>
        <w:spacing w:line="276" w:lineRule="auto"/>
        <w:ind w:left="284" w:hanging="284"/>
        <w:rPr>
          <w:rFonts w:ascii="Times New Roman" w:hAnsi="Times New Roman" w:cs="Times New Roman"/>
          <w:noProof/>
          <w:sz w:val="24"/>
          <w:szCs w:val="24"/>
        </w:rPr>
      </w:pPr>
      <w:r w:rsidRPr="0024503A">
        <w:rPr>
          <w:rFonts w:ascii="Times New Roman" w:hAnsi="Times New Roman" w:cs="Times New Roman"/>
          <w:noProof/>
          <w:sz w:val="24"/>
          <w:szCs w:val="24"/>
        </w:rPr>
        <w:t>oder (mahukaal, proteiin, 1000 tera mass);</w:t>
      </w:r>
    </w:p>
    <w:p w:rsidR="00441276" w:rsidRPr="0024503A" w:rsidRDefault="00441276" w:rsidP="00617526">
      <w:pPr>
        <w:pStyle w:val="ListParagraph"/>
        <w:numPr>
          <w:ilvl w:val="0"/>
          <w:numId w:val="14"/>
        </w:numPr>
        <w:spacing w:line="276" w:lineRule="auto"/>
        <w:ind w:left="284" w:hanging="284"/>
        <w:rPr>
          <w:rFonts w:ascii="Times New Roman" w:hAnsi="Times New Roman" w:cs="Times New Roman"/>
          <w:noProof/>
          <w:sz w:val="24"/>
          <w:szCs w:val="24"/>
        </w:rPr>
      </w:pPr>
      <w:r w:rsidRPr="0024503A">
        <w:rPr>
          <w:rFonts w:ascii="Times New Roman" w:hAnsi="Times New Roman" w:cs="Times New Roman"/>
          <w:noProof/>
          <w:sz w:val="24"/>
          <w:szCs w:val="24"/>
        </w:rPr>
        <w:t>õlleoder (mahukaal, proteiin,</w:t>
      </w:r>
      <w:r w:rsidR="005625EF">
        <w:rPr>
          <w:rFonts w:ascii="Times New Roman" w:hAnsi="Times New Roman" w:cs="Times New Roman"/>
          <w:noProof/>
          <w:sz w:val="24"/>
          <w:szCs w:val="24"/>
        </w:rPr>
        <w:t xml:space="preserve"> </w:t>
      </w:r>
      <w:r w:rsidRPr="0024503A">
        <w:rPr>
          <w:rFonts w:ascii="Times New Roman" w:hAnsi="Times New Roman" w:cs="Times New Roman"/>
          <w:noProof/>
          <w:sz w:val="24"/>
          <w:szCs w:val="24"/>
        </w:rPr>
        <w:t>1000 tera mass, langemisarv);</w:t>
      </w:r>
    </w:p>
    <w:p w:rsidR="00441276" w:rsidRPr="0024503A" w:rsidRDefault="00441276" w:rsidP="00617526">
      <w:pPr>
        <w:pStyle w:val="ListParagraph"/>
        <w:numPr>
          <w:ilvl w:val="0"/>
          <w:numId w:val="14"/>
        </w:numPr>
        <w:spacing w:line="276" w:lineRule="auto"/>
        <w:ind w:left="284" w:hanging="284"/>
        <w:rPr>
          <w:rFonts w:ascii="Times New Roman" w:hAnsi="Times New Roman" w:cs="Times New Roman"/>
          <w:noProof/>
          <w:sz w:val="24"/>
          <w:szCs w:val="24"/>
        </w:rPr>
      </w:pPr>
      <w:r w:rsidRPr="0024503A">
        <w:rPr>
          <w:rFonts w:ascii="Times New Roman" w:hAnsi="Times New Roman" w:cs="Times New Roman"/>
          <w:noProof/>
          <w:sz w:val="24"/>
          <w:szCs w:val="24"/>
        </w:rPr>
        <w:t>nisu (</w:t>
      </w:r>
      <w:r w:rsidR="005625EF">
        <w:rPr>
          <w:rFonts w:ascii="Times New Roman" w:hAnsi="Times New Roman" w:cs="Times New Roman"/>
          <w:noProof/>
          <w:sz w:val="24"/>
          <w:szCs w:val="24"/>
        </w:rPr>
        <w:t xml:space="preserve">mahukaal, </w:t>
      </w:r>
      <w:r w:rsidRPr="0024503A">
        <w:rPr>
          <w:rFonts w:ascii="Times New Roman" w:hAnsi="Times New Roman" w:cs="Times New Roman"/>
          <w:noProof/>
          <w:sz w:val="24"/>
          <w:szCs w:val="24"/>
        </w:rPr>
        <w:t xml:space="preserve">proteiin, </w:t>
      </w:r>
      <w:r w:rsidR="005625EF" w:rsidRPr="0024503A">
        <w:rPr>
          <w:rFonts w:ascii="Times New Roman" w:hAnsi="Times New Roman" w:cs="Times New Roman"/>
          <w:noProof/>
          <w:sz w:val="24"/>
          <w:szCs w:val="24"/>
        </w:rPr>
        <w:t xml:space="preserve">1000 tera mass, </w:t>
      </w:r>
      <w:r w:rsidRPr="0024503A">
        <w:rPr>
          <w:rFonts w:ascii="Times New Roman" w:hAnsi="Times New Roman" w:cs="Times New Roman"/>
          <w:noProof/>
          <w:sz w:val="24"/>
          <w:szCs w:val="24"/>
        </w:rPr>
        <w:t>langemisarv, kleepeval</w:t>
      </w:r>
      <w:r w:rsidR="001318C9" w:rsidRPr="0024503A">
        <w:rPr>
          <w:rFonts w:ascii="Times New Roman" w:hAnsi="Times New Roman" w:cs="Times New Roman"/>
          <w:noProof/>
          <w:sz w:val="24"/>
          <w:szCs w:val="24"/>
        </w:rPr>
        <w:t>gu kvaliteet</w:t>
      </w:r>
      <w:r w:rsidR="0083389F" w:rsidRPr="0024503A">
        <w:rPr>
          <w:rFonts w:ascii="Times New Roman" w:hAnsi="Times New Roman" w:cs="Times New Roman"/>
          <w:noProof/>
          <w:sz w:val="24"/>
          <w:szCs w:val="24"/>
        </w:rPr>
        <w:t xml:space="preserve"> või</w:t>
      </w:r>
      <w:r w:rsidRPr="0024503A">
        <w:rPr>
          <w:rFonts w:ascii="Times New Roman" w:hAnsi="Times New Roman" w:cs="Times New Roman"/>
          <w:noProof/>
          <w:sz w:val="24"/>
          <w:szCs w:val="24"/>
        </w:rPr>
        <w:t xml:space="preserve"> Zeleny arv);</w:t>
      </w:r>
    </w:p>
    <w:p w:rsidR="00441276" w:rsidRPr="0024503A" w:rsidRDefault="00441276" w:rsidP="00617526">
      <w:pPr>
        <w:pStyle w:val="ListParagraph"/>
        <w:numPr>
          <w:ilvl w:val="0"/>
          <w:numId w:val="14"/>
        </w:numPr>
        <w:spacing w:line="276" w:lineRule="auto"/>
        <w:ind w:left="284" w:hanging="284"/>
        <w:rPr>
          <w:rFonts w:ascii="Times New Roman" w:hAnsi="Times New Roman" w:cs="Times New Roman"/>
          <w:noProof/>
          <w:sz w:val="24"/>
          <w:szCs w:val="24"/>
        </w:rPr>
      </w:pPr>
      <w:r w:rsidRPr="0024503A">
        <w:rPr>
          <w:rFonts w:ascii="Times New Roman" w:hAnsi="Times New Roman" w:cs="Times New Roman"/>
          <w:noProof/>
          <w:sz w:val="24"/>
          <w:szCs w:val="24"/>
        </w:rPr>
        <w:t>kaer (mahukaal, proteiin, 1000 tera mass);</w:t>
      </w:r>
    </w:p>
    <w:p w:rsidR="00441276" w:rsidRDefault="00441276" w:rsidP="00617526">
      <w:pPr>
        <w:pStyle w:val="ListParagraph"/>
        <w:numPr>
          <w:ilvl w:val="0"/>
          <w:numId w:val="14"/>
        </w:numPr>
        <w:spacing w:line="276" w:lineRule="auto"/>
        <w:ind w:left="284" w:hanging="284"/>
        <w:rPr>
          <w:rFonts w:ascii="Times New Roman" w:hAnsi="Times New Roman" w:cs="Times New Roman"/>
          <w:noProof/>
          <w:sz w:val="24"/>
          <w:szCs w:val="24"/>
        </w:rPr>
      </w:pPr>
      <w:r w:rsidRPr="0024503A">
        <w:rPr>
          <w:rFonts w:ascii="Times New Roman" w:hAnsi="Times New Roman" w:cs="Times New Roman"/>
          <w:noProof/>
          <w:sz w:val="24"/>
          <w:szCs w:val="24"/>
        </w:rPr>
        <w:t>raps (proteiin, õli, glükosinolaadid, eruukahape, klorofüll, vabad rasvhapped.</w:t>
      </w:r>
    </w:p>
    <w:p w:rsidR="004139F6" w:rsidRPr="0024503A" w:rsidRDefault="004139F6" w:rsidP="004139F6">
      <w:pPr>
        <w:pStyle w:val="ListParagraph"/>
        <w:spacing w:line="276" w:lineRule="auto"/>
        <w:ind w:left="284"/>
        <w:rPr>
          <w:rFonts w:ascii="Times New Roman" w:hAnsi="Times New Roman" w:cs="Times New Roman"/>
          <w:noProof/>
          <w:sz w:val="24"/>
          <w:szCs w:val="24"/>
        </w:rPr>
      </w:pPr>
    </w:p>
    <w:p w:rsidR="00441276" w:rsidRPr="0024503A" w:rsidRDefault="004139F6" w:rsidP="00617526">
      <w:pPr>
        <w:spacing w:line="276" w:lineRule="auto"/>
        <w:jc w:val="both"/>
        <w:rPr>
          <w:rFonts w:ascii="Times New Roman" w:hAnsi="Times New Roman" w:cs="Times New Roman"/>
          <w:sz w:val="24"/>
          <w:szCs w:val="24"/>
        </w:rPr>
      </w:pPr>
      <w:r>
        <w:rPr>
          <w:rFonts w:ascii="Times New Roman" w:hAnsi="Times New Roman" w:cs="Times New Roman"/>
          <w:color w:val="000000"/>
          <w:sz w:val="24"/>
          <w:szCs w:val="24"/>
        </w:rPr>
        <w:t>Käesoleval ajal</w:t>
      </w:r>
      <w:r w:rsidR="00BE3630" w:rsidRPr="0024503A">
        <w:rPr>
          <w:rFonts w:ascii="Times New Roman" w:hAnsi="Times New Roman" w:cs="Times New Roman"/>
          <w:color w:val="000000"/>
          <w:sz w:val="24"/>
          <w:szCs w:val="24"/>
        </w:rPr>
        <w:t xml:space="preserve"> </w:t>
      </w:r>
      <w:r w:rsidR="00441276" w:rsidRPr="0024503A">
        <w:rPr>
          <w:rFonts w:ascii="Times New Roman" w:hAnsi="Times New Roman" w:cs="Times New Roman"/>
          <w:color w:val="000000"/>
          <w:sz w:val="24"/>
          <w:szCs w:val="24"/>
        </w:rPr>
        <w:t xml:space="preserve">puudub </w:t>
      </w:r>
      <w:r w:rsidR="00BE3630">
        <w:rPr>
          <w:rFonts w:ascii="Times New Roman" w:hAnsi="Times New Roman" w:cs="Times New Roman"/>
          <w:color w:val="000000"/>
          <w:sz w:val="24"/>
          <w:szCs w:val="24"/>
        </w:rPr>
        <w:t>veel täielik</w:t>
      </w:r>
      <w:r w:rsidR="002A2670">
        <w:rPr>
          <w:rFonts w:ascii="Times New Roman" w:hAnsi="Times New Roman" w:cs="Times New Roman"/>
          <w:color w:val="000000"/>
          <w:sz w:val="24"/>
          <w:szCs w:val="24"/>
        </w:rPr>
        <w:t xml:space="preserve"> </w:t>
      </w:r>
      <w:r w:rsidR="00441276" w:rsidRPr="0024503A">
        <w:rPr>
          <w:rFonts w:ascii="Times New Roman" w:hAnsi="Times New Roman" w:cs="Times New Roman"/>
          <w:color w:val="000000"/>
          <w:sz w:val="24"/>
          <w:szCs w:val="24"/>
        </w:rPr>
        <w:t xml:space="preserve">süstemaatiline ülevaade Eestis kasvatatud teravilja ja õlikultuuride kvaliteedist ja ohutusest. </w:t>
      </w:r>
      <w:r w:rsidR="00441276" w:rsidRPr="0024503A">
        <w:rPr>
          <w:rFonts w:ascii="Times New Roman" w:hAnsi="Times New Roman" w:cs="Times New Roman"/>
          <w:sz w:val="24"/>
          <w:szCs w:val="24"/>
        </w:rPr>
        <w:t xml:space="preserve">Võimalikuks lahenduseks oleks riikliku andmebaasi loomine, mille eesmärgiks on saada pädev ja süsteemne ülevaade Eestis kasvatatava vilja kvaliteedist ja ohutusest. Sidudes vastavad andmed taustinfoga (põlluraamat ja asukohapõhised </w:t>
      </w:r>
      <w:r>
        <w:rPr>
          <w:rFonts w:ascii="Times New Roman" w:hAnsi="Times New Roman" w:cs="Times New Roman"/>
          <w:sz w:val="24"/>
          <w:szCs w:val="24"/>
        </w:rPr>
        <w:t>andmed</w:t>
      </w:r>
      <w:r w:rsidRPr="0024503A">
        <w:rPr>
          <w:rFonts w:ascii="Times New Roman" w:hAnsi="Times New Roman" w:cs="Times New Roman"/>
          <w:sz w:val="24"/>
          <w:szCs w:val="24"/>
        </w:rPr>
        <w:t xml:space="preserve"> </w:t>
      </w:r>
      <w:r w:rsidR="00441276" w:rsidRPr="0024503A">
        <w:rPr>
          <w:rFonts w:ascii="Times New Roman" w:hAnsi="Times New Roman" w:cs="Times New Roman"/>
          <w:sz w:val="24"/>
          <w:szCs w:val="24"/>
        </w:rPr>
        <w:t>viljakasvatajate</w:t>
      </w:r>
      <w:r>
        <w:rPr>
          <w:rFonts w:ascii="Times New Roman" w:hAnsi="Times New Roman" w:cs="Times New Roman"/>
          <w:sz w:val="24"/>
          <w:szCs w:val="24"/>
        </w:rPr>
        <w:t>lt</w:t>
      </w:r>
      <w:r w:rsidR="00441276" w:rsidRPr="0024503A">
        <w:rPr>
          <w:rFonts w:ascii="Times New Roman" w:hAnsi="Times New Roman" w:cs="Times New Roman"/>
          <w:sz w:val="24"/>
          <w:szCs w:val="24"/>
        </w:rPr>
        <w:t>) on võimalik saada andmed sortide sobivuse kohta tootmistingimustes. Andmebaas</w:t>
      </w:r>
      <w:r w:rsidR="00BE3630">
        <w:rPr>
          <w:rFonts w:ascii="Times New Roman" w:hAnsi="Times New Roman" w:cs="Times New Roman"/>
          <w:sz w:val="24"/>
          <w:szCs w:val="24"/>
        </w:rPr>
        <w:t xml:space="preserve">i </w:t>
      </w:r>
      <w:r w:rsidR="00441276" w:rsidRPr="0024503A">
        <w:rPr>
          <w:rFonts w:ascii="Times New Roman" w:hAnsi="Times New Roman" w:cs="Times New Roman"/>
          <w:sz w:val="24"/>
          <w:szCs w:val="24"/>
        </w:rPr>
        <w:t xml:space="preserve"> </w:t>
      </w:r>
      <w:r w:rsidR="00BE3630" w:rsidRPr="0024503A">
        <w:rPr>
          <w:rFonts w:ascii="Times New Roman" w:hAnsi="Times New Roman" w:cs="Times New Roman"/>
          <w:sz w:val="24"/>
          <w:szCs w:val="24"/>
        </w:rPr>
        <w:t>abil saab koostada parameetrite süsteemi vilja sihtotstarbeliseks kasutamiseks</w:t>
      </w:r>
      <w:r w:rsidR="00BE3630">
        <w:rPr>
          <w:rFonts w:ascii="Times New Roman" w:hAnsi="Times New Roman" w:cs="Times New Roman"/>
          <w:sz w:val="24"/>
          <w:szCs w:val="24"/>
        </w:rPr>
        <w:t>, mis omakorda</w:t>
      </w:r>
      <w:r w:rsidR="00BE3630" w:rsidRPr="0024503A">
        <w:rPr>
          <w:rFonts w:ascii="Times New Roman" w:hAnsi="Times New Roman" w:cs="Times New Roman"/>
          <w:sz w:val="24"/>
          <w:szCs w:val="24"/>
        </w:rPr>
        <w:t xml:space="preserve"> </w:t>
      </w:r>
      <w:r w:rsidR="00441276" w:rsidRPr="0024503A">
        <w:rPr>
          <w:rFonts w:ascii="Times New Roman" w:hAnsi="Times New Roman" w:cs="Times New Roman"/>
          <w:sz w:val="24"/>
          <w:szCs w:val="24"/>
        </w:rPr>
        <w:t>aitab</w:t>
      </w:r>
      <w:r w:rsidR="00BE3630">
        <w:rPr>
          <w:rFonts w:ascii="Times New Roman" w:hAnsi="Times New Roman" w:cs="Times New Roman"/>
          <w:sz w:val="24"/>
          <w:szCs w:val="24"/>
        </w:rPr>
        <w:t xml:space="preserve"> </w:t>
      </w:r>
      <w:r w:rsidR="00441276" w:rsidRPr="0024503A">
        <w:rPr>
          <w:rFonts w:ascii="Times New Roman" w:hAnsi="Times New Roman" w:cs="Times New Roman"/>
          <w:sz w:val="24"/>
          <w:szCs w:val="24"/>
        </w:rPr>
        <w:t>pikemas perspektiivis tõsta oluliselt Eesti vilja kvaliteeti ja ohutust</w:t>
      </w:r>
      <w:r w:rsidR="00BE3630">
        <w:rPr>
          <w:rFonts w:ascii="Times New Roman" w:hAnsi="Times New Roman" w:cs="Times New Roman"/>
          <w:sz w:val="24"/>
          <w:szCs w:val="24"/>
        </w:rPr>
        <w:t>.</w:t>
      </w:r>
    </w:p>
    <w:p w:rsidR="00441276" w:rsidRPr="0024503A" w:rsidRDefault="00441276" w:rsidP="00617526">
      <w:pPr>
        <w:pStyle w:val="Heading3"/>
        <w:spacing w:line="276" w:lineRule="auto"/>
        <w:rPr>
          <w:rFonts w:ascii="Times New Roman" w:eastAsiaTheme="minorHAnsi" w:hAnsi="Times New Roman" w:cs="Times New Roman"/>
          <w:b w:val="0"/>
        </w:rPr>
      </w:pPr>
      <w:bookmarkStart w:id="470" w:name="_Toc378697818"/>
      <w:bookmarkStart w:id="471" w:name="_Toc378773265"/>
      <w:bookmarkStart w:id="472" w:name="_Toc379197446"/>
      <w:bookmarkStart w:id="473" w:name="_Toc379205484"/>
      <w:bookmarkStart w:id="474" w:name="_Toc379268180"/>
      <w:bookmarkStart w:id="475" w:name="_Toc379296755"/>
      <w:bookmarkStart w:id="476" w:name="_Toc379373464"/>
      <w:bookmarkStart w:id="477" w:name="_Toc379799848"/>
      <w:bookmarkStart w:id="478" w:name="_Toc381633590"/>
      <w:bookmarkStart w:id="479" w:name="_Toc381633735"/>
      <w:bookmarkStart w:id="480" w:name="_Toc384050903"/>
      <w:bookmarkStart w:id="481" w:name="_Toc384052607"/>
      <w:bookmarkStart w:id="482" w:name="_Toc384283950"/>
      <w:bookmarkStart w:id="483" w:name="_Toc384284061"/>
      <w:bookmarkStart w:id="484" w:name="_Toc384386255"/>
      <w:bookmarkStart w:id="485" w:name="_Toc384386467"/>
      <w:bookmarkStart w:id="486" w:name="_Toc384392333"/>
      <w:bookmarkStart w:id="487" w:name="_Toc385253764"/>
      <w:bookmarkStart w:id="488" w:name="_Toc385335136"/>
      <w:bookmarkStart w:id="489" w:name="_Toc389128805"/>
      <w:bookmarkStart w:id="490" w:name="_Toc389131352"/>
      <w:bookmarkStart w:id="491" w:name="_Toc389223887"/>
      <w:bookmarkStart w:id="492" w:name="_Toc389223949"/>
      <w:bookmarkStart w:id="493" w:name="_Toc391908881"/>
      <w:bookmarkStart w:id="494" w:name="_Toc391991815"/>
      <w:bookmarkStart w:id="495" w:name="_Toc397593035"/>
      <w:bookmarkStart w:id="496" w:name="_Toc398896330"/>
      <w:bookmarkStart w:id="497" w:name="_Toc398896470"/>
      <w:bookmarkStart w:id="498" w:name="_Toc400972842"/>
      <w:r w:rsidRPr="0024503A">
        <w:rPr>
          <w:rFonts w:ascii="Times New Roman" w:eastAsiaTheme="minorHAnsi" w:hAnsi="Times New Roman" w:cs="Times New Roman"/>
        </w:rPr>
        <w:t>Sertifitseeritud seemne kasutamine</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 w:rsidR="00126816" w:rsidRPr="0024503A" w:rsidRDefault="00126816" w:rsidP="00617526">
      <w:pPr>
        <w:spacing w:line="276" w:lineRule="auto"/>
        <w:jc w:val="both"/>
        <w:rPr>
          <w:rFonts w:ascii="Times New Roman" w:eastAsiaTheme="minorHAnsi" w:hAnsi="Times New Roman" w:cs="Times New Roman"/>
          <w:sz w:val="24"/>
          <w:szCs w:val="24"/>
        </w:rPr>
      </w:pPr>
    </w:p>
    <w:p w:rsidR="00441276" w:rsidRPr="0024503A" w:rsidRDefault="00441276" w:rsidP="00617526">
      <w:pPr>
        <w:spacing w:line="276" w:lineRule="auto"/>
        <w:jc w:val="both"/>
        <w:rPr>
          <w:rFonts w:ascii="Times New Roman" w:eastAsiaTheme="minorHAnsi" w:hAnsi="Times New Roman" w:cs="Times New Roman"/>
          <w:sz w:val="24"/>
          <w:szCs w:val="24"/>
        </w:rPr>
      </w:pPr>
      <w:r w:rsidRPr="0024503A">
        <w:rPr>
          <w:rFonts w:ascii="Times New Roman" w:eastAsiaTheme="minorHAnsi" w:hAnsi="Times New Roman" w:cs="Times New Roman"/>
          <w:sz w:val="24"/>
          <w:szCs w:val="24"/>
        </w:rPr>
        <w:t>Seemnete sertifitseerimist korraldab Põllumajandusamet rahvusvaheliste</w:t>
      </w:r>
      <w:r w:rsidR="004139F6">
        <w:rPr>
          <w:rFonts w:ascii="Times New Roman" w:eastAsiaTheme="minorHAnsi" w:hAnsi="Times New Roman" w:cs="Times New Roman"/>
          <w:sz w:val="24"/>
          <w:szCs w:val="24"/>
        </w:rPr>
        <w:t xml:space="preserve"> (EL, OECD)</w:t>
      </w:r>
      <w:r w:rsidRPr="0024503A">
        <w:rPr>
          <w:rFonts w:ascii="Times New Roman" w:eastAsiaTheme="minorHAnsi" w:hAnsi="Times New Roman" w:cs="Times New Roman"/>
          <w:sz w:val="24"/>
          <w:szCs w:val="24"/>
        </w:rPr>
        <w:t xml:space="preserve"> nõuete kohaselt. Nõuetele vastavuse kontrolliks </w:t>
      </w:r>
      <w:proofErr w:type="spellStart"/>
      <w:r w:rsidRPr="0024503A">
        <w:rPr>
          <w:rFonts w:ascii="Times New Roman" w:eastAsiaTheme="minorHAnsi" w:hAnsi="Times New Roman" w:cs="Times New Roman"/>
          <w:sz w:val="24"/>
          <w:szCs w:val="24"/>
        </w:rPr>
        <w:t>põldtunnustatakse</w:t>
      </w:r>
      <w:proofErr w:type="spellEnd"/>
      <w:r w:rsidRPr="0024503A">
        <w:rPr>
          <w:rFonts w:ascii="Times New Roman" w:eastAsiaTheme="minorHAnsi" w:hAnsi="Times New Roman" w:cs="Times New Roman"/>
          <w:sz w:val="24"/>
          <w:szCs w:val="24"/>
        </w:rPr>
        <w:t xml:space="preserve"> kasvupinnad, viiakse nõuetekohaselt läbi proovivõtmine, laborianalüüs ja järelkontrolli põldkatsed. Põldtunnustamise ja järelkontrolli katsete nõuded tule</w:t>
      </w:r>
      <w:r w:rsidR="00A12AFB">
        <w:rPr>
          <w:rFonts w:ascii="Times New Roman" w:eastAsiaTheme="minorHAnsi" w:hAnsi="Times New Roman" w:cs="Times New Roman"/>
          <w:sz w:val="24"/>
          <w:szCs w:val="24"/>
        </w:rPr>
        <w:t>vad eelkõige OECD seemneskeemi</w:t>
      </w:r>
      <w:r w:rsidRPr="0024503A">
        <w:rPr>
          <w:rFonts w:ascii="Times New Roman" w:eastAsiaTheme="minorHAnsi" w:hAnsi="Times New Roman" w:cs="Times New Roman"/>
          <w:sz w:val="24"/>
          <w:szCs w:val="24"/>
        </w:rPr>
        <w:t xml:space="preserve">st. 1997. aastal liitus Eesti 4 kultuurigrupi sordilise seemnete sertifitseerimise skeemiga: 1) kõrrelised ja liblikõielised heintaimed, 2) ristõielised ja teised õli- või  kiukultuuride liigid, 3) teraviljakultuurid, 4) köögiviljakultuurid. Liitumine OECD seemneskeemiga </w:t>
      </w:r>
      <w:r w:rsidR="00D50295" w:rsidRPr="0024503A">
        <w:rPr>
          <w:rFonts w:ascii="Times New Roman" w:eastAsiaTheme="minorHAnsi" w:hAnsi="Times New Roman" w:cs="Times New Roman"/>
          <w:sz w:val="24"/>
          <w:szCs w:val="24"/>
        </w:rPr>
        <w:t>an</w:t>
      </w:r>
      <w:r w:rsidR="00D50295">
        <w:rPr>
          <w:rFonts w:ascii="Times New Roman" w:eastAsiaTheme="minorHAnsi" w:hAnsi="Times New Roman" w:cs="Times New Roman"/>
          <w:sz w:val="24"/>
          <w:szCs w:val="24"/>
        </w:rPr>
        <w:t>dis</w:t>
      </w:r>
      <w:r w:rsidR="00D50295" w:rsidRPr="0024503A">
        <w:rPr>
          <w:rFonts w:ascii="Times New Roman" w:eastAsiaTheme="minorHAnsi" w:hAnsi="Times New Roman" w:cs="Times New Roman"/>
          <w:sz w:val="24"/>
          <w:szCs w:val="24"/>
        </w:rPr>
        <w:t xml:space="preserve"> </w:t>
      </w:r>
      <w:r w:rsidRPr="0024503A">
        <w:rPr>
          <w:rFonts w:ascii="Times New Roman" w:eastAsiaTheme="minorHAnsi" w:hAnsi="Times New Roman" w:cs="Times New Roman"/>
          <w:sz w:val="24"/>
          <w:szCs w:val="24"/>
        </w:rPr>
        <w:t>Eestile võimaluse osaleda rahvusvahelisel seemneturul. OECD nõuded on sisse viidud</w:t>
      </w:r>
      <w:r w:rsidR="00D50295">
        <w:rPr>
          <w:rFonts w:ascii="Times New Roman" w:eastAsiaTheme="minorHAnsi" w:hAnsi="Times New Roman" w:cs="Times New Roman"/>
          <w:sz w:val="24"/>
          <w:szCs w:val="24"/>
        </w:rPr>
        <w:t xml:space="preserve"> ka</w:t>
      </w:r>
      <w:r w:rsidRPr="0024503A">
        <w:rPr>
          <w:rFonts w:ascii="Times New Roman" w:eastAsiaTheme="minorHAnsi" w:hAnsi="Times New Roman" w:cs="Times New Roman"/>
          <w:sz w:val="24"/>
          <w:szCs w:val="24"/>
        </w:rPr>
        <w:t xml:space="preserve"> EL seemnealastesse direktiividesse, mis omakorda on üle toodud Eesti seadusandlusesse (taimede palju</w:t>
      </w:r>
      <w:r w:rsidR="00CE1803">
        <w:rPr>
          <w:rFonts w:ascii="Times New Roman" w:eastAsiaTheme="minorHAnsi" w:hAnsi="Times New Roman" w:cs="Times New Roman"/>
          <w:sz w:val="24"/>
          <w:szCs w:val="24"/>
        </w:rPr>
        <w:t>ndamise ja sordikaitse seadus ning</w:t>
      </w:r>
      <w:r w:rsidRPr="0024503A">
        <w:rPr>
          <w:rFonts w:ascii="Times New Roman" w:eastAsiaTheme="minorHAnsi" w:hAnsi="Times New Roman" w:cs="Times New Roman"/>
          <w:sz w:val="24"/>
          <w:szCs w:val="24"/>
        </w:rPr>
        <w:t xml:space="preserve"> selle rakendusaktid).</w:t>
      </w:r>
    </w:p>
    <w:p w:rsidR="00441276" w:rsidRPr="0024503A" w:rsidRDefault="00441276" w:rsidP="00617526">
      <w:pPr>
        <w:spacing w:line="276" w:lineRule="auto"/>
        <w:jc w:val="both"/>
        <w:rPr>
          <w:rFonts w:ascii="Times New Roman" w:eastAsiaTheme="minorHAnsi" w:hAnsi="Times New Roman" w:cs="Times New Roman"/>
          <w:sz w:val="24"/>
          <w:szCs w:val="24"/>
        </w:rPr>
      </w:pPr>
    </w:p>
    <w:p w:rsidR="00441276" w:rsidRPr="0024503A" w:rsidRDefault="00441276" w:rsidP="00617526">
      <w:pPr>
        <w:spacing w:line="276" w:lineRule="auto"/>
        <w:jc w:val="both"/>
        <w:rPr>
          <w:rFonts w:ascii="Times New Roman" w:eastAsiaTheme="minorHAnsi" w:hAnsi="Times New Roman" w:cs="Times New Roman"/>
          <w:sz w:val="24"/>
          <w:szCs w:val="24"/>
        </w:rPr>
      </w:pPr>
      <w:r w:rsidRPr="0024503A">
        <w:rPr>
          <w:rFonts w:ascii="Times New Roman" w:eastAsiaTheme="minorHAnsi" w:hAnsi="Times New Roman" w:cs="Times New Roman"/>
          <w:sz w:val="24"/>
          <w:szCs w:val="24"/>
        </w:rPr>
        <w:t xml:space="preserve">Seemneproovi võtmise ja analüüsimise nõuded </w:t>
      </w:r>
      <w:r w:rsidR="00D50295">
        <w:rPr>
          <w:rFonts w:ascii="Times New Roman" w:eastAsiaTheme="minorHAnsi" w:hAnsi="Times New Roman" w:cs="Times New Roman"/>
          <w:sz w:val="24"/>
          <w:szCs w:val="24"/>
        </w:rPr>
        <w:t>põhinevad</w:t>
      </w:r>
      <w:r w:rsidR="00D50295" w:rsidRPr="0024503A">
        <w:rPr>
          <w:rFonts w:ascii="Times New Roman" w:eastAsiaTheme="minorHAnsi" w:hAnsi="Times New Roman" w:cs="Times New Roman"/>
          <w:sz w:val="24"/>
          <w:szCs w:val="24"/>
        </w:rPr>
        <w:t xml:space="preserve"> </w:t>
      </w:r>
      <w:r w:rsidRPr="0024503A">
        <w:rPr>
          <w:rFonts w:ascii="Times New Roman" w:eastAsiaTheme="minorHAnsi" w:hAnsi="Times New Roman" w:cs="Times New Roman"/>
          <w:sz w:val="24"/>
          <w:szCs w:val="24"/>
        </w:rPr>
        <w:t>ISTA (Rahvusvaheline Seemnekontrolli Assotsiatsioon) reeglite</w:t>
      </w:r>
      <w:r w:rsidR="00D50295">
        <w:rPr>
          <w:rFonts w:ascii="Times New Roman" w:eastAsiaTheme="minorHAnsi" w:hAnsi="Times New Roman" w:cs="Times New Roman"/>
          <w:sz w:val="24"/>
          <w:szCs w:val="24"/>
        </w:rPr>
        <w:t>le</w:t>
      </w:r>
      <w:r w:rsidRPr="0024503A">
        <w:rPr>
          <w:rFonts w:ascii="Times New Roman" w:eastAsiaTheme="minorHAnsi" w:hAnsi="Times New Roman" w:cs="Times New Roman"/>
          <w:sz w:val="24"/>
          <w:szCs w:val="24"/>
        </w:rPr>
        <w:t xml:space="preserve">. Eesti astus ISTA liikmeks 1924. aastal (Nõukogude Liidu perioodi jooksul ISTA liikmelisus peatus). ISTA akrediteeritud laboratoorium on Põllumajandusuuringute Keskuse seemnekontrolli laboratoorium. Seemnete sertifitseerimise kohta on säilinud andmed alates 1999. aastast. 1999. aastal oli teravilja ja rapsi seemnetootmise </w:t>
      </w:r>
      <w:r w:rsidR="00D50295">
        <w:rPr>
          <w:rFonts w:ascii="Times New Roman" w:eastAsiaTheme="minorHAnsi" w:hAnsi="Times New Roman" w:cs="Times New Roman"/>
          <w:sz w:val="24"/>
          <w:szCs w:val="24"/>
        </w:rPr>
        <w:t>kasvu</w:t>
      </w:r>
      <w:r w:rsidRPr="0024503A">
        <w:rPr>
          <w:rFonts w:ascii="Times New Roman" w:eastAsiaTheme="minorHAnsi" w:hAnsi="Times New Roman" w:cs="Times New Roman"/>
          <w:sz w:val="24"/>
          <w:szCs w:val="24"/>
        </w:rPr>
        <w:t>pind 4</w:t>
      </w:r>
      <w:r w:rsidR="006F4CB2" w:rsidRPr="0024503A">
        <w:rPr>
          <w:rFonts w:ascii="Times New Roman" w:eastAsiaTheme="minorHAnsi" w:hAnsi="Times New Roman" w:cs="Times New Roman"/>
          <w:sz w:val="24"/>
          <w:szCs w:val="24"/>
        </w:rPr>
        <w:t>,7 tuhat hektarit</w:t>
      </w:r>
      <w:r w:rsidRPr="0024503A">
        <w:rPr>
          <w:rFonts w:ascii="Times New Roman" w:eastAsiaTheme="minorHAnsi" w:hAnsi="Times New Roman" w:cs="Times New Roman"/>
          <w:sz w:val="24"/>
          <w:szCs w:val="24"/>
        </w:rPr>
        <w:t xml:space="preserve">, </w:t>
      </w:r>
      <w:r w:rsidR="003E7FA2" w:rsidRPr="0024503A">
        <w:rPr>
          <w:rFonts w:ascii="Times New Roman" w:eastAsiaTheme="minorHAnsi" w:hAnsi="Times New Roman" w:cs="Times New Roman"/>
          <w:sz w:val="24"/>
          <w:szCs w:val="24"/>
        </w:rPr>
        <w:t>mille</w:t>
      </w:r>
      <w:r w:rsidRPr="0024503A">
        <w:rPr>
          <w:rFonts w:ascii="Times New Roman" w:eastAsiaTheme="minorHAnsi" w:hAnsi="Times New Roman" w:cs="Times New Roman"/>
          <w:sz w:val="24"/>
          <w:szCs w:val="24"/>
        </w:rPr>
        <w:t xml:space="preserve"> pinnalt sertifitseeriti seemet 5</w:t>
      </w:r>
      <w:r w:rsidR="006F4CB2" w:rsidRPr="0024503A">
        <w:rPr>
          <w:rFonts w:ascii="Times New Roman" w:eastAsiaTheme="minorHAnsi" w:hAnsi="Times New Roman" w:cs="Times New Roman"/>
          <w:sz w:val="24"/>
          <w:szCs w:val="24"/>
        </w:rPr>
        <w:t>,8 tuhat</w:t>
      </w:r>
      <w:r w:rsidRPr="0024503A">
        <w:rPr>
          <w:rFonts w:ascii="Times New Roman" w:eastAsiaTheme="minorHAnsi" w:hAnsi="Times New Roman" w:cs="Times New Roman"/>
          <w:sz w:val="24"/>
          <w:szCs w:val="24"/>
        </w:rPr>
        <w:t xml:space="preserve"> tonni. Järgneva viie aasta jooksul </w:t>
      </w:r>
      <w:r w:rsidR="006F4CB2" w:rsidRPr="0024503A">
        <w:rPr>
          <w:rFonts w:ascii="Times New Roman" w:eastAsiaTheme="minorHAnsi" w:hAnsi="Times New Roman" w:cs="Times New Roman"/>
          <w:sz w:val="24"/>
          <w:szCs w:val="24"/>
        </w:rPr>
        <w:t>kasvas põldtunnustatud pind 4 tuhande hektari</w:t>
      </w:r>
      <w:r w:rsidRPr="0024503A">
        <w:rPr>
          <w:rFonts w:ascii="Times New Roman" w:eastAsiaTheme="minorHAnsi" w:hAnsi="Times New Roman" w:cs="Times New Roman"/>
          <w:sz w:val="24"/>
          <w:szCs w:val="24"/>
        </w:rPr>
        <w:t xml:space="preserve"> võrra, aastal 2004</w:t>
      </w:r>
      <w:r w:rsidR="006F4CB2" w:rsidRPr="0024503A">
        <w:rPr>
          <w:rFonts w:ascii="Times New Roman" w:eastAsiaTheme="minorHAnsi" w:hAnsi="Times New Roman" w:cs="Times New Roman"/>
          <w:sz w:val="24"/>
          <w:szCs w:val="24"/>
        </w:rPr>
        <w:t xml:space="preserve"> oli see 9,7 tuhat hektarit</w:t>
      </w:r>
      <w:r w:rsidRPr="0024503A">
        <w:rPr>
          <w:rFonts w:ascii="Times New Roman" w:eastAsiaTheme="minorHAnsi" w:hAnsi="Times New Roman" w:cs="Times New Roman"/>
          <w:sz w:val="24"/>
          <w:szCs w:val="24"/>
        </w:rPr>
        <w:t xml:space="preserve"> ning teravilja ja rapsi seemnesaak kokku 14</w:t>
      </w:r>
      <w:r w:rsidR="006F4CB2" w:rsidRPr="0024503A">
        <w:rPr>
          <w:rFonts w:ascii="Times New Roman" w:eastAsiaTheme="minorHAnsi" w:hAnsi="Times New Roman" w:cs="Times New Roman"/>
          <w:sz w:val="24"/>
          <w:szCs w:val="24"/>
        </w:rPr>
        <w:t xml:space="preserve"> tuhat</w:t>
      </w:r>
      <w:r w:rsidRPr="0024503A">
        <w:rPr>
          <w:rFonts w:ascii="Times New Roman" w:eastAsiaTheme="minorHAnsi" w:hAnsi="Times New Roman" w:cs="Times New Roman"/>
          <w:sz w:val="24"/>
          <w:szCs w:val="24"/>
        </w:rPr>
        <w:t xml:space="preserve"> tonni</w:t>
      </w:r>
      <w:r w:rsidR="00FD7FF1" w:rsidRPr="0024503A">
        <w:rPr>
          <w:rFonts w:ascii="Times New Roman" w:eastAsiaTheme="minorHAnsi" w:hAnsi="Times New Roman" w:cs="Times New Roman"/>
          <w:sz w:val="24"/>
          <w:szCs w:val="24"/>
        </w:rPr>
        <w:t xml:space="preserve"> (joonis 15)</w:t>
      </w:r>
      <w:r w:rsidRPr="0024503A">
        <w:rPr>
          <w:rFonts w:ascii="Times New Roman" w:eastAsiaTheme="minorHAnsi" w:hAnsi="Times New Roman" w:cs="Times New Roman"/>
          <w:sz w:val="24"/>
          <w:szCs w:val="24"/>
        </w:rPr>
        <w:t>. Veel järgneva, 2005. aasta, seemnesaagist sertifitseeriti 17</w:t>
      </w:r>
      <w:r w:rsidR="006F4CB2" w:rsidRPr="0024503A">
        <w:rPr>
          <w:rFonts w:ascii="Times New Roman" w:eastAsiaTheme="minorHAnsi" w:hAnsi="Times New Roman" w:cs="Times New Roman"/>
          <w:sz w:val="24"/>
          <w:szCs w:val="24"/>
        </w:rPr>
        <w:t>,1 tuhat</w:t>
      </w:r>
      <w:r w:rsidRPr="0024503A">
        <w:rPr>
          <w:rFonts w:ascii="Times New Roman" w:eastAsiaTheme="minorHAnsi" w:hAnsi="Times New Roman" w:cs="Times New Roman"/>
          <w:sz w:val="24"/>
          <w:szCs w:val="24"/>
        </w:rPr>
        <w:t xml:space="preserve"> tonni seemet. Euroopa Liidu turu avanemine, idaturu sulgumine, uute nõuete kehtestamine ja riigilõivude kehtestamine (taimede paljundamise</w:t>
      </w:r>
      <w:r w:rsidR="00096895">
        <w:rPr>
          <w:rFonts w:ascii="Times New Roman" w:eastAsiaTheme="minorHAnsi" w:hAnsi="Times New Roman" w:cs="Times New Roman"/>
          <w:sz w:val="24"/>
          <w:szCs w:val="24"/>
        </w:rPr>
        <w:t xml:space="preserve"> ja</w:t>
      </w:r>
      <w:r w:rsidRPr="0024503A">
        <w:rPr>
          <w:rFonts w:ascii="Times New Roman" w:eastAsiaTheme="minorHAnsi" w:hAnsi="Times New Roman" w:cs="Times New Roman"/>
          <w:sz w:val="24"/>
          <w:szCs w:val="24"/>
        </w:rPr>
        <w:t xml:space="preserve"> sordikaitse seadus võeti vastu 8.12.2005) ning finantsvahendite piiratus tõid kaasa olukorra, kus paljud seemnetootjad lõpetasid tegevuse, mis omakorda tõi kaasa seemnepõldude üldpinna vähenemise. </w:t>
      </w:r>
    </w:p>
    <w:p w:rsidR="00441276" w:rsidRPr="0024503A" w:rsidRDefault="00441276" w:rsidP="00617526">
      <w:pPr>
        <w:spacing w:line="276" w:lineRule="auto"/>
        <w:jc w:val="both"/>
        <w:rPr>
          <w:rFonts w:ascii="Times New Roman" w:eastAsiaTheme="minorHAnsi" w:hAnsi="Times New Roman" w:cs="Times New Roman"/>
          <w:sz w:val="24"/>
          <w:szCs w:val="24"/>
        </w:rPr>
      </w:pPr>
    </w:p>
    <w:p w:rsidR="007854DB" w:rsidRDefault="00441276" w:rsidP="007854DB">
      <w:pPr>
        <w:spacing w:line="276" w:lineRule="auto"/>
        <w:jc w:val="both"/>
        <w:rPr>
          <w:rStyle w:val="CommentReference"/>
          <w:rFonts w:ascii="Times New Roman" w:hAnsi="Times New Roman" w:cs="Times New Roman"/>
          <w:sz w:val="24"/>
          <w:szCs w:val="24"/>
        </w:rPr>
      </w:pPr>
      <w:r w:rsidRPr="0024503A">
        <w:rPr>
          <w:rFonts w:ascii="Times New Roman" w:eastAsiaTheme="minorHAnsi" w:hAnsi="Times New Roman" w:cs="Times New Roman"/>
          <w:sz w:val="24"/>
          <w:szCs w:val="24"/>
        </w:rPr>
        <w:t>2006. aastal oli teravilja ja rapsi seemnepõldude kasvupind kokku 3</w:t>
      </w:r>
      <w:r w:rsidR="006F4CB2" w:rsidRPr="0024503A">
        <w:rPr>
          <w:rFonts w:ascii="Times New Roman" w:eastAsiaTheme="minorHAnsi" w:hAnsi="Times New Roman" w:cs="Times New Roman"/>
          <w:sz w:val="24"/>
          <w:szCs w:val="24"/>
        </w:rPr>
        <w:t>,</w:t>
      </w:r>
      <w:r w:rsidRPr="0024503A">
        <w:rPr>
          <w:rFonts w:ascii="Times New Roman" w:eastAsiaTheme="minorHAnsi" w:hAnsi="Times New Roman" w:cs="Times New Roman"/>
          <w:sz w:val="24"/>
          <w:szCs w:val="24"/>
        </w:rPr>
        <w:t>7</w:t>
      </w:r>
      <w:r w:rsidR="006F4CB2" w:rsidRPr="0024503A">
        <w:rPr>
          <w:rFonts w:ascii="Times New Roman" w:eastAsiaTheme="minorHAnsi" w:hAnsi="Times New Roman" w:cs="Times New Roman"/>
          <w:sz w:val="24"/>
          <w:szCs w:val="24"/>
        </w:rPr>
        <w:t xml:space="preserve"> tuhat hektarit</w:t>
      </w:r>
      <w:r w:rsidRPr="0024503A">
        <w:rPr>
          <w:rFonts w:ascii="Times New Roman" w:eastAsiaTheme="minorHAnsi" w:hAnsi="Times New Roman" w:cs="Times New Roman"/>
          <w:sz w:val="24"/>
          <w:szCs w:val="24"/>
        </w:rPr>
        <w:t>, seem</w:t>
      </w:r>
      <w:r w:rsidR="006F4CB2" w:rsidRPr="0024503A">
        <w:rPr>
          <w:rFonts w:ascii="Times New Roman" w:eastAsiaTheme="minorHAnsi" w:hAnsi="Times New Roman" w:cs="Times New Roman"/>
          <w:sz w:val="24"/>
          <w:szCs w:val="24"/>
        </w:rPr>
        <w:t>nesaak sellelt pinnalt vaid 6,9 tuhat</w:t>
      </w:r>
      <w:r w:rsidRPr="0024503A">
        <w:rPr>
          <w:rFonts w:ascii="Times New Roman" w:eastAsiaTheme="minorHAnsi" w:hAnsi="Times New Roman" w:cs="Times New Roman"/>
          <w:sz w:val="24"/>
          <w:szCs w:val="24"/>
        </w:rPr>
        <w:t xml:space="preserve"> tonni. </w:t>
      </w:r>
      <w:r w:rsidR="00586FDA">
        <w:rPr>
          <w:rFonts w:ascii="Times New Roman" w:eastAsiaTheme="minorHAnsi" w:hAnsi="Times New Roman" w:cs="Times New Roman"/>
          <w:sz w:val="24"/>
          <w:szCs w:val="24"/>
        </w:rPr>
        <w:t>I</w:t>
      </w:r>
      <w:r w:rsidRPr="0024503A">
        <w:rPr>
          <w:rFonts w:ascii="Times New Roman" w:eastAsiaTheme="minorHAnsi" w:hAnsi="Times New Roman" w:cs="Times New Roman"/>
          <w:sz w:val="24"/>
          <w:szCs w:val="24"/>
        </w:rPr>
        <w:t>gal</w:t>
      </w:r>
      <w:r w:rsidR="00586FDA">
        <w:rPr>
          <w:rFonts w:ascii="Times New Roman" w:eastAsiaTheme="minorHAnsi" w:hAnsi="Times New Roman" w:cs="Times New Roman"/>
          <w:sz w:val="24"/>
          <w:szCs w:val="24"/>
        </w:rPr>
        <w:t xml:space="preserve"> järgneval</w:t>
      </w:r>
      <w:r w:rsidRPr="0024503A">
        <w:rPr>
          <w:rFonts w:ascii="Times New Roman" w:eastAsiaTheme="minorHAnsi" w:hAnsi="Times New Roman" w:cs="Times New Roman"/>
          <w:sz w:val="24"/>
          <w:szCs w:val="24"/>
        </w:rPr>
        <w:t xml:space="preserve"> aastal</w:t>
      </w:r>
      <w:r w:rsidR="00586FDA">
        <w:rPr>
          <w:rFonts w:ascii="Times New Roman" w:eastAsiaTheme="minorHAnsi" w:hAnsi="Times New Roman" w:cs="Times New Roman"/>
          <w:sz w:val="24"/>
          <w:szCs w:val="24"/>
        </w:rPr>
        <w:t xml:space="preserve"> on</w:t>
      </w:r>
      <w:r w:rsidRPr="0024503A">
        <w:rPr>
          <w:rFonts w:ascii="Times New Roman" w:eastAsiaTheme="minorHAnsi" w:hAnsi="Times New Roman" w:cs="Times New Roman"/>
          <w:sz w:val="24"/>
          <w:szCs w:val="24"/>
        </w:rPr>
        <w:t xml:space="preserve"> teravilja ja rapsi seemnetootmise kasvupind kasvanud, 2012. aastal oli see 6</w:t>
      </w:r>
      <w:r w:rsidR="006F4CB2" w:rsidRPr="0024503A">
        <w:rPr>
          <w:rFonts w:ascii="Times New Roman" w:eastAsiaTheme="minorHAnsi" w:hAnsi="Times New Roman" w:cs="Times New Roman"/>
          <w:sz w:val="24"/>
          <w:szCs w:val="24"/>
        </w:rPr>
        <w:t>,</w:t>
      </w:r>
      <w:r w:rsidRPr="0024503A">
        <w:rPr>
          <w:rFonts w:ascii="Times New Roman" w:eastAsiaTheme="minorHAnsi" w:hAnsi="Times New Roman" w:cs="Times New Roman"/>
          <w:sz w:val="24"/>
          <w:szCs w:val="24"/>
        </w:rPr>
        <w:t>3</w:t>
      </w:r>
      <w:r w:rsidR="006F4CB2" w:rsidRPr="0024503A">
        <w:rPr>
          <w:rFonts w:ascii="Times New Roman" w:eastAsiaTheme="minorHAnsi" w:hAnsi="Times New Roman" w:cs="Times New Roman"/>
          <w:sz w:val="24"/>
          <w:szCs w:val="24"/>
        </w:rPr>
        <w:t xml:space="preserve"> tuhat hektarit</w:t>
      </w:r>
      <w:r w:rsidRPr="0024503A">
        <w:rPr>
          <w:rFonts w:ascii="Times New Roman" w:eastAsiaTheme="minorHAnsi" w:hAnsi="Times New Roman" w:cs="Times New Roman"/>
          <w:sz w:val="24"/>
          <w:szCs w:val="24"/>
        </w:rPr>
        <w:t xml:space="preserve">. Oluliselt on kasvanud ka sertifitseeritud </w:t>
      </w:r>
      <w:r w:rsidRPr="0024503A">
        <w:rPr>
          <w:rFonts w:ascii="Times New Roman" w:eastAsiaTheme="minorHAnsi" w:hAnsi="Times New Roman" w:cs="Times New Roman"/>
          <w:sz w:val="24"/>
          <w:szCs w:val="24"/>
        </w:rPr>
        <w:lastRenderedPageBreak/>
        <w:t>seemne kogused, 2012/2013</w:t>
      </w:r>
      <w:r w:rsidR="00AB28E3">
        <w:rPr>
          <w:rFonts w:ascii="Times New Roman" w:eastAsiaTheme="minorHAnsi" w:hAnsi="Times New Roman" w:cs="Times New Roman"/>
          <w:sz w:val="24"/>
          <w:szCs w:val="24"/>
        </w:rPr>
        <w:t>.</w:t>
      </w:r>
      <w:r w:rsidRPr="0024503A">
        <w:rPr>
          <w:rFonts w:ascii="Times New Roman" w:eastAsiaTheme="minorHAnsi" w:hAnsi="Times New Roman" w:cs="Times New Roman"/>
          <w:sz w:val="24"/>
          <w:szCs w:val="24"/>
        </w:rPr>
        <w:t xml:space="preserve"> sertifitseerimisaastal toodeti kokku 18</w:t>
      </w:r>
      <w:r w:rsidR="006F4CB2" w:rsidRPr="0024503A">
        <w:rPr>
          <w:rFonts w:ascii="Times New Roman" w:eastAsiaTheme="minorHAnsi" w:hAnsi="Times New Roman" w:cs="Times New Roman"/>
          <w:sz w:val="24"/>
          <w:szCs w:val="24"/>
        </w:rPr>
        <w:t>,6 tuhat</w:t>
      </w:r>
      <w:r w:rsidRPr="0024503A">
        <w:rPr>
          <w:rFonts w:ascii="Times New Roman" w:eastAsiaTheme="minorHAnsi" w:hAnsi="Times New Roman" w:cs="Times New Roman"/>
          <w:sz w:val="24"/>
          <w:szCs w:val="24"/>
        </w:rPr>
        <w:t xml:space="preserve"> tonni teravilja ja rapsi seemet. Võrreldes 2006. aastaga on seemnesaak kolmekordistunud.</w:t>
      </w:r>
      <w:r w:rsidR="009A0D51" w:rsidRPr="0024503A">
        <w:rPr>
          <w:rFonts w:ascii="Times New Roman" w:eastAsiaTheme="minorHAnsi" w:hAnsi="Times New Roman" w:cs="Times New Roman"/>
          <w:sz w:val="24"/>
          <w:szCs w:val="24"/>
        </w:rPr>
        <w:t xml:space="preserve"> </w:t>
      </w:r>
      <w:r w:rsidR="009A0D51" w:rsidRPr="0024503A">
        <w:rPr>
          <w:rFonts w:ascii="Times New Roman" w:hAnsi="Times New Roman" w:cs="Times New Roman"/>
          <w:sz w:val="24"/>
          <w:szCs w:val="24"/>
        </w:rPr>
        <w:t>Enamus Eestis külvatavast rapsiseemnest on toodetud ja sertifitseeritud mujal Euroopa Liidus.</w:t>
      </w:r>
      <w:r w:rsidR="009A0D51" w:rsidRPr="0024503A">
        <w:rPr>
          <w:rStyle w:val="CommentReference"/>
          <w:rFonts w:ascii="Times New Roman" w:hAnsi="Times New Roman" w:cs="Times New Roman"/>
          <w:sz w:val="24"/>
          <w:szCs w:val="24"/>
        </w:rPr>
        <w:t xml:space="preserve"> </w:t>
      </w:r>
      <w:r w:rsidR="007854DB" w:rsidRPr="007854DB">
        <w:rPr>
          <w:rStyle w:val="CommentReference"/>
          <w:rFonts w:ascii="Times New Roman" w:hAnsi="Times New Roman" w:cs="Times New Roman"/>
          <w:sz w:val="24"/>
          <w:szCs w:val="24"/>
        </w:rPr>
        <w:t xml:space="preserve">Statistikaameti </w:t>
      </w:r>
      <w:r w:rsidR="007854DB">
        <w:rPr>
          <w:rStyle w:val="CommentReference"/>
          <w:rFonts w:ascii="Times New Roman" w:hAnsi="Times New Roman" w:cs="Times New Roman"/>
          <w:sz w:val="24"/>
          <w:szCs w:val="24"/>
        </w:rPr>
        <w:t xml:space="preserve">2011. aasta </w:t>
      </w:r>
      <w:r w:rsidR="007854DB" w:rsidRPr="007854DB">
        <w:rPr>
          <w:rStyle w:val="CommentReference"/>
          <w:rFonts w:ascii="Times New Roman" w:hAnsi="Times New Roman" w:cs="Times New Roman"/>
          <w:sz w:val="24"/>
          <w:szCs w:val="24"/>
        </w:rPr>
        <w:t xml:space="preserve">andmetel oli külviks kasutatud sertifitseeritud teraviljaseemne osakaal </w:t>
      </w:r>
      <w:r w:rsidR="007854DB">
        <w:rPr>
          <w:rStyle w:val="CommentReference"/>
          <w:rFonts w:ascii="Times New Roman" w:hAnsi="Times New Roman" w:cs="Times New Roman"/>
          <w:sz w:val="24"/>
          <w:szCs w:val="24"/>
        </w:rPr>
        <w:t>ca 9,8</w:t>
      </w:r>
      <w:r w:rsidR="007854DB" w:rsidRPr="007854DB">
        <w:rPr>
          <w:rStyle w:val="CommentReference"/>
          <w:rFonts w:ascii="Times New Roman" w:hAnsi="Times New Roman" w:cs="Times New Roman"/>
          <w:sz w:val="24"/>
          <w:szCs w:val="24"/>
        </w:rPr>
        <w:t>% (nisu, odra, kaera, rukki ja tritikale keskmine).</w:t>
      </w:r>
      <w:r w:rsidR="007854DB">
        <w:rPr>
          <w:rStyle w:val="CommentReference"/>
          <w:rFonts w:ascii="Times New Roman" w:hAnsi="Times New Roman" w:cs="Times New Roman"/>
          <w:sz w:val="24"/>
          <w:szCs w:val="24"/>
        </w:rPr>
        <w:t xml:space="preserve"> </w:t>
      </w:r>
      <w:r w:rsidR="007854DB" w:rsidRPr="007854DB">
        <w:rPr>
          <w:rStyle w:val="CommentReference"/>
          <w:rFonts w:ascii="Times New Roman" w:hAnsi="Times New Roman" w:cs="Times New Roman"/>
          <w:sz w:val="24"/>
          <w:szCs w:val="24"/>
        </w:rPr>
        <w:t>PMA andmetel sertifitseeriti Eestis teraviljaseemet koguses</w:t>
      </w:r>
      <w:r w:rsidR="007854DB">
        <w:rPr>
          <w:rStyle w:val="CommentReference"/>
          <w:rFonts w:ascii="Times New Roman" w:hAnsi="Times New Roman" w:cs="Times New Roman"/>
          <w:sz w:val="24"/>
          <w:szCs w:val="24"/>
        </w:rPr>
        <w:t>,</w:t>
      </w:r>
      <w:r w:rsidR="007854DB" w:rsidRPr="007854DB">
        <w:rPr>
          <w:rStyle w:val="CommentReference"/>
          <w:rFonts w:ascii="Times New Roman" w:hAnsi="Times New Roman" w:cs="Times New Roman"/>
          <w:sz w:val="24"/>
          <w:szCs w:val="24"/>
        </w:rPr>
        <w:t xml:space="preserve"> mis kataks </w:t>
      </w:r>
      <w:r w:rsidR="007854DB">
        <w:rPr>
          <w:rStyle w:val="CommentReference"/>
          <w:rFonts w:ascii="Times New Roman" w:hAnsi="Times New Roman" w:cs="Times New Roman"/>
          <w:sz w:val="24"/>
          <w:szCs w:val="24"/>
        </w:rPr>
        <w:t>nimetatud aastal 24</w:t>
      </w:r>
      <w:r w:rsidR="007854DB" w:rsidRPr="007854DB">
        <w:rPr>
          <w:rStyle w:val="CommentReference"/>
          <w:rFonts w:ascii="Times New Roman" w:hAnsi="Times New Roman" w:cs="Times New Roman"/>
          <w:sz w:val="24"/>
          <w:szCs w:val="24"/>
        </w:rPr>
        <w:t>% kogu teravilja kasvupinna vajadusest.</w:t>
      </w:r>
      <w:r w:rsidR="007854DB">
        <w:rPr>
          <w:rStyle w:val="CommentReference"/>
          <w:rFonts w:ascii="Times New Roman" w:hAnsi="Times New Roman" w:cs="Times New Roman"/>
          <w:sz w:val="24"/>
          <w:szCs w:val="24"/>
        </w:rPr>
        <w:t xml:space="preserve"> Seega </w:t>
      </w:r>
      <w:r w:rsidR="007854DB" w:rsidRPr="007854DB">
        <w:rPr>
          <w:rStyle w:val="CommentReference"/>
          <w:rFonts w:ascii="Times New Roman" w:hAnsi="Times New Roman" w:cs="Times New Roman"/>
          <w:sz w:val="24"/>
          <w:szCs w:val="24"/>
        </w:rPr>
        <w:t>Eestis sertifitseeritud teraviljaseemnest ligikaudu 50 protsenti viiakse välja.</w:t>
      </w:r>
    </w:p>
    <w:p w:rsidR="00B576D1" w:rsidRPr="00785DD4" w:rsidRDefault="007B460F" w:rsidP="00617526">
      <w:pPr>
        <w:spacing w:line="276" w:lineRule="auto"/>
        <w:jc w:val="both"/>
        <w:rPr>
          <w:rFonts w:eastAsiaTheme="minorHAnsi" w:cs="Arial"/>
          <w:sz w:val="24"/>
          <w:szCs w:val="24"/>
        </w:rPr>
      </w:pPr>
      <w:r w:rsidRPr="004C2338">
        <w:rPr>
          <w:noProof/>
          <w:sz w:val="24"/>
          <w:szCs w:val="24"/>
        </w:rPr>
        <w:drawing>
          <wp:inline distT="0" distB="0" distL="0" distR="0" wp14:anchorId="5B47CDC3" wp14:editId="6CADA501">
            <wp:extent cx="6096000" cy="2028825"/>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41276" w:rsidRPr="00843E0A" w:rsidRDefault="00441276" w:rsidP="00617526">
      <w:pPr>
        <w:spacing w:line="276" w:lineRule="auto"/>
        <w:jc w:val="both"/>
        <w:rPr>
          <w:rFonts w:ascii="Arial" w:eastAsiaTheme="minorHAnsi" w:hAnsi="Arial" w:cs="Arial"/>
        </w:rPr>
      </w:pPr>
      <w:r w:rsidRPr="00843E0A">
        <w:rPr>
          <w:rFonts w:ascii="Arial" w:eastAsiaTheme="minorHAnsi" w:hAnsi="Arial" w:cs="Arial"/>
        </w:rPr>
        <w:t>Allikas</w:t>
      </w:r>
      <w:r w:rsidR="00731194" w:rsidRPr="00843E0A">
        <w:rPr>
          <w:rFonts w:ascii="Arial" w:eastAsiaTheme="minorHAnsi" w:hAnsi="Arial" w:cs="Arial"/>
        </w:rPr>
        <w:t>: PMA</w:t>
      </w:r>
    </w:p>
    <w:p w:rsidR="00441276" w:rsidRPr="0024503A" w:rsidRDefault="00441276" w:rsidP="00617526">
      <w:pPr>
        <w:spacing w:line="276" w:lineRule="auto"/>
        <w:jc w:val="both"/>
        <w:rPr>
          <w:rFonts w:ascii="Times New Roman" w:eastAsiaTheme="minorHAnsi" w:hAnsi="Times New Roman" w:cs="Times New Roman"/>
          <w:b/>
          <w:sz w:val="24"/>
          <w:szCs w:val="24"/>
        </w:rPr>
      </w:pPr>
      <w:r w:rsidRPr="0024503A">
        <w:rPr>
          <w:rFonts w:ascii="Times New Roman" w:eastAsiaTheme="minorHAnsi" w:hAnsi="Times New Roman" w:cs="Times New Roman"/>
          <w:b/>
          <w:sz w:val="24"/>
          <w:szCs w:val="24"/>
        </w:rPr>
        <w:t>Joonis</w:t>
      </w:r>
      <w:r w:rsidR="00FD7FF1" w:rsidRPr="0024503A">
        <w:rPr>
          <w:rFonts w:ascii="Times New Roman" w:eastAsiaTheme="minorHAnsi" w:hAnsi="Times New Roman" w:cs="Times New Roman"/>
          <w:b/>
          <w:sz w:val="24"/>
          <w:szCs w:val="24"/>
        </w:rPr>
        <w:t xml:space="preserve"> 15</w:t>
      </w:r>
      <w:r w:rsidRPr="0024503A">
        <w:rPr>
          <w:rFonts w:ascii="Times New Roman" w:eastAsiaTheme="minorHAnsi" w:hAnsi="Times New Roman" w:cs="Times New Roman"/>
          <w:b/>
          <w:sz w:val="24"/>
          <w:szCs w:val="24"/>
        </w:rPr>
        <w:t>. Põldtunnustatud teraviljaseemne ja rapsi seemnetootmise kasvupind  ja sertifitseeritud seemnekogus aastatel 1999</w:t>
      </w:r>
      <w:r w:rsidRPr="0024503A">
        <w:rPr>
          <w:rFonts w:ascii="Times New Roman" w:eastAsiaTheme="minorHAnsi" w:hAnsi="Times New Roman" w:cs="Times New Roman"/>
          <w:b/>
          <w:sz w:val="24"/>
          <w:szCs w:val="24"/>
        </w:rPr>
        <w:softHyphen/>
      </w:r>
      <w:r w:rsidRPr="0024503A">
        <w:rPr>
          <w:rFonts w:ascii="Times New Roman" w:eastAsiaTheme="minorHAnsi" w:hAnsi="Times New Roman" w:cs="Times New Roman"/>
          <w:b/>
          <w:sz w:val="24"/>
          <w:szCs w:val="24"/>
        </w:rPr>
        <w:softHyphen/>
      </w:r>
      <w:r w:rsidRPr="0024503A">
        <w:rPr>
          <w:rFonts w:ascii="Times New Roman" w:eastAsiaTheme="minorHAnsi" w:hAnsi="Times New Roman" w:cs="Times New Roman"/>
          <w:b/>
          <w:sz w:val="24"/>
          <w:szCs w:val="24"/>
        </w:rPr>
        <w:softHyphen/>
        <w:t>–2013</w:t>
      </w:r>
    </w:p>
    <w:p w:rsidR="00441276" w:rsidRPr="0024503A" w:rsidRDefault="00441276" w:rsidP="00617526">
      <w:pPr>
        <w:spacing w:line="276" w:lineRule="auto"/>
        <w:jc w:val="both"/>
        <w:rPr>
          <w:rFonts w:ascii="Times New Roman" w:eastAsiaTheme="minorHAnsi" w:hAnsi="Times New Roman" w:cs="Times New Roman"/>
          <w:sz w:val="24"/>
          <w:szCs w:val="24"/>
        </w:rPr>
      </w:pPr>
    </w:p>
    <w:p w:rsidR="00E40A1A" w:rsidRPr="001E43EC" w:rsidRDefault="00441276" w:rsidP="00617526">
      <w:pPr>
        <w:spacing w:line="276" w:lineRule="auto"/>
        <w:jc w:val="both"/>
        <w:rPr>
          <w:rFonts w:ascii="Times New Roman" w:eastAsiaTheme="minorHAnsi" w:hAnsi="Times New Roman" w:cs="Times New Roman"/>
          <w:sz w:val="24"/>
          <w:szCs w:val="24"/>
        </w:rPr>
      </w:pPr>
      <w:r w:rsidRPr="0024503A">
        <w:rPr>
          <w:rFonts w:ascii="Times New Roman" w:eastAsiaTheme="minorHAnsi" w:hAnsi="Times New Roman" w:cs="Times New Roman"/>
          <w:sz w:val="24"/>
          <w:szCs w:val="24"/>
        </w:rPr>
        <w:t>Teraviljakultuuridest toodetakse kõige rohkem nisu- ja odraseemet. 2012/2013</w:t>
      </w:r>
      <w:r w:rsidR="00923E36">
        <w:rPr>
          <w:rFonts w:ascii="Times New Roman" w:eastAsiaTheme="minorHAnsi" w:hAnsi="Times New Roman" w:cs="Times New Roman"/>
          <w:sz w:val="24"/>
          <w:szCs w:val="24"/>
        </w:rPr>
        <w:t>.</w:t>
      </w:r>
      <w:r w:rsidRPr="0024503A">
        <w:rPr>
          <w:rFonts w:ascii="Times New Roman" w:eastAsiaTheme="minorHAnsi" w:hAnsi="Times New Roman" w:cs="Times New Roman"/>
          <w:sz w:val="24"/>
          <w:szCs w:val="24"/>
        </w:rPr>
        <w:t xml:space="preserve"> sertifitseerimisaasta näitel toodeti kogu teraviljaseemnest 46% nisu, 40% otra, 9% kaera, 3% rukist ning 2 % tritikalet</w:t>
      </w:r>
      <w:r w:rsidR="00FD7FF1" w:rsidRPr="0024503A">
        <w:rPr>
          <w:rFonts w:ascii="Times New Roman" w:eastAsiaTheme="minorHAnsi" w:hAnsi="Times New Roman" w:cs="Times New Roman"/>
          <w:sz w:val="24"/>
          <w:szCs w:val="24"/>
        </w:rPr>
        <w:t xml:space="preserve"> (joonis 16)</w:t>
      </w:r>
      <w:r w:rsidRPr="0024503A">
        <w:rPr>
          <w:rFonts w:ascii="Times New Roman" w:eastAsiaTheme="minorHAnsi" w:hAnsi="Times New Roman" w:cs="Times New Roman"/>
          <w:sz w:val="24"/>
          <w:szCs w:val="24"/>
        </w:rPr>
        <w:t>. Rapsiseemet ka</w:t>
      </w:r>
      <w:r w:rsidR="008043EB" w:rsidRPr="0024503A">
        <w:rPr>
          <w:rFonts w:ascii="Times New Roman" w:eastAsiaTheme="minorHAnsi" w:hAnsi="Times New Roman" w:cs="Times New Roman"/>
          <w:sz w:val="24"/>
          <w:szCs w:val="24"/>
        </w:rPr>
        <w:t>svatati 2013. aastal kokku 52 hektaril</w:t>
      </w:r>
      <w:r w:rsidR="0084797B">
        <w:rPr>
          <w:rFonts w:ascii="Times New Roman" w:eastAsiaTheme="minorHAnsi" w:hAnsi="Times New Roman" w:cs="Times New Roman"/>
          <w:sz w:val="24"/>
          <w:szCs w:val="24"/>
        </w:rPr>
        <w:t>, millest suvirapsi seemnesaak</w:t>
      </w:r>
      <w:r w:rsidRPr="0024503A">
        <w:rPr>
          <w:rFonts w:ascii="Times New Roman" w:eastAsiaTheme="minorHAnsi" w:hAnsi="Times New Roman" w:cs="Times New Roman"/>
          <w:sz w:val="24"/>
          <w:szCs w:val="24"/>
        </w:rPr>
        <w:t xml:space="preserve"> </w:t>
      </w:r>
      <w:r w:rsidR="0084797B">
        <w:rPr>
          <w:rFonts w:ascii="Times New Roman" w:eastAsiaTheme="minorHAnsi" w:hAnsi="Times New Roman" w:cs="Times New Roman"/>
          <w:sz w:val="24"/>
          <w:szCs w:val="24"/>
        </w:rPr>
        <w:t>moodustas</w:t>
      </w:r>
      <w:r w:rsidRPr="0024503A">
        <w:rPr>
          <w:rFonts w:ascii="Times New Roman" w:eastAsiaTheme="minorHAnsi" w:hAnsi="Times New Roman" w:cs="Times New Roman"/>
          <w:sz w:val="24"/>
          <w:szCs w:val="24"/>
        </w:rPr>
        <w:t xml:space="preserve"> 83%.</w:t>
      </w:r>
    </w:p>
    <w:p w:rsidR="00441276" w:rsidRPr="00785DD4" w:rsidRDefault="00E40A1A" w:rsidP="00617526">
      <w:pPr>
        <w:spacing w:line="276" w:lineRule="auto"/>
        <w:jc w:val="both"/>
        <w:rPr>
          <w:rFonts w:eastAsiaTheme="minorHAnsi"/>
          <w:sz w:val="24"/>
          <w:szCs w:val="24"/>
        </w:rPr>
      </w:pPr>
      <w:r w:rsidRPr="00843E0A">
        <w:rPr>
          <w:noProof/>
          <w:sz w:val="16"/>
          <w:szCs w:val="16"/>
        </w:rPr>
        <w:drawing>
          <wp:inline distT="0" distB="0" distL="0" distR="0" wp14:anchorId="5C9FF82B" wp14:editId="00007D8A">
            <wp:extent cx="6096000" cy="2066925"/>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D7FF1" w:rsidRPr="001E43EC" w:rsidRDefault="00FD7FF1" w:rsidP="00617526">
      <w:pPr>
        <w:spacing w:line="276" w:lineRule="auto"/>
        <w:jc w:val="both"/>
        <w:rPr>
          <w:rFonts w:ascii="Arial" w:hAnsi="Arial" w:cs="Arial"/>
        </w:rPr>
      </w:pPr>
      <w:r w:rsidRPr="001E43EC">
        <w:rPr>
          <w:rFonts w:ascii="Arial" w:hAnsi="Arial" w:cs="Arial"/>
        </w:rPr>
        <w:t xml:space="preserve">Allikas: </w:t>
      </w:r>
      <w:r w:rsidR="00731194" w:rsidRPr="001E43EC">
        <w:rPr>
          <w:rFonts w:ascii="Arial" w:hAnsi="Arial" w:cs="Arial"/>
        </w:rPr>
        <w:t>PMA</w:t>
      </w:r>
    </w:p>
    <w:p w:rsidR="00441276" w:rsidRPr="0024503A" w:rsidRDefault="00441276" w:rsidP="00617526">
      <w:pPr>
        <w:spacing w:line="276" w:lineRule="auto"/>
        <w:jc w:val="both"/>
        <w:rPr>
          <w:rFonts w:ascii="Times New Roman" w:eastAsiaTheme="minorHAnsi" w:hAnsi="Times New Roman" w:cs="Times New Roman"/>
          <w:b/>
          <w:sz w:val="24"/>
          <w:szCs w:val="24"/>
        </w:rPr>
      </w:pPr>
      <w:r w:rsidRPr="0024503A">
        <w:rPr>
          <w:rFonts w:ascii="Times New Roman" w:eastAsiaTheme="minorHAnsi" w:hAnsi="Times New Roman" w:cs="Times New Roman"/>
          <w:b/>
          <w:sz w:val="24"/>
          <w:szCs w:val="24"/>
        </w:rPr>
        <w:t>Joonis</w:t>
      </w:r>
      <w:r w:rsidR="00FD7FF1" w:rsidRPr="0024503A">
        <w:rPr>
          <w:rFonts w:ascii="Times New Roman" w:eastAsiaTheme="minorHAnsi" w:hAnsi="Times New Roman" w:cs="Times New Roman"/>
          <w:b/>
          <w:sz w:val="24"/>
          <w:szCs w:val="24"/>
        </w:rPr>
        <w:t xml:space="preserve"> 16</w:t>
      </w:r>
      <w:r w:rsidRPr="0024503A">
        <w:rPr>
          <w:rFonts w:ascii="Times New Roman" w:eastAsiaTheme="minorHAnsi" w:hAnsi="Times New Roman" w:cs="Times New Roman"/>
          <w:b/>
          <w:sz w:val="24"/>
          <w:szCs w:val="24"/>
        </w:rPr>
        <w:t xml:space="preserve">. Teraviljakultuuride osakaal </w:t>
      </w:r>
      <w:r w:rsidR="003F6549" w:rsidRPr="0024503A">
        <w:rPr>
          <w:rFonts w:ascii="Times New Roman" w:eastAsiaTheme="minorHAnsi" w:hAnsi="Times New Roman" w:cs="Times New Roman"/>
          <w:b/>
          <w:sz w:val="24"/>
          <w:szCs w:val="24"/>
        </w:rPr>
        <w:t>2012/2013</w:t>
      </w:r>
      <w:r w:rsidR="003F6549">
        <w:rPr>
          <w:rFonts w:ascii="Times New Roman" w:eastAsiaTheme="minorHAnsi" w:hAnsi="Times New Roman" w:cs="Times New Roman"/>
          <w:b/>
          <w:sz w:val="24"/>
          <w:szCs w:val="24"/>
        </w:rPr>
        <w:t xml:space="preserve">. </w:t>
      </w:r>
      <w:r w:rsidRPr="0024503A">
        <w:rPr>
          <w:rFonts w:ascii="Times New Roman" w:eastAsiaTheme="minorHAnsi" w:hAnsi="Times New Roman" w:cs="Times New Roman"/>
          <w:b/>
          <w:sz w:val="24"/>
          <w:szCs w:val="24"/>
        </w:rPr>
        <w:t xml:space="preserve">sertifitseerimisaastal </w:t>
      </w:r>
    </w:p>
    <w:p w:rsidR="00B576D1" w:rsidRPr="0024503A" w:rsidRDefault="00B576D1" w:rsidP="00617526">
      <w:pPr>
        <w:spacing w:line="276" w:lineRule="auto"/>
        <w:jc w:val="both"/>
        <w:rPr>
          <w:rFonts w:ascii="Times New Roman" w:eastAsiaTheme="minorHAnsi" w:hAnsi="Times New Roman" w:cs="Times New Roman"/>
          <w:b/>
          <w:sz w:val="24"/>
          <w:szCs w:val="24"/>
        </w:rPr>
      </w:pPr>
    </w:p>
    <w:p w:rsidR="00441276" w:rsidRPr="0024503A" w:rsidRDefault="00441276" w:rsidP="00617526">
      <w:pPr>
        <w:spacing w:line="276" w:lineRule="auto"/>
        <w:jc w:val="both"/>
        <w:rPr>
          <w:rFonts w:ascii="Times New Roman" w:eastAsiaTheme="minorHAnsi" w:hAnsi="Times New Roman" w:cs="Times New Roman"/>
          <w:sz w:val="24"/>
          <w:szCs w:val="24"/>
        </w:rPr>
      </w:pPr>
      <w:r w:rsidRPr="0024503A">
        <w:rPr>
          <w:rFonts w:ascii="Times New Roman" w:eastAsiaTheme="minorHAnsi" w:hAnsi="Times New Roman" w:cs="Times New Roman"/>
          <w:sz w:val="24"/>
          <w:szCs w:val="24"/>
        </w:rPr>
        <w:t xml:space="preserve">Üheks teravilja seemnetootmist piiravaks faktoriks on tuulekaera (Avena </w:t>
      </w:r>
      <w:proofErr w:type="spellStart"/>
      <w:r w:rsidRPr="0024503A">
        <w:rPr>
          <w:rFonts w:ascii="Times New Roman" w:eastAsiaTheme="minorHAnsi" w:hAnsi="Times New Roman" w:cs="Times New Roman"/>
          <w:sz w:val="24"/>
          <w:szCs w:val="24"/>
        </w:rPr>
        <w:t>fatua</w:t>
      </w:r>
      <w:proofErr w:type="spellEnd"/>
      <w:r w:rsidRPr="0024503A">
        <w:rPr>
          <w:rFonts w:ascii="Times New Roman" w:eastAsiaTheme="minorHAnsi" w:hAnsi="Times New Roman" w:cs="Times New Roman"/>
          <w:sz w:val="24"/>
          <w:szCs w:val="24"/>
        </w:rPr>
        <w:t xml:space="preserve">) esinemine ja levik haritaval maal. Euroopa Liiduga liitudes taotles Eesti rangemate nõuete kehtestamise õigust tuulekaera esinemise suhtes teraviljaseemnes. Selle õiguse sai Eesti </w:t>
      </w:r>
      <w:r w:rsidR="006C782E">
        <w:rPr>
          <w:rFonts w:ascii="Times New Roman" w:eastAsiaTheme="minorHAnsi" w:hAnsi="Times New Roman" w:cs="Times New Roman"/>
          <w:sz w:val="24"/>
          <w:szCs w:val="24"/>
        </w:rPr>
        <w:t>k</w:t>
      </w:r>
      <w:r w:rsidRPr="0024503A">
        <w:rPr>
          <w:rFonts w:ascii="Times New Roman" w:eastAsiaTheme="minorHAnsi" w:hAnsi="Times New Roman" w:cs="Times New Roman"/>
          <w:sz w:val="24"/>
          <w:szCs w:val="24"/>
        </w:rPr>
        <w:t xml:space="preserve">omisjoni otsusega </w:t>
      </w:r>
      <w:r w:rsidR="006C782E">
        <w:rPr>
          <w:rFonts w:ascii="Times New Roman" w:eastAsiaTheme="minorHAnsi" w:hAnsi="Times New Roman" w:cs="Times New Roman"/>
          <w:sz w:val="24"/>
          <w:szCs w:val="24"/>
        </w:rPr>
        <w:t>(EÜ) nr 200/</w:t>
      </w:r>
      <w:r w:rsidRPr="0024503A">
        <w:rPr>
          <w:rFonts w:ascii="Times New Roman" w:eastAsiaTheme="minorHAnsi" w:hAnsi="Times New Roman" w:cs="Times New Roman"/>
          <w:sz w:val="24"/>
          <w:szCs w:val="24"/>
        </w:rPr>
        <w:t>2005</w:t>
      </w:r>
      <w:r w:rsidR="006C782E" w:rsidRPr="006C782E">
        <w:rPr>
          <w:rFonts w:ascii="Times New Roman" w:eastAsiaTheme="minorHAnsi" w:hAnsi="Times New Roman" w:cs="Times New Roman"/>
          <w:sz w:val="24"/>
          <w:szCs w:val="24"/>
        </w:rPr>
        <w:t xml:space="preserve">, </w:t>
      </w:r>
      <w:r w:rsidR="006C782E" w:rsidRPr="00DE2F22">
        <w:rPr>
          <w:rFonts w:ascii="Times New Roman" w:hAnsi="Times New Roman" w:cs="Times New Roman"/>
          <w:sz w:val="24"/>
          <w:szCs w:val="24"/>
        </w:rPr>
        <w:t>millega lubatakse Eestil, Lätil, Leedul ja Maltal vastu võtta rangemad nõuded tuulekaera (</w:t>
      </w:r>
      <w:r w:rsidR="006C782E" w:rsidRPr="00DE2F22">
        <w:rPr>
          <w:rStyle w:val="italic1"/>
          <w:rFonts w:ascii="Times New Roman" w:hAnsi="Times New Roman" w:cs="Times New Roman"/>
          <w:sz w:val="24"/>
          <w:szCs w:val="24"/>
        </w:rPr>
        <w:t xml:space="preserve">Avena </w:t>
      </w:r>
      <w:proofErr w:type="spellStart"/>
      <w:r w:rsidR="006C782E" w:rsidRPr="00DE2F22">
        <w:rPr>
          <w:rStyle w:val="italic1"/>
          <w:rFonts w:ascii="Times New Roman" w:hAnsi="Times New Roman" w:cs="Times New Roman"/>
          <w:sz w:val="24"/>
          <w:szCs w:val="24"/>
        </w:rPr>
        <w:t>fatua</w:t>
      </w:r>
      <w:proofErr w:type="spellEnd"/>
      <w:r w:rsidR="006C782E" w:rsidRPr="00DE2F22">
        <w:rPr>
          <w:rFonts w:ascii="Times New Roman" w:hAnsi="Times New Roman" w:cs="Times New Roman"/>
          <w:sz w:val="24"/>
          <w:szCs w:val="24"/>
        </w:rPr>
        <w:t xml:space="preserve">) esinemise suhtes teraviljaseemnes </w:t>
      </w:r>
      <w:r w:rsidR="006C782E" w:rsidRPr="006C782E">
        <w:rPr>
          <w:rFonts w:ascii="Times New Roman" w:hAnsi="Times New Roman" w:cs="Times New Roman"/>
          <w:sz w:val="24"/>
          <w:szCs w:val="24"/>
        </w:rPr>
        <w:t>(</w:t>
      </w:r>
      <w:r w:rsidR="006C782E">
        <w:rPr>
          <w:rFonts w:ascii="Times New Roman" w:hAnsi="Times New Roman" w:cs="Times New Roman"/>
          <w:sz w:val="24"/>
          <w:szCs w:val="24"/>
        </w:rPr>
        <w:t>ELT L 70, 16.03.2005, lk 19</w:t>
      </w:r>
      <w:r w:rsidR="006C782E" w:rsidRPr="006C782E">
        <w:rPr>
          <w:rFonts w:ascii="Times New Roman" w:hAnsi="Times New Roman" w:cs="Times New Roman"/>
          <w:sz w:val="24"/>
          <w:szCs w:val="24"/>
        </w:rPr>
        <w:t>–20)</w:t>
      </w:r>
      <w:r w:rsidRPr="0024503A">
        <w:rPr>
          <w:rFonts w:ascii="Times New Roman" w:eastAsiaTheme="minorHAnsi" w:hAnsi="Times New Roman" w:cs="Times New Roman"/>
          <w:sz w:val="24"/>
          <w:szCs w:val="24"/>
        </w:rPr>
        <w:t xml:space="preserve">. Erisuse saamise eeltingimuseks oli </w:t>
      </w:r>
      <w:r w:rsidR="00B408A3" w:rsidRPr="0024503A">
        <w:rPr>
          <w:rFonts w:ascii="Times New Roman" w:eastAsiaTheme="minorHAnsi" w:hAnsi="Times New Roman" w:cs="Times New Roman"/>
          <w:sz w:val="24"/>
          <w:szCs w:val="24"/>
        </w:rPr>
        <w:t>tuulekaerast vabanemise</w:t>
      </w:r>
      <w:r w:rsidR="00B408A3">
        <w:rPr>
          <w:rFonts w:ascii="Times New Roman" w:eastAsiaTheme="minorHAnsi" w:hAnsi="Times New Roman" w:cs="Times New Roman"/>
          <w:sz w:val="24"/>
          <w:szCs w:val="24"/>
        </w:rPr>
        <w:t>ks</w:t>
      </w:r>
      <w:r w:rsidR="00B408A3" w:rsidRPr="0024503A">
        <w:rPr>
          <w:rFonts w:ascii="Times New Roman" w:eastAsiaTheme="minorHAnsi" w:hAnsi="Times New Roman" w:cs="Times New Roman"/>
          <w:sz w:val="24"/>
          <w:szCs w:val="24"/>
        </w:rPr>
        <w:t xml:space="preserve"> </w:t>
      </w:r>
      <w:r w:rsidRPr="0024503A">
        <w:rPr>
          <w:rFonts w:ascii="Times New Roman" w:eastAsiaTheme="minorHAnsi" w:hAnsi="Times New Roman" w:cs="Times New Roman"/>
          <w:sz w:val="24"/>
          <w:szCs w:val="24"/>
        </w:rPr>
        <w:t xml:space="preserve">riiklike </w:t>
      </w:r>
      <w:r w:rsidR="00D50295">
        <w:rPr>
          <w:rFonts w:ascii="Times New Roman" w:eastAsiaTheme="minorHAnsi" w:hAnsi="Times New Roman" w:cs="Times New Roman"/>
          <w:sz w:val="24"/>
          <w:szCs w:val="24"/>
        </w:rPr>
        <w:t>tegevuskavade ja tõrjemeetmete</w:t>
      </w:r>
      <w:r w:rsidRPr="0024503A">
        <w:rPr>
          <w:rFonts w:ascii="Times New Roman" w:eastAsiaTheme="minorHAnsi" w:hAnsi="Times New Roman" w:cs="Times New Roman"/>
          <w:sz w:val="24"/>
          <w:szCs w:val="24"/>
        </w:rPr>
        <w:t xml:space="preserve"> </w:t>
      </w:r>
      <w:r w:rsidRPr="0024503A">
        <w:rPr>
          <w:rFonts w:ascii="Times New Roman" w:eastAsiaTheme="minorHAnsi" w:hAnsi="Times New Roman" w:cs="Times New Roman"/>
          <w:sz w:val="24"/>
          <w:szCs w:val="24"/>
        </w:rPr>
        <w:lastRenderedPageBreak/>
        <w:t xml:space="preserve">seadustamine, mis sätestati </w:t>
      </w:r>
      <w:r w:rsidR="006524AC">
        <w:rPr>
          <w:rFonts w:ascii="Times New Roman" w:eastAsiaTheme="minorHAnsi" w:hAnsi="Times New Roman" w:cs="Times New Roman"/>
          <w:sz w:val="24"/>
          <w:szCs w:val="24"/>
        </w:rPr>
        <w:t>m</w:t>
      </w:r>
      <w:r w:rsidRPr="0024503A">
        <w:rPr>
          <w:rFonts w:ascii="Times New Roman" w:eastAsiaTheme="minorHAnsi" w:hAnsi="Times New Roman" w:cs="Times New Roman"/>
          <w:sz w:val="24"/>
          <w:szCs w:val="24"/>
        </w:rPr>
        <w:t xml:space="preserve">aaelu ja põllumajandusturu korraldamise seadusega 2005. aastal. Komisjoni otsusega sai Eesti õiguse kehtestada, et esimese tuulekaeraseemne leidmisel teraviljaseemne sertifitseerimiseks võetud proovis jäetakse seemnepartii sertifitseerimata. Lisaks on õigus nõuda, et Eestis turustatava, teisest Euroopa Liidu liikmesriigist Eestisse toimetatava või Eestisse imporditava sertifitseeritud seemnepartiiga peab olema kaasas dokument, mis tõendab, et seemnepartiid on kontrollitud tuulekaera esinemise suhtes. </w:t>
      </w:r>
    </w:p>
    <w:p w:rsidR="00441276" w:rsidRPr="0024503A" w:rsidRDefault="00441276" w:rsidP="00617526">
      <w:pPr>
        <w:spacing w:line="276" w:lineRule="auto"/>
        <w:jc w:val="both"/>
        <w:rPr>
          <w:rFonts w:ascii="Times New Roman" w:eastAsiaTheme="minorHAnsi" w:hAnsi="Times New Roman" w:cs="Times New Roman"/>
          <w:sz w:val="24"/>
          <w:szCs w:val="24"/>
        </w:rPr>
      </w:pPr>
    </w:p>
    <w:p w:rsidR="00441276" w:rsidRPr="0024503A" w:rsidRDefault="00441276" w:rsidP="00617526">
      <w:pPr>
        <w:spacing w:line="276" w:lineRule="auto"/>
        <w:jc w:val="both"/>
        <w:rPr>
          <w:rFonts w:ascii="Times New Roman" w:eastAsiaTheme="minorHAnsi" w:hAnsi="Times New Roman" w:cs="Times New Roman"/>
          <w:sz w:val="24"/>
          <w:szCs w:val="24"/>
        </w:rPr>
      </w:pPr>
      <w:r w:rsidRPr="0024503A">
        <w:rPr>
          <w:rFonts w:ascii="Times New Roman" w:eastAsiaTheme="minorHAnsi" w:hAnsi="Times New Roman" w:cs="Times New Roman"/>
          <w:sz w:val="24"/>
          <w:szCs w:val="24"/>
        </w:rPr>
        <w:t xml:space="preserve">Igal aastal jääb tuulekaera esinemise tõttu </w:t>
      </w:r>
      <w:proofErr w:type="spellStart"/>
      <w:r w:rsidRPr="0024503A">
        <w:rPr>
          <w:rFonts w:ascii="Times New Roman" w:eastAsiaTheme="minorHAnsi" w:hAnsi="Times New Roman" w:cs="Times New Roman"/>
          <w:sz w:val="24"/>
          <w:szCs w:val="24"/>
        </w:rPr>
        <w:t>põldtunnustamata</w:t>
      </w:r>
      <w:proofErr w:type="spellEnd"/>
      <w:r w:rsidRPr="0024503A">
        <w:rPr>
          <w:rFonts w:ascii="Times New Roman" w:eastAsiaTheme="minorHAnsi" w:hAnsi="Times New Roman" w:cs="Times New Roman"/>
          <w:sz w:val="24"/>
          <w:szCs w:val="24"/>
        </w:rPr>
        <w:t xml:space="preserve"> osa seemnepõlde. 2012. aastal jäi tuulekaera esi</w:t>
      </w:r>
      <w:r w:rsidR="008043EB" w:rsidRPr="0024503A">
        <w:rPr>
          <w:rFonts w:ascii="Times New Roman" w:eastAsiaTheme="minorHAnsi" w:hAnsi="Times New Roman" w:cs="Times New Roman"/>
          <w:sz w:val="24"/>
          <w:szCs w:val="24"/>
        </w:rPr>
        <w:t>nemise tõttu tunnustuseta 281 hektarit</w:t>
      </w:r>
      <w:r w:rsidR="00C43764">
        <w:rPr>
          <w:rFonts w:ascii="Times New Roman" w:eastAsiaTheme="minorHAnsi" w:hAnsi="Times New Roman" w:cs="Times New Roman"/>
          <w:sz w:val="24"/>
          <w:szCs w:val="24"/>
        </w:rPr>
        <w:t xml:space="preserve"> seemnepõldu</w:t>
      </w:r>
      <w:r w:rsidRPr="0024503A">
        <w:rPr>
          <w:rFonts w:ascii="Times New Roman" w:eastAsiaTheme="minorHAnsi" w:hAnsi="Times New Roman" w:cs="Times New Roman"/>
          <w:sz w:val="24"/>
          <w:szCs w:val="24"/>
        </w:rPr>
        <w:t xml:space="preserve"> (</w:t>
      </w:r>
      <w:r w:rsidR="00FD7FF1" w:rsidRPr="0024503A">
        <w:rPr>
          <w:rFonts w:ascii="Times New Roman" w:eastAsiaTheme="minorHAnsi" w:hAnsi="Times New Roman" w:cs="Times New Roman"/>
          <w:sz w:val="24"/>
          <w:szCs w:val="24"/>
        </w:rPr>
        <w:t>joonis 17</w:t>
      </w:r>
      <w:r w:rsidRPr="0024503A">
        <w:rPr>
          <w:rFonts w:ascii="Times New Roman" w:eastAsiaTheme="minorHAnsi" w:hAnsi="Times New Roman" w:cs="Times New Roman"/>
          <w:sz w:val="24"/>
          <w:szCs w:val="24"/>
        </w:rPr>
        <w:t>). Kaeraseemne tootmise põld praagitakse välja esimese tuulekaera taime leidmisel, teiste teraviljakultuuride puhul võib vähese tuulekaera esinemise korral</w:t>
      </w:r>
      <w:r w:rsidR="00D50295">
        <w:rPr>
          <w:rFonts w:ascii="Times New Roman" w:eastAsiaTheme="minorHAnsi" w:hAnsi="Times New Roman" w:cs="Times New Roman"/>
          <w:sz w:val="24"/>
          <w:szCs w:val="24"/>
        </w:rPr>
        <w:t xml:space="preserve"> põldutunnustamise saamiseks</w:t>
      </w:r>
      <w:r w:rsidRPr="0024503A">
        <w:rPr>
          <w:rFonts w:ascii="Times New Roman" w:eastAsiaTheme="minorHAnsi" w:hAnsi="Times New Roman" w:cs="Times New Roman"/>
          <w:sz w:val="24"/>
          <w:szCs w:val="24"/>
        </w:rPr>
        <w:t xml:space="preserve"> l</w:t>
      </w:r>
      <w:r w:rsidR="00D50295">
        <w:rPr>
          <w:rFonts w:ascii="Times New Roman" w:eastAsiaTheme="minorHAnsi" w:hAnsi="Times New Roman" w:cs="Times New Roman"/>
          <w:sz w:val="24"/>
          <w:szCs w:val="24"/>
        </w:rPr>
        <w:t>asta</w:t>
      </w:r>
      <w:r w:rsidRPr="0024503A">
        <w:rPr>
          <w:rFonts w:ascii="Times New Roman" w:eastAsiaTheme="minorHAnsi" w:hAnsi="Times New Roman" w:cs="Times New Roman"/>
          <w:sz w:val="24"/>
          <w:szCs w:val="24"/>
        </w:rPr>
        <w:t xml:space="preserve"> tootjal tuulekaer põllult eemaldada. Samas on selge, et kuni seemne tootmine on lubatud tuulekaeraga saastunud põllul ning tuulekaera levikuala Eestis laieneb, on olemas võimalus, et tuulekaer satub seemnepartiisse. </w:t>
      </w:r>
    </w:p>
    <w:p w:rsidR="00441276" w:rsidRPr="00785DD4" w:rsidRDefault="00D31F96" w:rsidP="00617526">
      <w:pPr>
        <w:spacing w:line="276" w:lineRule="auto"/>
        <w:jc w:val="both"/>
        <w:rPr>
          <w:rFonts w:eastAsiaTheme="minorHAnsi"/>
          <w:sz w:val="24"/>
          <w:szCs w:val="24"/>
        </w:rPr>
      </w:pPr>
      <w:r w:rsidRPr="004C2338">
        <w:rPr>
          <w:noProof/>
          <w:sz w:val="24"/>
          <w:szCs w:val="24"/>
        </w:rPr>
        <w:drawing>
          <wp:inline distT="0" distB="0" distL="0" distR="0" wp14:anchorId="2DDCCA89" wp14:editId="0A52B47A">
            <wp:extent cx="6048375" cy="279082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D7FF1" w:rsidRPr="00AD5ABA" w:rsidRDefault="00FD7FF1" w:rsidP="00617526">
      <w:pPr>
        <w:spacing w:line="276" w:lineRule="auto"/>
        <w:jc w:val="both"/>
        <w:rPr>
          <w:rFonts w:ascii="Arial" w:eastAsiaTheme="minorHAnsi" w:hAnsi="Arial" w:cs="Arial"/>
          <w:b/>
        </w:rPr>
      </w:pPr>
      <w:r w:rsidRPr="00AD5ABA">
        <w:rPr>
          <w:rFonts w:ascii="Arial" w:hAnsi="Arial" w:cs="Arial"/>
        </w:rPr>
        <w:t>Allikas:</w:t>
      </w:r>
      <w:r w:rsidR="009B4990" w:rsidRPr="00AD5ABA">
        <w:rPr>
          <w:rFonts w:ascii="Arial" w:hAnsi="Arial" w:cs="Arial"/>
        </w:rPr>
        <w:t xml:space="preserve"> </w:t>
      </w:r>
      <w:r w:rsidR="00D31F96" w:rsidRPr="00AD5ABA">
        <w:rPr>
          <w:rFonts w:ascii="Arial" w:hAnsi="Arial" w:cs="Arial"/>
        </w:rPr>
        <w:t>PMA</w:t>
      </w:r>
    </w:p>
    <w:p w:rsidR="00441276" w:rsidRPr="0024503A" w:rsidRDefault="00441276" w:rsidP="00617526">
      <w:pPr>
        <w:spacing w:line="276" w:lineRule="auto"/>
        <w:jc w:val="both"/>
        <w:rPr>
          <w:rFonts w:ascii="Times New Roman" w:eastAsiaTheme="minorHAnsi" w:hAnsi="Times New Roman" w:cs="Times New Roman"/>
          <w:b/>
          <w:sz w:val="24"/>
          <w:szCs w:val="24"/>
        </w:rPr>
      </w:pPr>
      <w:r w:rsidRPr="0024503A">
        <w:rPr>
          <w:rFonts w:ascii="Times New Roman" w:eastAsiaTheme="minorHAnsi" w:hAnsi="Times New Roman" w:cs="Times New Roman"/>
          <w:b/>
          <w:sz w:val="24"/>
          <w:szCs w:val="24"/>
        </w:rPr>
        <w:t>Joonis</w:t>
      </w:r>
      <w:r w:rsidR="00FD7FF1" w:rsidRPr="0024503A">
        <w:rPr>
          <w:rFonts w:ascii="Times New Roman" w:eastAsiaTheme="minorHAnsi" w:hAnsi="Times New Roman" w:cs="Times New Roman"/>
          <w:b/>
          <w:sz w:val="24"/>
          <w:szCs w:val="24"/>
        </w:rPr>
        <w:t xml:space="preserve"> 17</w:t>
      </w:r>
      <w:r w:rsidRPr="0024503A">
        <w:rPr>
          <w:rFonts w:ascii="Times New Roman" w:eastAsiaTheme="minorHAnsi" w:hAnsi="Times New Roman" w:cs="Times New Roman"/>
          <w:b/>
          <w:sz w:val="24"/>
          <w:szCs w:val="24"/>
        </w:rPr>
        <w:t>. Seemnepõldude tunnustamine ja tuulekaera (TU) leiud 2012. aastal</w:t>
      </w:r>
    </w:p>
    <w:p w:rsidR="00FD7FF1" w:rsidRPr="0024503A" w:rsidRDefault="00FD7FF1" w:rsidP="00617526">
      <w:pPr>
        <w:spacing w:line="276" w:lineRule="auto"/>
        <w:jc w:val="both"/>
        <w:rPr>
          <w:rFonts w:ascii="Times New Roman" w:eastAsiaTheme="minorHAnsi" w:hAnsi="Times New Roman" w:cs="Times New Roman"/>
          <w:b/>
          <w:sz w:val="24"/>
          <w:szCs w:val="24"/>
        </w:rPr>
      </w:pPr>
    </w:p>
    <w:p w:rsidR="00E226AF" w:rsidRDefault="00441276" w:rsidP="00617526">
      <w:pPr>
        <w:spacing w:line="276" w:lineRule="auto"/>
        <w:jc w:val="both"/>
        <w:rPr>
          <w:rFonts w:ascii="Times New Roman" w:eastAsiaTheme="minorHAnsi" w:hAnsi="Times New Roman" w:cs="Times New Roman"/>
          <w:sz w:val="24"/>
          <w:szCs w:val="24"/>
        </w:rPr>
      </w:pPr>
      <w:r w:rsidRPr="0024503A">
        <w:rPr>
          <w:rFonts w:ascii="Times New Roman" w:eastAsiaTheme="minorHAnsi" w:hAnsi="Times New Roman" w:cs="Times New Roman"/>
          <w:sz w:val="24"/>
          <w:szCs w:val="24"/>
        </w:rPr>
        <w:t>Turustada on lubatud üksnes ametlikult registreeritud sordi seemet. Eesti sordiregistris on 2013. aasta 16. detsembri seisuga 128 teraviljasorti ja 71 rapsisorti. Kõiki neid on katsetatud Eestis ning tunnistatud oma majandus- ja viljelusväärtuse poolest sobi</w:t>
      </w:r>
      <w:r w:rsidR="003017A2">
        <w:rPr>
          <w:rFonts w:ascii="Times New Roman" w:eastAsiaTheme="minorHAnsi" w:hAnsi="Times New Roman" w:cs="Times New Roman"/>
          <w:sz w:val="24"/>
          <w:szCs w:val="24"/>
        </w:rPr>
        <w:t>vaks Eesti tingimustes kasvatamiseks</w:t>
      </w:r>
      <w:r w:rsidRPr="0024503A">
        <w:rPr>
          <w:rFonts w:ascii="Times New Roman" w:eastAsiaTheme="minorHAnsi" w:hAnsi="Times New Roman" w:cs="Times New Roman"/>
          <w:sz w:val="24"/>
          <w:szCs w:val="24"/>
        </w:rPr>
        <w:t>. Sortide valik on lai, õige sordi valik on kvaliteetse toodangu saamise oluline eeldus. Paraku ei ole sordi registreerimist (sordilehte võtmist) taotlenud isiku poolt kõigi sordilehte kantud sortide seemnega kindlustatus tagatud</w:t>
      </w:r>
      <w:r w:rsidR="00D31F96" w:rsidRPr="0024503A">
        <w:rPr>
          <w:rFonts w:ascii="Times New Roman" w:eastAsiaTheme="minorHAnsi" w:hAnsi="Times New Roman" w:cs="Times New Roman"/>
          <w:sz w:val="24"/>
          <w:szCs w:val="24"/>
        </w:rPr>
        <w:t xml:space="preserve">. </w:t>
      </w:r>
      <w:r w:rsidR="00D31F96" w:rsidRPr="0024503A">
        <w:rPr>
          <w:rFonts w:ascii="Times New Roman" w:hAnsi="Times New Roman" w:cs="Times New Roman"/>
          <w:sz w:val="24"/>
          <w:szCs w:val="24"/>
        </w:rPr>
        <w:t>Näiteks</w:t>
      </w:r>
      <w:r w:rsidR="00C14818">
        <w:rPr>
          <w:rFonts w:ascii="Times New Roman" w:hAnsi="Times New Roman" w:cs="Times New Roman"/>
          <w:sz w:val="24"/>
          <w:szCs w:val="24"/>
        </w:rPr>
        <w:t xml:space="preserve"> nii juhtub,</w:t>
      </w:r>
      <w:r w:rsidR="00D31F96" w:rsidRPr="0024503A">
        <w:rPr>
          <w:rFonts w:ascii="Times New Roman" w:hAnsi="Times New Roman" w:cs="Times New Roman"/>
          <w:sz w:val="24"/>
          <w:szCs w:val="24"/>
        </w:rPr>
        <w:t xml:space="preserve"> kui teisest EL liikmesriigist laekub taotlus sordi registreerimiseks, kuid pärast registreerimist sordiomanik Eestis endale sordi esindajat ei otsi ning seemet reaalselt Eesti turule ei too.</w:t>
      </w:r>
      <w:r w:rsidRPr="0024503A">
        <w:rPr>
          <w:rFonts w:ascii="Times New Roman" w:eastAsiaTheme="minorHAnsi" w:hAnsi="Times New Roman" w:cs="Times New Roman"/>
          <w:sz w:val="24"/>
          <w:szCs w:val="24"/>
        </w:rPr>
        <w:t xml:space="preserve"> Euroopa Liidu liikmesriikide sordilehed on aluseks ühtse Euroopa Liidu põllukultuuride sordilehe koostamisel. Sinna kantud sorte on võimalik paljundada ja turustada kogu Euroopa Liidus. </w:t>
      </w:r>
    </w:p>
    <w:p w:rsidR="007854DB" w:rsidRPr="0024503A" w:rsidRDefault="007854DB" w:rsidP="00617526">
      <w:pPr>
        <w:spacing w:line="276" w:lineRule="auto"/>
        <w:jc w:val="both"/>
        <w:rPr>
          <w:rFonts w:ascii="Times New Roman" w:eastAsiaTheme="minorHAnsi" w:hAnsi="Times New Roman" w:cs="Times New Roman"/>
          <w:sz w:val="24"/>
          <w:szCs w:val="24"/>
        </w:rPr>
      </w:pPr>
    </w:p>
    <w:p w:rsidR="00441276" w:rsidRPr="0024503A" w:rsidRDefault="00441276" w:rsidP="00617526">
      <w:pPr>
        <w:spacing w:line="276" w:lineRule="auto"/>
        <w:rPr>
          <w:rStyle w:val="BookTitle"/>
          <w:rFonts w:ascii="Times New Roman" w:hAnsi="Times New Roman" w:cs="Times New Roman"/>
          <w:b w:val="0"/>
          <w:i w:val="0"/>
          <w:sz w:val="24"/>
          <w:szCs w:val="24"/>
        </w:rPr>
      </w:pPr>
      <w:bookmarkStart w:id="499" w:name="_Toc378697819"/>
      <w:bookmarkStart w:id="500" w:name="_Toc378773266"/>
      <w:bookmarkStart w:id="501" w:name="_Toc379197447"/>
      <w:bookmarkStart w:id="502" w:name="_Toc379205485"/>
      <w:bookmarkStart w:id="503" w:name="_Toc379268181"/>
      <w:r w:rsidRPr="0024503A">
        <w:rPr>
          <w:rStyle w:val="BookTitle"/>
          <w:rFonts w:ascii="Times New Roman" w:hAnsi="Times New Roman" w:cs="Times New Roman"/>
          <w:i w:val="0"/>
          <w:sz w:val="24"/>
          <w:szCs w:val="24"/>
        </w:rPr>
        <w:t>Tuulekaera levik ja tõrjeabinõud</w:t>
      </w:r>
      <w:bookmarkEnd w:id="499"/>
      <w:bookmarkEnd w:id="500"/>
      <w:bookmarkEnd w:id="501"/>
      <w:bookmarkEnd w:id="502"/>
      <w:bookmarkEnd w:id="503"/>
    </w:p>
    <w:p w:rsidR="00441276" w:rsidRPr="0024503A" w:rsidRDefault="00441276" w:rsidP="00617526">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Tuulekaer on raskesti tõrjutav umbrohi, mis vähendab taimekasvatussaaduste kvaliteeti ja hinda kokkuostul. Näiteks Norras ei tohi sellist tuuleka</w:t>
      </w:r>
      <w:r w:rsidR="006758DE" w:rsidRPr="0024503A">
        <w:rPr>
          <w:rFonts w:ascii="Times New Roman" w:hAnsi="Times New Roman" w:cs="Times New Roman"/>
          <w:sz w:val="24"/>
          <w:szCs w:val="24"/>
        </w:rPr>
        <w:t>e</w:t>
      </w:r>
      <w:r w:rsidRPr="0024503A">
        <w:rPr>
          <w:rFonts w:ascii="Times New Roman" w:hAnsi="Times New Roman" w:cs="Times New Roman"/>
          <w:sz w:val="24"/>
          <w:szCs w:val="24"/>
        </w:rPr>
        <w:t xml:space="preserve">raga saastunud vilja osta ega turustada. Tuulekaer on kõrreliste sugukonda kuuluv lühiealine suviumbrohi, mille seemned võivad säilida mullas </w:t>
      </w:r>
      <w:r w:rsidRPr="0024503A">
        <w:rPr>
          <w:rFonts w:ascii="Times New Roman" w:hAnsi="Times New Roman" w:cs="Times New Roman"/>
          <w:sz w:val="24"/>
          <w:szCs w:val="24"/>
        </w:rPr>
        <w:lastRenderedPageBreak/>
        <w:t xml:space="preserve">eluvõimelistena kümme ja enamgi aastat. Tuulekaeraga saastunud alade andmekogus on tuulekaeraga saastunud pind </w:t>
      </w:r>
      <w:r w:rsidR="001B510D">
        <w:rPr>
          <w:rFonts w:ascii="Times New Roman" w:hAnsi="Times New Roman" w:cs="Times New Roman"/>
          <w:sz w:val="24"/>
          <w:szCs w:val="24"/>
        </w:rPr>
        <w:t>2013.</w:t>
      </w:r>
      <w:r w:rsidRPr="0024503A">
        <w:rPr>
          <w:rFonts w:ascii="Times New Roman" w:hAnsi="Times New Roman" w:cs="Times New Roman"/>
          <w:sz w:val="24"/>
          <w:szCs w:val="24"/>
        </w:rPr>
        <w:t xml:space="preserve"> aasta </w:t>
      </w:r>
      <w:r w:rsidR="002353B4">
        <w:rPr>
          <w:rFonts w:ascii="Times New Roman" w:hAnsi="Times New Roman" w:cs="Times New Roman"/>
          <w:sz w:val="24"/>
          <w:szCs w:val="24"/>
        </w:rPr>
        <w:t>detsembri</w:t>
      </w:r>
      <w:r w:rsidR="002353B4" w:rsidRPr="0024503A">
        <w:rPr>
          <w:rFonts w:ascii="Times New Roman" w:hAnsi="Times New Roman" w:cs="Times New Roman"/>
          <w:sz w:val="24"/>
          <w:szCs w:val="24"/>
        </w:rPr>
        <w:t xml:space="preserve"> </w:t>
      </w:r>
      <w:r w:rsidRPr="0024503A">
        <w:rPr>
          <w:rFonts w:ascii="Times New Roman" w:hAnsi="Times New Roman" w:cs="Times New Roman"/>
          <w:sz w:val="24"/>
          <w:szCs w:val="24"/>
        </w:rPr>
        <w:t>seisuga 224</w:t>
      </w:r>
      <w:r w:rsidR="008043EB" w:rsidRPr="0024503A">
        <w:rPr>
          <w:rFonts w:ascii="Times New Roman" w:hAnsi="Times New Roman" w:cs="Times New Roman"/>
          <w:sz w:val="24"/>
          <w:szCs w:val="24"/>
        </w:rPr>
        <w:t>,8 tuhat</w:t>
      </w:r>
      <w:r w:rsidRPr="0024503A">
        <w:rPr>
          <w:rFonts w:ascii="Times New Roman" w:hAnsi="Times New Roman" w:cs="Times New Roman"/>
          <w:sz w:val="24"/>
          <w:szCs w:val="24"/>
        </w:rPr>
        <w:t xml:space="preserve"> hektarit ning saastunud on ligikaudu 39% põllukultuuride kasvupinnast</w:t>
      </w:r>
      <w:r w:rsidR="00FD7FF1" w:rsidRPr="0024503A">
        <w:rPr>
          <w:rFonts w:ascii="Times New Roman" w:hAnsi="Times New Roman" w:cs="Times New Roman"/>
          <w:sz w:val="24"/>
          <w:szCs w:val="24"/>
        </w:rPr>
        <w:t xml:space="preserve"> (joonis 18)</w:t>
      </w:r>
      <w:r w:rsidRPr="0024503A">
        <w:rPr>
          <w:rFonts w:ascii="Times New Roman" w:hAnsi="Times New Roman" w:cs="Times New Roman"/>
          <w:sz w:val="24"/>
          <w:szCs w:val="24"/>
        </w:rPr>
        <w:t xml:space="preserve">. 2012. aastal oli sama näitaja 35%. Suuremad tuulekaeraga saastunud alad on Lääne-Viru maakonnas 76%, Rapla maakonnas 53% ja Saare maakonnas 50% põllukultuuride kasvupinnast. </w:t>
      </w:r>
      <w:r w:rsidR="006D1FB1" w:rsidRPr="006D1FB1">
        <w:rPr>
          <w:rFonts w:ascii="Times New Roman" w:hAnsi="Times New Roman" w:cs="Times New Roman"/>
          <w:sz w:val="24"/>
          <w:szCs w:val="24"/>
        </w:rPr>
        <w:t xml:space="preserve">Lääne-Viru ja Rapla maakonnas on suuremad teravilja tootmise pinnad ja tuulekaer on ohuks just teraviljapõldudel. Samuti on </w:t>
      </w:r>
      <w:r w:rsidR="006D1FB1">
        <w:rPr>
          <w:rFonts w:ascii="Times New Roman" w:hAnsi="Times New Roman" w:cs="Times New Roman"/>
          <w:sz w:val="24"/>
          <w:szCs w:val="24"/>
        </w:rPr>
        <w:t xml:space="preserve">tuulekaera esinemise </w:t>
      </w:r>
      <w:r w:rsidR="006D1FB1" w:rsidRPr="006D1FB1">
        <w:rPr>
          <w:rFonts w:ascii="Times New Roman" w:hAnsi="Times New Roman" w:cs="Times New Roman"/>
          <w:sz w:val="24"/>
          <w:szCs w:val="24"/>
        </w:rPr>
        <w:t xml:space="preserve">teatiste esitamise põhjuseks kartus, et vähendatakse pindalatoetust kui põllult leitakse mõni tuulekaerataim. </w:t>
      </w:r>
      <w:r w:rsidRPr="0024503A">
        <w:rPr>
          <w:rFonts w:ascii="Times New Roman" w:hAnsi="Times New Roman" w:cs="Times New Roman"/>
          <w:sz w:val="24"/>
          <w:szCs w:val="24"/>
        </w:rPr>
        <w:t xml:space="preserve">Väiksem tuulekaeraga saastatus on Põlva maakonnas 14%, Harju maakonnas 18% ja Võru maakonnas 21%. </w:t>
      </w:r>
    </w:p>
    <w:p w:rsidR="00441276" w:rsidRPr="00785DD4" w:rsidRDefault="00441276" w:rsidP="00617526">
      <w:pPr>
        <w:spacing w:line="276" w:lineRule="auto"/>
        <w:jc w:val="both"/>
        <w:rPr>
          <w:sz w:val="24"/>
          <w:szCs w:val="24"/>
        </w:rPr>
      </w:pPr>
    </w:p>
    <w:p w:rsidR="00441276" w:rsidRPr="00785DD4" w:rsidRDefault="00441276" w:rsidP="00617526">
      <w:pPr>
        <w:spacing w:line="276" w:lineRule="auto"/>
        <w:jc w:val="both"/>
        <w:rPr>
          <w:sz w:val="24"/>
          <w:szCs w:val="24"/>
        </w:rPr>
      </w:pPr>
      <w:r w:rsidRPr="004C2338">
        <w:rPr>
          <w:noProof/>
          <w:sz w:val="24"/>
          <w:szCs w:val="24"/>
        </w:rPr>
        <w:drawing>
          <wp:inline distT="0" distB="0" distL="0" distR="0" wp14:anchorId="21E27142" wp14:editId="071FA8A7">
            <wp:extent cx="6076950" cy="2505075"/>
            <wp:effectExtent l="0" t="0" r="19050" b="9525"/>
            <wp:docPr id="38" name="Diagram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41276" w:rsidRPr="0001612B" w:rsidRDefault="00441276" w:rsidP="00617526">
      <w:pPr>
        <w:spacing w:line="276" w:lineRule="auto"/>
        <w:jc w:val="both"/>
        <w:rPr>
          <w:rFonts w:ascii="Arial" w:hAnsi="Arial" w:cs="Arial"/>
        </w:rPr>
      </w:pPr>
      <w:r w:rsidRPr="0001612B">
        <w:rPr>
          <w:rFonts w:ascii="Arial" w:hAnsi="Arial" w:cs="Arial"/>
        </w:rPr>
        <w:t>Allikas: PMA, SA</w:t>
      </w:r>
    </w:p>
    <w:p w:rsidR="00441276" w:rsidRPr="0024503A" w:rsidRDefault="00441276" w:rsidP="00617526">
      <w:pPr>
        <w:spacing w:line="276" w:lineRule="auto"/>
        <w:jc w:val="both"/>
        <w:rPr>
          <w:rFonts w:ascii="Times New Roman" w:hAnsi="Times New Roman" w:cs="Times New Roman"/>
          <w:b/>
          <w:sz w:val="24"/>
          <w:szCs w:val="24"/>
        </w:rPr>
      </w:pPr>
      <w:r w:rsidRPr="0024503A">
        <w:rPr>
          <w:rFonts w:ascii="Times New Roman" w:hAnsi="Times New Roman" w:cs="Times New Roman"/>
          <w:b/>
          <w:sz w:val="24"/>
          <w:szCs w:val="24"/>
        </w:rPr>
        <w:t>Joonis 1</w:t>
      </w:r>
      <w:r w:rsidR="00FD7FF1" w:rsidRPr="0024503A">
        <w:rPr>
          <w:rFonts w:ascii="Times New Roman" w:hAnsi="Times New Roman" w:cs="Times New Roman"/>
          <w:b/>
          <w:sz w:val="24"/>
          <w:szCs w:val="24"/>
        </w:rPr>
        <w:t>8</w:t>
      </w:r>
      <w:r w:rsidRPr="0024503A">
        <w:rPr>
          <w:rFonts w:ascii="Times New Roman" w:hAnsi="Times New Roman" w:cs="Times New Roman"/>
          <w:b/>
          <w:sz w:val="24"/>
          <w:szCs w:val="24"/>
        </w:rPr>
        <w:t>. Tuulekaeraga saastunud pinnad seisuga 09.12.2013</w:t>
      </w:r>
    </w:p>
    <w:p w:rsidR="00F47319" w:rsidRPr="0024503A" w:rsidRDefault="00F47319" w:rsidP="00617526">
      <w:pPr>
        <w:spacing w:line="276" w:lineRule="auto"/>
        <w:jc w:val="both"/>
        <w:rPr>
          <w:rFonts w:ascii="Times New Roman" w:hAnsi="Times New Roman" w:cs="Times New Roman"/>
          <w:sz w:val="24"/>
          <w:szCs w:val="24"/>
        </w:rPr>
      </w:pPr>
    </w:p>
    <w:p w:rsidR="00441276" w:rsidRPr="0024503A" w:rsidRDefault="00441276" w:rsidP="00617526">
      <w:pPr>
        <w:spacing w:line="276" w:lineRule="auto"/>
        <w:jc w:val="both"/>
        <w:rPr>
          <w:rFonts w:ascii="Times New Roman" w:hAnsi="Times New Roman" w:cs="Times New Roman"/>
          <w:sz w:val="24"/>
          <w:szCs w:val="24"/>
        </w:rPr>
      </w:pPr>
      <w:r w:rsidRPr="0024503A">
        <w:rPr>
          <w:rFonts w:ascii="Times New Roman" w:hAnsi="Times New Roman" w:cs="Times New Roman"/>
          <w:bCs/>
          <w:sz w:val="24"/>
          <w:szCs w:val="24"/>
        </w:rPr>
        <w:t xml:space="preserve">Põllumajandustootja, kelle kasutuses oleval põllumaal esineb tuulekaera, on kohustatud sellest teavitama Põllumajandusametit ja koostama tuulekaera tõrjekava. </w:t>
      </w:r>
      <w:r w:rsidRPr="0024503A">
        <w:rPr>
          <w:rFonts w:ascii="Times New Roman" w:hAnsi="Times New Roman" w:cs="Times New Roman"/>
          <w:sz w:val="24"/>
          <w:szCs w:val="24"/>
        </w:rPr>
        <w:t>Kolmel viimasel aastal suurenes kinnitatud tuulekaera tõrjekavade arv, kuna viieks aastaks koostatud tõrjekavad lõppesid ja maakasutajad, kellel veel esines tuulekaera, olid kohustatud uuendama tõrjekava. Põllumajandustootja, kes on rakendanud tuulekaera tõrjekavas ettenähtud abinõusid ja põllumassiivil ei esine enam tuulekaera, saab taotleda põllumassiivi tuulekaeravabaks tunnistamist ja taotlusi kontrollitakse kahel järjestikusel aastal. 2012. aastal tehti esmakordselt 51 tuulekaeravabaks tunnistamise otsust ning vabaks tunnistati 1</w:t>
      </w:r>
      <w:r w:rsidR="008043EB" w:rsidRPr="0024503A">
        <w:rPr>
          <w:rFonts w:ascii="Times New Roman" w:hAnsi="Times New Roman" w:cs="Times New Roman"/>
          <w:sz w:val="24"/>
          <w:szCs w:val="24"/>
        </w:rPr>
        <w:t>,</w:t>
      </w:r>
      <w:r w:rsidRPr="0024503A">
        <w:rPr>
          <w:rFonts w:ascii="Times New Roman" w:hAnsi="Times New Roman" w:cs="Times New Roman"/>
          <w:sz w:val="24"/>
          <w:szCs w:val="24"/>
        </w:rPr>
        <w:t>5</w:t>
      </w:r>
      <w:r w:rsidR="008043EB" w:rsidRPr="0024503A">
        <w:rPr>
          <w:rFonts w:ascii="Times New Roman" w:hAnsi="Times New Roman" w:cs="Times New Roman"/>
          <w:sz w:val="24"/>
          <w:szCs w:val="24"/>
        </w:rPr>
        <w:t xml:space="preserve"> tuhat hektarit</w:t>
      </w:r>
      <w:r w:rsidR="00AB0A0A" w:rsidRPr="0024503A">
        <w:rPr>
          <w:rFonts w:ascii="Times New Roman" w:hAnsi="Times New Roman" w:cs="Times New Roman"/>
          <w:sz w:val="24"/>
          <w:szCs w:val="24"/>
        </w:rPr>
        <w:t>.</w:t>
      </w:r>
    </w:p>
    <w:p w:rsidR="00441276" w:rsidRPr="0024503A" w:rsidRDefault="00441276" w:rsidP="00617526">
      <w:pPr>
        <w:spacing w:line="276" w:lineRule="auto"/>
        <w:jc w:val="both"/>
        <w:rPr>
          <w:rFonts w:ascii="Times New Roman" w:hAnsi="Times New Roman" w:cs="Times New Roman"/>
          <w:sz w:val="24"/>
          <w:szCs w:val="24"/>
        </w:rPr>
      </w:pPr>
    </w:p>
    <w:p w:rsidR="00441276" w:rsidRPr="0024503A" w:rsidRDefault="00441276" w:rsidP="00617526">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Tuulekaerast teavituste arv on suurenenud, sest 2011. aastal alustati tuulekaera seirega, mida jätkati 2012. ja 2013. aastal. Seire eesmärgiks on tuulekaeraga saastumise olukorra hindamine ja seni veel andmekogusse kandmata</w:t>
      </w:r>
      <w:r w:rsidR="00DC2152">
        <w:rPr>
          <w:rFonts w:ascii="Times New Roman" w:hAnsi="Times New Roman" w:cs="Times New Roman"/>
          <w:sz w:val="24"/>
          <w:szCs w:val="24"/>
        </w:rPr>
        <w:t xml:space="preserve"> saastunud</w:t>
      </w:r>
      <w:r w:rsidRPr="0024503A">
        <w:rPr>
          <w:rFonts w:ascii="Times New Roman" w:hAnsi="Times New Roman" w:cs="Times New Roman"/>
          <w:sz w:val="24"/>
          <w:szCs w:val="24"/>
        </w:rPr>
        <w:t xml:space="preserve"> põldude tuvastamine. Tõrjeabinõusid rakendavate tootjate põldudel on vähenenud tugevalt tuulekaeraga saastunud põldude arv. Positiivsena võib välja tuua, et 2013. aastal kontrollitud 1088 andmekogus olevast põllust ei tuvastatud tuulekaera 52%, vähe esines 41% ja palju esines 7%. </w:t>
      </w:r>
    </w:p>
    <w:p w:rsidR="00441276" w:rsidRPr="0024503A" w:rsidRDefault="00441276" w:rsidP="00617526">
      <w:pPr>
        <w:spacing w:line="276" w:lineRule="auto"/>
        <w:jc w:val="both"/>
        <w:rPr>
          <w:rFonts w:ascii="Times New Roman" w:hAnsi="Times New Roman" w:cs="Times New Roman"/>
          <w:sz w:val="24"/>
          <w:szCs w:val="24"/>
        </w:rPr>
      </w:pPr>
    </w:p>
    <w:p w:rsidR="00441276" w:rsidRPr="0024503A" w:rsidRDefault="00441276" w:rsidP="00617526">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 xml:space="preserve">Tugeva tuulekaeraga saastumise põhjuseks </w:t>
      </w:r>
      <w:r w:rsidR="009D29C8">
        <w:rPr>
          <w:rFonts w:ascii="Times New Roman" w:hAnsi="Times New Roman" w:cs="Times New Roman"/>
          <w:sz w:val="24"/>
          <w:szCs w:val="24"/>
        </w:rPr>
        <w:t xml:space="preserve">on olnud </w:t>
      </w:r>
      <w:r w:rsidRPr="0024503A">
        <w:rPr>
          <w:rFonts w:ascii="Times New Roman" w:hAnsi="Times New Roman" w:cs="Times New Roman"/>
          <w:sz w:val="24"/>
          <w:szCs w:val="24"/>
        </w:rPr>
        <w:t xml:space="preserve">keemilise tõrjega hilinemine või selle tegemata jätmine. Näiteks 2013. aastal tärkasid suviteraviljad ühtlaselt ja võrsusid hästi ning muutusid tihedaks, mistõttu võis kevadel tuulekaer põllul märkamata jääda, sest tuulekaera algareng on </w:t>
      </w:r>
      <w:r w:rsidRPr="0024503A">
        <w:rPr>
          <w:rFonts w:ascii="Times New Roman" w:hAnsi="Times New Roman" w:cs="Times New Roman"/>
          <w:sz w:val="24"/>
          <w:szCs w:val="24"/>
        </w:rPr>
        <w:lastRenderedPageBreak/>
        <w:t>aeglasem kui teraviljadel ja keemiline tõrje jäi</w:t>
      </w:r>
      <w:r w:rsidR="00ED79A8">
        <w:rPr>
          <w:rFonts w:ascii="Times New Roman" w:hAnsi="Times New Roman" w:cs="Times New Roman"/>
          <w:sz w:val="24"/>
          <w:szCs w:val="24"/>
        </w:rPr>
        <w:t xml:space="preserve"> paiguti</w:t>
      </w:r>
      <w:r w:rsidRPr="0024503A">
        <w:rPr>
          <w:rFonts w:ascii="Times New Roman" w:hAnsi="Times New Roman" w:cs="Times New Roman"/>
          <w:sz w:val="24"/>
          <w:szCs w:val="24"/>
        </w:rPr>
        <w:t xml:space="preserve"> tegemata. Sageli tuleb ka juulikuu lõpus teine rinne tuulekaera taimi ja sellisel põllul uut tõrjet ei ole võimalik enam teha. Lisaks tuulekaera käsitsi väljakitkumisele koristati tugevalt tuulekaeraga saastunud põllud siloks, asendati talivilja ja heintaimega või mustkesa</w:t>
      </w:r>
      <w:r w:rsidR="00DC2152">
        <w:rPr>
          <w:rFonts w:ascii="Times New Roman" w:hAnsi="Times New Roman" w:cs="Times New Roman"/>
          <w:sz w:val="24"/>
          <w:szCs w:val="24"/>
        </w:rPr>
        <w:t>ga</w:t>
      </w:r>
      <w:r w:rsidRPr="0024503A">
        <w:rPr>
          <w:rFonts w:ascii="Times New Roman" w:hAnsi="Times New Roman" w:cs="Times New Roman"/>
          <w:sz w:val="24"/>
          <w:szCs w:val="24"/>
        </w:rPr>
        <w:t>.</w:t>
      </w:r>
    </w:p>
    <w:p w:rsidR="00F47319" w:rsidRPr="0024503A" w:rsidRDefault="00F47319" w:rsidP="00617526">
      <w:pPr>
        <w:spacing w:line="276" w:lineRule="auto"/>
        <w:jc w:val="both"/>
        <w:rPr>
          <w:rFonts w:ascii="Times New Roman" w:hAnsi="Times New Roman" w:cs="Times New Roman"/>
          <w:sz w:val="24"/>
          <w:szCs w:val="24"/>
        </w:rPr>
      </w:pPr>
    </w:p>
    <w:p w:rsidR="00441276" w:rsidRDefault="000F2C53" w:rsidP="00617526">
      <w:pPr>
        <w:spacing w:line="276" w:lineRule="auto"/>
        <w:jc w:val="both"/>
        <w:rPr>
          <w:rFonts w:ascii="Times New Roman" w:hAnsi="Times New Roman" w:cs="Times New Roman"/>
          <w:sz w:val="24"/>
          <w:szCs w:val="24"/>
        </w:rPr>
      </w:pPr>
      <w:r>
        <w:rPr>
          <w:rFonts w:ascii="Times New Roman" w:hAnsi="Times New Roman" w:cs="Times New Roman"/>
          <w:sz w:val="24"/>
          <w:szCs w:val="24"/>
        </w:rPr>
        <w:t>2013. aastaks oli</w:t>
      </w:r>
      <w:r w:rsidR="00911891">
        <w:rPr>
          <w:rFonts w:ascii="Times New Roman" w:hAnsi="Times New Roman" w:cs="Times New Roman"/>
          <w:sz w:val="24"/>
          <w:szCs w:val="24"/>
        </w:rPr>
        <w:t xml:space="preserve"> p</w:t>
      </w:r>
      <w:r w:rsidR="00441276" w:rsidRPr="0024503A">
        <w:rPr>
          <w:rFonts w:ascii="Times New Roman" w:hAnsi="Times New Roman" w:cs="Times New Roman"/>
          <w:sz w:val="24"/>
          <w:szCs w:val="24"/>
        </w:rPr>
        <w:t>õldude üldilme paranenud</w:t>
      </w:r>
      <w:r w:rsidR="00911891">
        <w:rPr>
          <w:rFonts w:ascii="Times New Roman" w:hAnsi="Times New Roman" w:cs="Times New Roman"/>
          <w:sz w:val="24"/>
          <w:szCs w:val="24"/>
        </w:rPr>
        <w:t xml:space="preserve"> ja</w:t>
      </w:r>
      <w:r w:rsidR="00441276" w:rsidRPr="0024503A">
        <w:rPr>
          <w:rFonts w:ascii="Times New Roman" w:hAnsi="Times New Roman" w:cs="Times New Roman"/>
          <w:sz w:val="24"/>
          <w:szCs w:val="24"/>
        </w:rPr>
        <w:t xml:space="preserve"> näha </w:t>
      </w:r>
      <w:r>
        <w:rPr>
          <w:rFonts w:ascii="Times New Roman" w:hAnsi="Times New Roman" w:cs="Times New Roman"/>
          <w:sz w:val="24"/>
          <w:szCs w:val="24"/>
        </w:rPr>
        <w:t>võis</w:t>
      </w:r>
      <w:r w:rsidR="00441276" w:rsidRPr="0024503A">
        <w:rPr>
          <w:rFonts w:ascii="Times New Roman" w:hAnsi="Times New Roman" w:cs="Times New Roman"/>
          <w:sz w:val="24"/>
          <w:szCs w:val="24"/>
        </w:rPr>
        <w:t xml:space="preserve"> tuulekaerapuhtaid teraviljapõlde, kuid samas leiti seire käigus ka tugevalt tuulekaeraga saastunud põlde. Sageli on näha esimesi tuulekaerataimi teeäärses põlluservas, mille põhjuseks võib olla koormakatteta saastunud teravilja vedu. Tuulekaera seemned on kergemad kui teravilja seemned ning transportimisel tõusevad koorma pinnale, kust tuul võib need viia lähedalasuvatele põldudele. Samuti võib tuulekaera leida metsa servas, elektriliinide all ja postide ümbruses, kuhu see on sattunud lindude ja loomade tegevuse tulemusel.</w:t>
      </w:r>
    </w:p>
    <w:p w:rsidR="000F2C53" w:rsidRPr="0024503A" w:rsidRDefault="000F2C53" w:rsidP="00617526">
      <w:pPr>
        <w:spacing w:line="276" w:lineRule="auto"/>
        <w:jc w:val="both"/>
        <w:rPr>
          <w:rFonts w:ascii="Times New Roman" w:hAnsi="Times New Roman" w:cs="Times New Roman"/>
          <w:sz w:val="24"/>
          <w:szCs w:val="24"/>
        </w:rPr>
      </w:pPr>
    </w:p>
    <w:p w:rsidR="00222EF8" w:rsidRDefault="00441276" w:rsidP="00617526">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2005. aastast kehtestatud tõrjekavade koostamise ja rakendamise kohustusega võib täheldada teatavat tuulekaeraga saastatuse vähenemist. Positiivset mõju on ilmselt avaldanud ka keskkonnasõbraliku majandamise toetuse nõuete kohaldamine, mille kohaselt toetuse saamise üheks tingimuseks on külvikorra sisseviimise ja liblikõieliste kultuuride kasvatamise nõue. Nõude täitmiseks on viinud maakasutajad osa tugevalt tuulekaeraga saastunud põlde heintaimede alla. Olukorraga rahuloluks kindlasti aga põhjust ei ole, kuna 2013. aastal tunnistati Põllumajandusameti poolt tuulekaeravabaks 1</w:t>
      </w:r>
      <w:r w:rsidR="008043EB" w:rsidRPr="0024503A">
        <w:rPr>
          <w:rFonts w:ascii="Times New Roman" w:hAnsi="Times New Roman" w:cs="Times New Roman"/>
          <w:sz w:val="24"/>
          <w:szCs w:val="24"/>
        </w:rPr>
        <w:t>,5 tuhat hektarit</w:t>
      </w:r>
      <w:r w:rsidRPr="0024503A">
        <w:rPr>
          <w:rFonts w:ascii="Times New Roman" w:hAnsi="Times New Roman" w:cs="Times New Roman"/>
          <w:sz w:val="24"/>
          <w:szCs w:val="24"/>
        </w:rPr>
        <w:t>, samas kui seire tulemusena lisandus tuulekaera andmekogusse 5</w:t>
      </w:r>
      <w:r w:rsidR="008043EB" w:rsidRPr="0024503A">
        <w:rPr>
          <w:rFonts w:ascii="Times New Roman" w:hAnsi="Times New Roman" w:cs="Times New Roman"/>
          <w:sz w:val="24"/>
          <w:szCs w:val="24"/>
        </w:rPr>
        <w:t>,6 tuhat hektarit</w:t>
      </w:r>
      <w:r w:rsidRPr="0024503A">
        <w:rPr>
          <w:rFonts w:ascii="Times New Roman" w:hAnsi="Times New Roman" w:cs="Times New Roman"/>
          <w:sz w:val="24"/>
          <w:szCs w:val="24"/>
        </w:rPr>
        <w:t xml:space="preserve"> saastunud põllupinda.</w:t>
      </w:r>
      <w:r w:rsidR="008D1F44">
        <w:rPr>
          <w:rFonts w:ascii="Times New Roman" w:hAnsi="Times New Roman" w:cs="Times New Roman"/>
          <w:sz w:val="24"/>
          <w:szCs w:val="24"/>
        </w:rPr>
        <w:t xml:space="preserve"> Koostatud tõrjekavade rakendamine on olnud ebapiisav, mistõttu </w:t>
      </w:r>
      <w:r w:rsidR="003C5162">
        <w:rPr>
          <w:rFonts w:ascii="Times New Roman" w:hAnsi="Times New Roman" w:cs="Times New Roman"/>
          <w:sz w:val="24"/>
          <w:szCs w:val="24"/>
        </w:rPr>
        <w:t>on hakatud riiklikul</w:t>
      </w:r>
      <w:r w:rsidR="00222EF8">
        <w:rPr>
          <w:rFonts w:ascii="Times New Roman" w:hAnsi="Times New Roman" w:cs="Times New Roman"/>
          <w:sz w:val="24"/>
          <w:szCs w:val="24"/>
        </w:rPr>
        <w:t xml:space="preserve"> tasemel otsima võimalusi</w:t>
      </w:r>
      <w:r w:rsidR="00222EF8" w:rsidRPr="00222EF8">
        <w:rPr>
          <w:rFonts w:ascii="Times New Roman" w:hAnsi="Times New Roman" w:cs="Times New Roman"/>
          <w:sz w:val="24"/>
          <w:szCs w:val="24"/>
        </w:rPr>
        <w:t xml:space="preserve"> </w:t>
      </w:r>
      <w:r w:rsidR="00222EF8">
        <w:rPr>
          <w:rFonts w:ascii="Times New Roman" w:hAnsi="Times New Roman" w:cs="Times New Roman"/>
          <w:sz w:val="24"/>
          <w:szCs w:val="24"/>
        </w:rPr>
        <w:t>tõrjekavade tulemuslikumaks rakendamiseks</w:t>
      </w:r>
      <w:r w:rsidR="003C5162">
        <w:rPr>
          <w:rFonts w:ascii="Times New Roman" w:hAnsi="Times New Roman" w:cs="Times New Roman"/>
          <w:sz w:val="24"/>
          <w:szCs w:val="24"/>
        </w:rPr>
        <w:t>.</w:t>
      </w:r>
    </w:p>
    <w:p w:rsidR="00441276" w:rsidRPr="0024503A" w:rsidRDefault="00441276" w:rsidP="00617526">
      <w:pPr>
        <w:spacing w:line="276" w:lineRule="auto"/>
        <w:jc w:val="both"/>
        <w:rPr>
          <w:rFonts w:ascii="Times New Roman" w:hAnsi="Times New Roman" w:cs="Times New Roman"/>
          <w:sz w:val="24"/>
          <w:szCs w:val="24"/>
        </w:rPr>
      </w:pPr>
    </w:p>
    <w:p w:rsidR="00450EF8" w:rsidRPr="0024503A" w:rsidRDefault="00441276" w:rsidP="00617526">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 xml:space="preserve">2013. aastal alustati Estonian </w:t>
      </w:r>
      <w:proofErr w:type="spellStart"/>
      <w:r w:rsidRPr="0024503A">
        <w:rPr>
          <w:rFonts w:ascii="Times New Roman" w:hAnsi="Times New Roman" w:cs="Times New Roman"/>
          <w:sz w:val="24"/>
          <w:szCs w:val="24"/>
        </w:rPr>
        <w:t>Agricultural</w:t>
      </w:r>
      <w:proofErr w:type="spellEnd"/>
      <w:r w:rsidRPr="0024503A">
        <w:rPr>
          <w:rFonts w:ascii="Times New Roman" w:hAnsi="Times New Roman" w:cs="Times New Roman"/>
          <w:sz w:val="24"/>
          <w:szCs w:val="24"/>
        </w:rPr>
        <w:t xml:space="preserve"> </w:t>
      </w:r>
      <w:proofErr w:type="spellStart"/>
      <w:r w:rsidRPr="0024503A">
        <w:rPr>
          <w:rFonts w:ascii="Times New Roman" w:hAnsi="Times New Roman" w:cs="Times New Roman"/>
          <w:sz w:val="24"/>
          <w:szCs w:val="24"/>
        </w:rPr>
        <w:t>Geographical</w:t>
      </w:r>
      <w:proofErr w:type="spellEnd"/>
      <w:r w:rsidRPr="0024503A">
        <w:rPr>
          <w:rFonts w:ascii="Times New Roman" w:hAnsi="Times New Roman" w:cs="Times New Roman"/>
          <w:sz w:val="24"/>
          <w:szCs w:val="24"/>
        </w:rPr>
        <w:t xml:space="preserve"> </w:t>
      </w:r>
      <w:proofErr w:type="spellStart"/>
      <w:r w:rsidRPr="0024503A">
        <w:rPr>
          <w:rFonts w:ascii="Times New Roman" w:hAnsi="Times New Roman" w:cs="Times New Roman"/>
          <w:sz w:val="24"/>
          <w:szCs w:val="24"/>
        </w:rPr>
        <w:t>Information</w:t>
      </w:r>
      <w:proofErr w:type="spellEnd"/>
      <w:r w:rsidRPr="0024503A">
        <w:rPr>
          <w:rFonts w:ascii="Times New Roman" w:hAnsi="Times New Roman" w:cs="Times New Roman"/>
          <w:sz w:val="24"/>
          <w:szCs w:val="24"/>
        </w:rPr>
        <w:t xml:space="preserve"> Systemi (EAGIS) tuulekaeraga saastunud alade pealemärkimisega. Vajalik on avaliku liidese loomine</w:t>
      </w:r>
      <w:r w:rsidR="00E76779" w:rsidRPr="0024503A">
        <w:rPr>
          <w:rFonts w:ascii="Times New Roman" w:hAnsi="Times New Roman" w:cs="Times New Roman"/>
          <w:sz w:val="24"/>
          <w:szCs w:val="24"/>
        </w:rPr>
        <w:t xml:space="preserve">, millega tagatakse </w:t>
      </w:r>
      <w:r w:rsidRPr="0024503A">
        <w:rPr>
          <w:rFonts w:ascii="Times New Roman" w:hAnsi="Times New Roman" w:cs="Times New Roman"/>
          <w:sz w:val="24"/>
          <w:szCs w:val="24"/>
        </w:rPr>
        <w:t xml:space="preserve">tuulekaeraga saastunud põllumassiivide kohta </w:t>
      </w:r>
      <w:r w:rsidR="00E76779" w:rsidRPr="0024503A">
        <w:rPr>
          <w:rFonts w:ascii="Times New Roman" w:hAnsi="Times New Roman" w:cs="Times New Roman"/>
          <w:sz w:val="24"/>
          <w:szCs w:val="24"/>
        </w:rPr>
        <w:t>info kättesaadavus</w:t>
      </w:r>
      <w:r w:rsidRPr="0024503A">
        <w:rPr>
          <w:rFonts w:ascii="Times New Roman" w:hAnsi="Times New Roman" w:cs="Times New Roman"/>
          <w:sz w:val="24"/>
          <w:szCs w:val="24"/>
        </w:rPr>
        <w:t xml:space="preserve"> nii põllumajandustootjatele kui avalikkusele.</w:t>
      </w:r>
    </w:p>
    <w:p w:rsidR="00326789" w:rsidRPr="0024503A" w:rsidRDefault="00326789" w:rsidP="00617526">
      <w:pPr>
        <w:spacing w:line="276" w:lineRule="auto"/>
        <w:contextualSpacing/>
        <w:jc w:val="both"/>
        <w:rPr>
          <w:rFonts w:ascii="Times New Roman" w:hAnsi="Times New Roman" w:cs="Times New Roman"/>
          <w:sz w:val="24"/>
          <w:szCs w:val="24"/>
        </w:rPr>
      </w:pPr>
    </w:p>
    <w:p w:rsidR="00326789" w:rsidRPr="0024503A" w:rsidRDefault="00CC472E" w:rsidP="00CC472E">
      <w:pPr>
        <w:pStyle w:val="Heading2"/>
        <w:spacing w:line="276" w:lineRule="auto"/>
        <w:rPr>
          <w:rFonts w:ascii="Times New Roman" w:hAnsi="Times New Roman" w:cs="Times New Roman"/>
          <w:b/>
          <w:sz w:val="28"/>
          <w:szCs w:val="28"/>
        </w:rPr>
      </w:pPr>
      <w:bookmarkStart w:id="504" w:name="_Toc378697820"/>
      <w:bookmarkStart w:id="505" w:name="_Toc378773267"/>
      <w:bookmarkStart w:id="506" w:name="_Toc379197448"/>
      <w:bookmarkStart w:id="507" w:name="_Toc379205486"/>
      <w:bookmarkStart w:id="508" w:name="_Toc379268182"/>
      <w:bookmarkStart w:id="509" w:name="_Toc379296756"/>
      <w:bookmarkStart w:id="510" w:name="_Toc379373465"/>
      <w:bookmarkStart w:id="511" w:name="_Toc379799849"/>
      <w:bookmarkStart w:id="512" w:name="_Toc381633591"/>
      <w:bookmarkStart w:id="513" w:name="_Toc381633736"/>
      <w:bookmarkStart w:id="514" w:name="_Toc384050904"/>
      <w:bookmarkStart w:id="515" w:name="_Toc384052608"/>
      <w:bookmarkStart w:id="516" w:name="_Toc384283951"/>
      <w:bookmarkStart w:id="517" w:name="_Toc384284062"/>
      <w:bookmarkStart w:id="518" w:name="_Toc384386256"/>
      <w:bookmarkStart w:id="519" w:name="_Toc384386468"/>
      <w:bookmarkStart w:id="520" w:name="_Toc384392334"/>
      <w:bookmarkStart w:id="521" w:name="_Toc385253765"/>
      <w:bookmarkStart w:id="522" w:name="_Toc385335137"/>
      <w:bookmarkStart w:id="523" w:name="_Toc389128806"/>
      <w:bookmarkStart w:id="524" w:name="_Toc389131353"/>
      <w:bookmarkStart w:id="525" w:name="_Toc389223888"/>
      <w:bookmarkStart w:id="526" w:name="_Toc389223950"/>
      <w:bookmarkStart w:id="527" w:name="_Toc391908882"/>
      <w:bookmarkStart w:id="528" w:name="_Toc391991816"/>
      <w:bookmarkStart w:id="529" w:name="_Toc397593036"/>
      <w:bookmarkStart w:id="530" w:name="_Toc398896331"/>
      <w:bookmarkStart w:id="531" w:name="_Toc398896471"/>
      <w:bookmarkStart w:id="532" w:name="_Toc400972843"/>
      <w:r>
        <w:rPr>
          <w:rFonts w:ascii="Times New Roman" w:hAnsi="Times New Roman" w:cs="Times New Roman"/>
          <w:b/>
          <w:sz w:val="28"/>
          <w:szCs w:val="28"/>
        </w:rPr>
        <w:t xml:space="preserve">7.3. </w:t>
      </w:r>
      <w:r w:rsidR="00326789" w:rsidRPr="0024503A">
        <w:rPr>
          <w:rFonts w:ascii="Times New Roman" w:hAnsi="Times New Roman" w:cs="Times New Roman"/>
          <w:b/>
          <w:sz w:val="28"/>
          <w:szCs w:val="28"/>
        </w:rPr>
        <w:t>Teravilja töötlemine ja tarbimine</w:t>
      </w:r>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p w:rsidR="00660FB6" w:rsidRPr="0024503A" w:rsidRDefault="00660FB6" w:rsidP="00617526">
      <w:pPr>
        <w:spacing w:line="276" w:lineRule="auto"/>
        <w:rPr>
          <w:rFonts w:ascii="Times New Roman" w:hAnsi="Times New Roman" w:cs="Times New Roman"/>
          <w:sz w:val="24"/>
          <w:szCs w:val="24"/>
        </w:rPr>
      </w:pPr>
    </w:p>
    <w:p w:rsidR="00497131" w:rsidRPr="0024503A" w:rsidRDefault="00497131" w:rsidP="00617526">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Eestis on teraviljakasvatuse esmaseks eesmärgiks kodumaise vajaduse rahuldamine.</w:t>
      </w:r>
      <w:r w:rsidR="000E0262">
        <w:rPr>
          <w:rFonts w:ascii="Times New Roman" w:hAnsi="Times New Roman" w:cs="Times New Roman"/>
          <w:sz w:val="24"/>
          <w:szCs w:val="24"/>
        </w:rPr>
        <w:t xml:space="preserve"> Suurem osa </w:t>
      </w:r>
      <w:r w:rsidR="00884043">
        <w:rPr>
          <w:rFonts w:ascii="Times New Roman" w:hAnsi="Times New Roman" w:cs="Times New Roman"/>
          <w:sz w:val="24"/>
          <w:szCs w:val="24"/>
        </w:rPr>
        <w:t xml:space="preserve">Eestis kasutatavast </w:t>
      </w:r>
      <w:r w:rsidR="000E0262">
        <w:rPr>
          <w:rFonts w:ascii="Times New Roman" w:hAnsi="Times New Roman" w:cs="Times New Roman"/>
          <w:sz w:val="24"/>
          <w:szCs w:val="24"/>
        </w:rPr>
        <w:t>teraviljast kulub loomasöödaks, kuid</w:t>
      </w:r>
      <w:r w:rsidRPr="0024503A">
        <w:rPr>
          <w:rFonts w:ascii="Times New Roman" w:hAnsi="Times New Roman" w:cs="Times New Roman"/>
          <w:sz w:val="24"/>
          <w:szCs w:val="24"/>
        </w:rPr>
        <w:t xml:space="preserve"> </w:t>
      </w:r>
      <w:r w:rsidR="00A026E3">
        <w:rPr>
          <w:rFonts w:ascii="Times New Roman" w:hAnsi="Times New Roman" w:cs="Times New Roman"/>
          <w:sz w:val="24"/>
          <w:szCs w:val="24"/>
        </w:rPr>
        <w:t xml:space="preserve">oluline on ka inimtoiduks </w:t>
      </w:r>
      <w:r w:rsidR="00884043">
        <w:rPr>
          <w:rFonts w:ascii="Times New Roman" w:hAnsi="Times New Roman" w:cs="Times New Roman"/>
          <w:sz w:val="24"/>
          <w:szCs w:val="24"/>
        </w:rPr>
        <w:t>tarvitada</w:t>
      </w:r>
      <w:r w:rsidR="00A026E3">
        <w:rPr>
          <w:rFonts w:ascii="Times New Roman" w:hAnsi="Times New Roman" w:cs="Times New Roman"/>
          <w:sz w:val="24"/>
          <w:szCs w:val="24"/>
        </w:rPr>
        <w:t xml:space="preserve"> kodumaist teravilja. </w:t>
      </w:r>
      <w:r w:rsidRPr="0024503A">
        <w:rPr>
          <w:rFonts w:ascii="Times New Roman" w:hAnsi="Times New Roman" w:cs="Times New Roman"/>
          <w:sz w:val="24"/>
          <w:szCs w:val="24"/>
        </w:rPr>
        <w:t>Tarbijate arvates iseloomustab kodumaist toidukaupa harjumuspärane maitse, värskus ja lisaks mõjub Eesti päritolu toit usaldusväärselt</w:t>
      </w:r>
      <w:r w:rsidRPr="0024503A">
        <w:rPr>
          <w:rStyle w:val="FootnoteReference"/>
          <w:rFonts w:ascii="Times New Roman" w:hAnsi="Times New Roman" w:cs="Times New Roman"/>
          <w:sz w:val="24"/>
          <w:szCs w:val="24"/>
        </w:rPr>
        <w:footnoteReference w:id="17"/>
      </w:r>
      <w:r w:rsidRPr="0024503A">
        <w:rPr>
          <w:rFonts w:ascii="Times New Roman" w:hAnsi="Times New Roman" w:cs="Times New Roman"/>
          <w:sz w:val="24"/>
          <w:szCs w:val="24"/>
        </w:rPr>
        <w:t>. Tarbijate usaldust kodumaiste toiduainete vastu aitab säilitada ja parandada kõrge kvaliteediga toodete pakkumine, keskkonnasõbralike tootmisviiside kasutamine ning tooraine jälgitavus. Teraviljatööstuses on kümmekond suuremat ettevõtet, kes on tarbijatele hästi tuntud ja omavad märkimisväärselt suurt turuosa</w:t>
      </w:r>
      <w:r w:rsidR="005B213C">
        <w:rPr>
          <w:rFonts w:ascii="Times New Roman" w:hAnsi="Times New Roman" w:cs="Times New Roman"/>
          <w:sz w:val="24"/>
          <w:szCs w:val="24"/>
        </w:rPr>
        <w:t>,</w:t>
      </w:r>
      <w:r w:rsidRPr="0024503A">
        <w:rPr>
          <w:rFonts w:ascii="Times New Roman" w:hAnsi="Times New Roman" w:cs="Times New Roman"/>
          <w:sz w:val="24"/>
          <w:szCs w:val="24"/>
        </w:rPr>
        <w:t xml:space="preserve"> realiseerides oma toodangut nii sise- kui ka välisturul. Samas on ka </w:t>
      </w:r>
      <w:r w:rsidR="00C606DB">
        <w:rPr>
          <w:rFonts w:ascii="Times New Roman" w:hAnsi="Times New Roman" w:cs="Times New Roman"/>
          <w:sz w:val="24"/>
          <w:szCs w:val="24"/>
        </w:rPr>
        <w:t xml:space="preserve">väike- ja </w:t>
      </w:r>
      <w:r w:rsidRPr="0024503A">
        <w:rPr>
          <w:rFonts w:ascii="Times New Roman" w:hAnsi="Times New Roman" w:cs="Times New Roman"/>
          <w:sz w:val="24"/>
          <w:szCs w:val="24"/>
        </w:rPr>
        <w:t>mikroettevõtetel oluline koht</w:t>
      </w:r>
      <w:r w:rsidR="00054207">
        <w:rPr>
          <w:rFonts w:ascii="Times New Roman" w:hAnsi="Times New Roman" w:cs="Times New Roman"/>
          <w:sz w:val="24"/>
          <w:szCs w:val="24"/>
        </w:rPr>
        <w:t xml:space="preserve"> toiduaineturul. Näiteks väikesed</w:t>
      </w:r>
      <w:r w:rsidRPr="0024503A">
        <w:rPr>
          <w:rFonts w:ascii="Times New Roman" w:hAnsi="Times New Roman" w:cs="Times New Roman"/>
          <w:sz w:val="24"/>
          <w:szCs w:val="24"/>
        </w:rPr>
        <w:t xml:space="preserve"> veskid ja pagaritööstused rikastavad </w:t>
      </w:r>
      <w:r w:rsidRPr="0024503A">
        <w:rPr>
          <w:rFonts w:ascii="Times New Roman" w:hAnsi="Times New Roman" w:cs="Times New Roman"/>
          <w:sz w:val="24"/>
          <w:szCs w:val="24"/>
        </w:rPr>
        <w:lastRenderedPageBreak/>
        <w:t>oma toodanguga tootevalikut. Mahetoidu turg on praegu Eestis veel väike, kuid inimeste teadlikkus tervislikust toitumisest kasvab ja see toob kaasa ka mahetoodangu osakaalu suurenemise.</w:t>
      </w:r>
    </w:p>
    <w:p w:rsidR="00497131" w:rsidRPr="0024503A" w:rsidRDefault="00497131" w:rsidP="00617526">
      <w:pPr>
        <w:spacing w:line="276" w:lineRule="auto"/>
        <w:rPr>
          <w:rFonts w:ascii="Times New Roman" w:hAnsi="Times New Roman" w:cs="Times New Roman"/>
          <w:sz w:val="24"/>
          <w:szCs w:val="24"/>
        </w:rPr>
      </w:pPr>
    </w:p>
    <w:p w:rsidR="00785DD4" w:rsidRPr="00F36A97" w:rsidRDefault="00785DD4" w:rsidP="00F36A97">
      <w:pPr>
        <w:pStyle w:val="IntenseQuote"/>
        <w:spacing w:line="276" w:lineRule="auto"/>
        <w:ind w:left="0" w:right="-2"/>
        <w:rPr>
          <w:rStyle w:val="IntenseReference"/>
          <w:rFonts w:ascii="Times New Roman" w:hAnsi="Times New Roman" w:cs="Times New Roman"/>
          <w:sz w:val="24"/>
          <w:szCs w:val="24"/>
        </w:rPr>
      </w:pPr>
      <w:r w:rsidRPr="00F36A97">
        <w:rPr>
          <w:rStyle w:val="IntenseReference"/>
          <w:rFonts w:ascii="Times New Roman" w:hAnsi="Times New Roman" w:cs="Times New Roman"/>
          <w:sz w:val="24"/>
          <w:szCs w:val="24"/>
        </w:rPr>
        <w:t xml:space="preserve">Teravilja, õlikultuuride ja kaunviljade töötlemisel on probleemiks </w:t>
      </w:r>
      <w:r w:rsidR="00DC2152">
        <w:rPr>
          <w:rStyle w:val="IntenseReference"/>
          <w:rFonts w:ascii="Times New Roman" w:hAnsi="Times New Roman" w:cs="Times New Roman"/>
          <w:sz w:val="24"/>
          <w:szCs w:val="24"/>
        </w:rPr>
        <w:t xml:space="preserve">toodetele </w:t>
      </w:r>
      <w:r w:rsidRPr="00F36A97">
        <w:rPr>
          <w:rStyle w:val="IntenseReference"/>
          <w:rFonts w:ascii="Times New Roman" w:hAnsi="Times New Roman" w:cs="Times New Roman"/>
          <w:sz w:val="24"/>
          <w:szCs w:val="24"/>
        </w:rPr>
        <w:t>vähese lisandväärtuse andmine (ka mahetoodete puhul, mille järele nõudlus järjest kasvab)</w:t>
      </w:r>
      <w:r w:rsidR="00DC2152">
        <w:rPr>
          <w:rStyle w:val="IntenseReference"/>
          <w:rFonts w:ascii="Times New Roman" w:hAnsi="Times New Roman" w:cs="Times New Roman"/>
          <w:sz w:val="24"/>
          <w:szCs w:val="24"/>
        </w:rPr>
        <w:t>.</w:t>
      </w:r>
      <w:r w:rsidRPr="00F36A97">
        <w:rPr>
          <w:rStyle w:val="IntenseReference"/>
          <w:rFonts w:ascii="Times New Roman" w:hAnsi="Times New Roman" w:cs="Times New Roman"/>
          <w:sz w:val="24"/>
          <w:szCs w:val="24"/>
        </w:rPr>
        <w:t xml:space="preserve"> </w:t>
      </w:r>
      <w:r w:rsidR="00DC2152">
        <w:rPr>
          <w:rStyle w:val="IntenseReference"/>
          <w:rFonts w:ascii="Times New Roman" w:hAnsi="Times New Roman" w:cs="Times New Roman"/>
          <w:sz w:val="24"/>
          <w:szCs w:val="24"/>
        </w:rPr>
        <w:t>seetõttu eksporditakse</w:t>
      </w:r>
      <w:r w:rsidRPr="00F36A97">
        <w:rPr>
          <w:rStyle w:val="IntenseReference"/>
          <w:rFonts w:ascii="Times New Roman" w:hAnsi="Times New Roman" w:cs="Times New Roman"/>
          <w:sz w:val="24"/>
          <w:szCs w:val="24"/>
        </w:rPr>
        <w:t xml:space="preserve"> töötlemiseks ja ka bioener</w:t>
      </w:r>
      <w:r w:rsidR="006F275D">
        <w:rPr>
          <w:rStyle w:val="IntenseReference"/>
          <w:rFonts w:ascii="Times New Roman" w:hAnsi="Times New Roman" w:cs="Times New Roman"/>
          <w:sz w:val="24"/>
          <w:szCs w:val="24"/>
        </w:rPr>
        <w:t>gia tootmiseks vajalik tooraine</w:t>
      </w:r>
      <w:r w:rsidRPr="00F36A97">
        <w:rPr>
          <w:rStyle w:val="IntenseReference"/>
          <w:rFonts w:ascii="Times New Roman" w:hAnsi="Times New Roman" w:cs="Times New Roman"/>
          <w:sz w:val="24"/>
          <w:szCs w:val="24"/>
        </w:rPr>
        <w:t xml:space="preserve">, kuigi seda võiks Eestis väärindada ning juba valmistootena välja viia. </w:t>
      </w:r>
    </w:p>
    <w:p w:rsidR="00326789" w:rsidRPr="0024503A" w:rsidRDefault="00326789" w:rsidP="00617526">
      <w:pPr>
        <w:pStyle w:val="Heading3"/>
        <w:spacing w:line="276" w:lineRule="auto"/>
        <w:rPr>
          <w:rFonts w:ascii="Times New Roman" w:hAnsi="Times New Roman" w:cs="Times New Roman"/>
          <w:b w:val="0"/>
        </w:rPr>
      </w:pPr>
      <w:bookmarkStart w:id="533" w:name="_Toc378697821"/>
      <w:bookmarkStart w:id="534" w:name="_Toc378773268"/>
      <w:bookmarkStart w:id="535" w:name="_Toc379197449"/>
      <w:bookmarkStart w:id="536" w:name="_Toc379205487"/>
      <w:bookmarkStart w:id="537" w:name="_Toc379268183"/>
      <w:bookmarkStart w:id="538" w:name="_Toc379296757"/>
      <w:bookmarkStart w:id="539" w:name="_Toc379373466"/>
      <w:bookmarkStart w:id="540" w:name="_Toc379799850"/>
      <w:bookmarkStart w:id="541" w:name="_Toc381633592"/>
      <w:bookmarkStart w:id="542" w:name="_Toc381633737"/>
      <w:bookmarkStart w:id="543" w:name="_Toc384050905"/>
      <w:bookmarkStart w:id="544" w:name="_Toc384052609"/>
      <w:bookmarkStart w:id="545" w:name="_Toc384283952"/>
      <w:bookmarkStart w:id="546" w:name="_Toc384284063"/>
      <w:bookmarkStart w:id="547" w:name="_Toc384386257"/>
      <w:bookmarkStart w:id="548" w:name="_Toc384386469"/>
      <w:bookmarkStart w:id="549" w:name="_Toc384392335"/>
      <w:bookmarkStart w:id="550" w:name="_Toc385253766"/>
      <w:bookmarkStart w:id="551" w:name="_Toc385335138"/>
      <w:bookmarkStart w:id="552" w:name="_Toc389128807"/>
      <w:bookmarkStart w:id="553" w:name="_Toc389131354"/>
      <w:bookmarkStart w:id="554" w:name="_Toc389223889"/>
      <w:bookmarkStart w:id="555" w:name="_Toc389223951"/>
      <w:bookmarkStart w:id="556" w:name="_Toc391908883"/>
      <w:bookmarkStart w:id="557" w:name="_Toc391991817"/>
      <w:bookmarkStart w:id="558" w:name="_Toc397593037"/>
      <w:bookmarkStart w:id="559" w:name="_Toc398896332"/>
      <w:bookmarkStart w:id="560" w:name="_Toc398896472"/>
      <w:bookmarkStart w:id="561" w:name="_Toc400972844"/>
      <w:r w:rsidRPr="0024503A">
        <w:rPr>
          <w:rFonts w:ascii="Times New Roman" w:hAnsi="Times New Roman" w:cs="Times New Roman"/>
        </w:rPr>
        <w:t>Töötlemine</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rsidR="00126816" w:rsidRPr="0024503A" w:rsidRDefault="00126816" w:rsidP="00617526">
      <w:pPr>
        <w:spacing w:line="276" w:lineRule="auto"/>
        <w:jc w:val="both"/>
        <w:rPr>
          <w:rFonts w:ascii="Times New Roman" w:hAnsi="Times New Roman" w:cs="Times New Roman"/>
          <w:sz w:val="24"/>
          <w:szCs w:val="24"/>
        </w:rPr>
      </w:pPr>
    </w:p>
    <w:p w:rsidR="00FB42E4" w:rsidRPr="00FB42E4" w:rsidRDefault="00326789" w:rsidP="0010298E">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Teravilja töötleva tööstuse ettevõtetena kä</w:t>
      </w:r>
      <w:r w:rsidR="00497131" w:rsidRPr="0024503A">
        <w:rPr>
          <w:rFonts w:ascii="Times New Roman" w:hAnsi="Times New Roman" w:cs="Times New Roman"/>
          <w:sz w:val="24"/>
          <w:szCs w:val="24"/>
        </w:rPr>
        <w:t xml:space="preserve">sitletakse </w:t>
      </w:r>
      <w:r w:rsidRPr="0024503A">
        <w:rPr>
          <w:rFonts w:ascii="Times New Roman" w:hAnsi="Times New Roman" w:cs="Times New Roman"/>
          <w:sz w:val="24"/>
          <w:szCs w:val="24"/>
        </w:rPr>
        <w:t>pagari- ja makaronitoodete tootja</w:t>
      </w:r>
      <w:r w:rsidR="00092E2A">
        <w:rPr>
          <w:rFonts w:ascii="Times New Roman" w:hAnsi="Times New Roman" w:cs="Times New Roman"/>
          <w:sz w:val="24"/>
          <w:szCs w:val="24"/>
        </w:rPr>
        <w:t>i</w:t>
      </w:r>
      <w:r w:rsidRPr="0024503A">
        <w:rPr>
          <w:rFonts w:ascii="Times New Roman" w:hAnsi="Times New Roman" w:cs="Times New Roman"/>
          <w:sz w:val="24"/>
          <w:szCs w:val="24"/>
        </w:rPr>
        <w:t>d,</w:t>
      </w:r>
      <w:r w:rsidR="00497131" w:rsidRPr="0024503A">
        <w:rPr>
          <w:rFonts w:ascii="Times New Roman" w:hAnsi="Times New Roman" w:cs="Times New Roman"/>
          <w:sz w:val="24"/>
          <w:szCs w:val="24"/>
        </w:rPr>
        <w:t xml:space="preserve"> </w:t>
      </w:r>
      <w:r w:rsidRPr="0024503A">
        <w:rPr>
          <w:rFonts w:ascii="Times New Roman" w:hAnsi="Times New Roman" w:cs="Times New Roman"/>
          <w:sz w:val="24"/>
          <w:szCs w:val="24"/>
        </w:rPr>
        <w:t>jahu</w:t>
      </w:r>
      <w:r w:rsidR="00092E2A">
        <w:rPr>
          <w:rFonts w:ascii="Times New Roman" w:hAnsi="Times New Roman" w:cs="Times New Roman"/>
          <w:sz w:val="24"/>
          <w:szCs w:val="24"/>
        </w:rPr>
        <w:t>-</w:t>
      </w:r>
      <w:r w:rsidRPr="0024503A">
        <w:rPr>
          <w:rFonts w:ascii="Times New Roman" w:hAnsi="Times New Roman" w:cs="Times New Roman"/>
          <w:sz w:val="24"/>
          <w:szCs w:val="24"/>
        </w:rPr>
        <w:t xml:space="preserve"> ja tangainete tootja</w:t>
      </w:r>
      <w:r w:rsidR="00092E2A">
        <w:rPr>
          <w:rFonts w:ascii="Times New Roman" w:hAnsi="Times New Roman" w:cs="Times New Roman"/>
          <w:sz w:val="24"/>
          <w:szCs w:val="24"/>
        </w:rPr>
        <w:t>i</w:t>
      </w:r>
      <w:r w:rsidRPr="0024503A">
        <w:rPr>
          <w:rFonts w:ascii="Times New Roman" w:hAnsi="Times New Roman" w:cs="Times New Roman"/>
          <w:sz w:val="24"/>
          <w:szCs w:val="24"/>
        </w:rPr>
        <w:t>d,</w:t>
      </w:r>
      <w:r w:rsidR="00497131" w:rsidRPr="0024503A">
        <w:rPr>
          <w:rFonts w:ascii="Times New Roman" w:hAnsi="Times New Roman" w:cs="Times New Roman"/>
          <w:sz w:val="24"/>
          <w:szCs w:val="24"/>
        </w:rPr>
        <w:t xml:space="preserve"> </w:t>
      </w:r>
      <w:r w:rsidRPr="0024503A">
        <w:rPr>
          <w:rFonts w:ascii="Times New Roman" w:hAnsi="Times New Roman" w:cs="Times New Roman"/>
          <w:sz w:val="24"/>
          <w:szCs w:val="24"/>
        </w:rPr>
        <w:t>loomasööda tootja</w:t>
      </w:r>
      <w:r w:rsidR="00092E2A">
        <w:rPr>
          <w:rFonts w:ascii="Times New Roman" w:hAnsi="Times New Roman" w:cs="Times New Roman"/>
          <w:sz w:val="24"/>
          <w:szCs w:val="24"/>
        </w:rPr>
        <w:t>i</w:t>
      </w:r>
      <w:r w:rsidRPr="0024503A">
        <w:rPr>
          <w:rFonts w:ascii="Times New Roman" w:hAnsi="Times New Roman" w:cs="Times New Roman"/>
          <w:sz w:val="24"/>
          <w:szCs w:val="24"/>
        </w:rPr>
        <w:t>d</w:t>
      </w:r>
      <w:r w:rsidR="00497131" w:rsidRPr="0024503A">
        <w:rPr>
          <w:rFonts w:ascii="Times New Roman" w:hAnsi="Times New Roman" w:cs="Times New Roman"/>
          <w:sz w:val="24"/>
          <w:szCs w:val="24"/>
        </w:rPr>
        <w:t xml:space="preserve"> ja </w:t>
      </w:r>
      <w:r w:rsidRPr="0024503A">
        <w:rPr>
          <w:rFonts w:ascii="Times New Roman" w:hAnsi="Times New Roman" w:cs="Times New Roman"/>
          <w:sz w:val="24"/>
          <w:szCs w:val="24"/>
        </w:rPr>
        <w:t>taimse õli tootja</w:t>
      </w:r>
      <w:r w:rsidR="00092E2A">
        <w:rPr>
          <w:rFonts w:ascii="Times New Roman" w:hAnsi="Times New Roman" w:cs="Times New Roman"/>
          <w:sz w:val="24"/>
          <w:szCs w:val="24"/>
        </w:rPr>
        <w:t>i</w:t>
      </w:r>
      <w:r w:rsidRPr="0024503A">
        <w:rPr>
          <w:rFonts w:ascii="Times New Roman" w:hAnsi="Times New Roman" w:cs="Times New Roman"/>
          <w:sz w:val="24"/>
          <w:szCs w:val="24"/>
        </w:rPr>
        <w:t>d.</w:t>
      </w:r>
      <w:r w:rsidR="00497131" w:rsidRPr="0024503A">
        <w:rPr>
          <w:rFonts w:ascii="Times New Roman" w:hAnsi="Times New Roman" w:cs="Times New Roman"/>
          <w:sz w:val="24"/>
          <w:szCs w:val="24"/>
        </w:rPr>
        <w:t xml:space="preserve"> </w:t>
      </w:r>
      <w:r w:rsidRPr="0024503A">
        <w:rPr>
          <w:rFonts w:ascii="Times New Roman" w:hAnsi="Times New Roman" w:cs="Times New Roman"/>
          <w:sz w:val="24"/>
          <w:szCs w:val="24"/>
        </w:rPr>
        <w:t>Teravilja töötlevas</w:t>
      </w:r>
      <w:r w:rsidRPr="0024503A">
        <w:rPr>
          <w:rFonts w:ascii="Times New Roman" w:hAnsi="Times New Roman" w:cs="Times New Roman"/>
          <w:b/>
          <w:sz w:val="24"/>
          <w:szCs w:val="24"/>
        </w:rPr>
        <w:t xml:space="preserve"> </w:t>
      </w:r>
      <w:r w:rsidRPr="0024503A">
        <w:rPr>
          <w:rFonts w:ascii="Times New Roman" w:hAnsi="Times New Roman" w:cs="Times New Roman"/>
          <w:sz w:val="24"/>
          <w:szCs w:val="24"/>
        </w:rPr>
        <w:t>sektoris tegutses 2012. aasta</w:t>
      </w:r>
      <w:r w:rsidR="005B213C">
        <w:rPr>
          <w:rFonts w:ascii="Times New Roman" w:hAnsi="Times New Roman" w:cs="Times New Roman"/>
          <w:sz w:val="24"/>
          <w:szCs w:val="24"/>
        </w:rPr>
        <w:t xml:space="preserve">l </w:t>
      </w:r>
      <w:r w:rsidRPr="0024503A">
        <w:rPr>
          <w:rFonts w:ascii="Times New Roman" w:hAnsi="Times New Roman" w:cs="Times New Roman"/>
          <w:sz w:val="24"/>
          <w:szCs w:val="24"/>
        </w:rPr>
        <w:t xml:space="preserve">153 ettevõtet (juriidilist isikut), neist ~70% olid mikroettevõtted. Pagari- ja makaronitooteid valmistasid 125, jahu ja tangaineid 11, loomasööta 14 ning õli 3 ettevõtet. </w:t>
      </w:r>
      <w:r w:rsidR="00D21DEE" w:rsidRPr="0024503A">
        <w:rPr>
          <w:rFonts w:ascii="Times New Roman" w:eastAsia="Calibri" w:hAnsi="Times New Roman" w:cs="Times New Roman"/>
          <w:sz w:val="24"/>
          <w:szCs w:val="24"/>
        </w:rPr>
        <w:t>Vaatamata suurele ettevõtete arvule on teraviljatööstuse ettevõtted viimastel aastatel märkimisväärselt kontsentreerunud,</w:t>
      </w:r>
      <w:r w:rsidR="00641C28">
        <w:rPr>
          <w:rFonts w:ascii="Times New Roman" w:eastAsia="Calibri" w:hAnsi="Times New Roman" w:cs="Times New Roman"/>
          <w:sz w:val="24"/>
          <w:szCs w:val="24"/>
        </w:rPr>
        <w:t xml:space="preserve"> mis</w:t>
      </w:r>
      <w:r w:rsidR="00641C28" w:rsidRPr="00641C28">
        <w:rPr>
          <w:rFonts w:ascii="Times New Roman" w:eastAsia="Calibri" w:hAnsi="Times New Roman" w:cs="Times New Roman"/>
          <w:sz w:val="24"/>
          <w:szCs w:val="24"/>
        </w:rPr>
        <w:t xml:space="preserve"> annab ettevõtetele suurema turujõu, aitab uusi turge leida ja seal läbi lüüa. Kontsentreerumise üh</w:t>
      </w:r>
      <w:r w:rsidR="00641C28">
        <w:rPr>
          <w:rFonts w:ascii="Times New Roman" w:eastAsia="Calibri" w:hAnsi="Times New Roman" w:cs="Times New Roman"/>
          <w:sz w:val="24"/>
          <w:szCs w:val="24"/>
        </w:rPr>
        <w:t>eks negatiivseks tulemuseks on</w:t>
      </w:r>
      <w:r w:rsidR="00641C28" w:rsidRPr="00641C28">
        <w:rPr>
          <w:rFonts w:ascii="Times New Roman" w:eastAsia="Calibri" w:hAnsi="Times New Roman" w:cs="Times New Roman"/>
          <w:sz w:val="24"/>
          <w:szCs w:val="24"/>
        </w:rPr>
        <w:t xml:space="preserve"> see, et andmekaitse põhimõttest lähtudes ei avalda SA</w:t>
      </w:r>
      <w:r w:rsidR="00641C28">
        <w:rPr>
          <w:rFonts w:ascii="Times New Roman" w:eastAsia="Calibri" w:hAnsi="Times New Roman" w:cs="Times New Roman"/>
          <w:sz w:val="24"/>
          <w:szCs w:val="24"/>
        </w:rPr>
        <w:t xml:space="preserve"> täpsemaid majandus</w:t>
      </w:r>
      <w:r w:rsidR="00641C28" w:rsidRPr="00641C28">
        <w:rPr>
          <w:rFonts w:ascii="Times New Roman" w:eastAsia="Calibri" w:hAnsi="Times New Roman" w:cs="Times New Roman"/>
          <w:sz w:val="24"/>
          <w:szCs w:val="24"/>
        </w:rPr>
        <w:t>andmeid ei õlitööstuse ega ka jahutööstuse kohta.</w:t>
      </w:r>
      <w:r w:rsidR="00D21DEE" w:rsidRPr="0024503A">
        <w:rPr>
          <w:rFonts w:ascii="Times New Roman" w:eastAsia="Calibri" w:hAnsi="Times New Roman" w:cs="Times New Roman"/>
          <w:sz w:val="24"/>
          <w:szCs w:val="24"/>
        </w:rPr>
        <w:t xml:space="preserve"> Näiteks nii jahu- kui ka õlitööstuses annab üks ettevõte üle 90% tööstusharu müügitulust. Küllalt kontsentreerunud on ka loomasöödatööstus, kus kolm suuremat tööstust annavad üle 90% tööstusharu müügitulust. Väiksem on praegu veel kontsentratsioon pagaritööstuses, kus 5 suuremat tööstust annavad üle 70% tööstusharu müügitulust. </w:t>
      </w:r>
      <w:r w:rsidR="00D21DEE" w:rsidRPr="0024503A">
        <w:rPr>
          <w:rFonts w:ascii="Times New Roman" w:hAnsi="Times New Roman" w:cs="Times New Roman"/>
          <w:sz w:val="24"/>
          <w:szCs w:val="24"/>
        </w:rPr>
        <w:t>Teravilja- ja õlisaaduste toodangu maht 2012. aastal oli SA andmetel üle 443 tuhande tonni, sellest 47% moodustas segasööda tootmine, järgnesid teraviljajahu (20%) ja pagaritooted (17%). Teiste saaduste osatähtsus jäi alla 10%</w:t>
      </w:r>
      <w:r w:rsidR="006E4858" w:rsidRPr="0024503A">
        <w:rPr>
          <w:rFonts w:ascii="Times New Roman" w:hAnsi="Times New Roman" w:cs="Times New Roman"/>
          <w:sz w:val="24"/>
          <w:szCs w:val="24"/>
        </w:rPr>
        <w:t xml:space="preserve"> (joonis 19</w:t>
      </w:r>
      <w:r w:rsidR="005D5C3D" w:rsidRPr="0024503A">
        <w:rPr>
          <w:rFonts w:ascii="Times New Roman" w:hAnsi="Times New Roman" w:cs="Times New Roman"/>
          <w:sz w:val="24"/>
          <w:szCs w:val="24"/>
        </w:rPr>
        <w:t>)</w:t>
      </w:r>
      <w:r w:rsidR="00D21DEE" w:rsidRPr="0024503A">
        <w:rPr>
          <w:rFonts w:ascii="Times New Roman" w:hAnsi="Times New Roman" w:cs="Times New Roman"/>
          <w:sz w:val="24"/>
          <w:szCs w:val="24"/>
        </w:rPr>
        <w:t>.</w:t>
      </w:r>
    </w:p>
    <w:p w:rsidR="00D21DEE" w:rsidRPr="00785DD4" w:rsidRDefault="0010298E" w:rsidP="00617526">
      <w:pPr>
        <w:adjustRightInd w:val="0"/>
        <w:spacing w:line="276" w:lineRule="auto"/>
        <w:jc w:val="both"/>
        <w:rPr>
          <w:rFonts w:eastAsia="Calibri"/>
          <w:sz w:val="24"/>
          <w:szCs w:val="24"/>
        </w:rPr>
      </w:pPr>
      <w:r>
        <w:rPr>
          <w:noProof/>
        </w:rPr>
        <w:drawing>
          <wp:inline distT="0" distB="0" distL="0" distR="0" wp14:anchorId="6495C091" wp14:editId="600979D4">
            <wp:extent cx="6096000" cy="2800350"/>
            <wp:effectExtent l="0" t="0" r="19050" b="190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D41E9" w:rsidRPr="0001612B" w:rsidRDefault="006D41E9" w:rsidP="00617526">
      <w:pPr>
        <w:adjustRightInd w:val="0"/>
        <w:spacing w:line="276" w:lineRule="auto"/>
        <w:jc w:val="both"/>
        <w:rPr>
          <w:rFonts w:ascii="Arial" w:hAnsi="Arial" w:cs="Arial"/>
        </w:rPr>
      </w:pPr>
      <w:r w:rsidRPr="0001612B">
        <w:rPr>
          <w:rFonts w:ascii="Arial" w:hAnsi="Arial" w:cs="Arial"/>
        </w:rPr>
        <w:t>Allikas: SA</w:t>
      </w:r>
    </w:p>
    <w:p w:rsidR="00D21DEE" w:rsidRPr="0024503A" w:rsidRDefault="00D21DEE" w:rsidP="00617526">
      <w:pPr>
        <w:adjustRightInd w:val="0"/>
        <w:spacing w:line="276" w:lineRule="auto"/>
        <w:jc w:val="both"/>
        <w:rPr>
          <w:rFonts w:ascii="Times New Roman" w:hAnsi="Times New Roman" w:cs="Times New Roman"/>
          <w:b/>
          <w:sz w:val="24"/>
          <w:szCs w:val="24"/>
        </w:rPr>
      </w:pPr>
      <w:r w:rsidRPr="0024503A">
        <w:rPr>
          <w:rFonts w:ascii="Times New Roman" w:hAnsi="Times New Roman" w:cs="Times New Roman"/>
          <w:b/>
          <w:sz w:val="24"/>
          <w:szCs w:val="24"/>
        </w:rPr>
        <w:t>Joonis</w:t>
      </w:r>
      <w:r w:rsidR="006E4858" w:rsidRPr="0024503A">
        <w:rPr>
          <w:rFonts w:ascii="Times New Roman" w:hAnsi="Times New Roman" w:cs="Times New Roman"/>
          <w:b/>
          <w:sz w:val="24"/>
          <w:szCs w:val="24"/>
        </w:rPr>
        <w:t xml:space="preserve"> 19</w:t>
      </w:r>
      <w:r w:rsidRPr="0024503A">
        <w:rPr>
          <w:rFonts w:ascii="Times New Roman" w:hAnsi="Times New Roman" w:cs="Times New Roman"/>
          <w:b/>
          <w:sz w:val="24"/>
          <w:szCs w:val="24"/>
        </w:rPr>
        <w:t>. Teravilja- ja õlis</w:t>
      </w:r>
      <w:r w:rsidR="0001612B">
        <w:rPr>
          <w:rFonts w:ascii="Times New Roman" w:hAnsi="Times New Roman" w:cs="Times New Roman"/>
          <w:b/>
          <w:sz w:val="24"/>
          <w:szCs w:val="24"/>
        </w:rPr>
        <w:t>aaduste tootmine aastatel 2004–</w:t>
      </w:r>
      <w:r w:rsidRPr="0024503A">
        <w:rPr>
          <w:rFonts w:ascii="Times New Roman" w:hAnsi="Times New Roman" w:cs="Times New Roman"/>
          <w:b/>
          <w:sz w:val="24"/>
          <w:szCs w:val="24"/>
        </w:rPr>
        <w:t>2012</w:t>
      </w:r>
    </w:p>
    <w:p w:rsidR="00280EE2" w:rsidRPr="0024503A" w:rsidRDefault="00280EE2" w:rsidP="00617526">
      <w:pPr>
        <w:adjustRightInd w:val="0"/>
        <w:spacing w:line="276" w:lineRule="auto"/>
        <w:jc w:val="both"/>
        <w:rPr>
          <w:rFonts w:ascii="Times New Roman" w:hAnsi="Times New Roman" w:cs="Times New Roman"/>
          <w:b/>
          <w:sz w:val="24"/>
          <w:szCs w:val="24"/>
        </w:rPr>
      </w:pPr>
    </w:p>
    <w:p w:rsidR="00D21DEE" w:rsidRPr="0024503A" w:rsidRDefault="00D21DEE" w:rsidP="00617526">
      <w:pPr>
        <w:adjustRightInd w:val="0"/>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lastRenderedPageBreak/>
        <w:t xml:space="preserve">Eestis suureneb pidevalt nende inimeste hulk, kes järgivad teadlikult tervisliku toitumise põhimõtteid. See trend on suurendanud nõudlust mahetoidu järele. VTA andmetel toodeti mahedalt 2012. aastal tera- ja kaunviljatooteid 709,1 tonni, pagaritooteid 105,4 tonni ning </w:t>
      </w:r>
      <w:proofErr w:type="spellStart"/>
      <w:r w:rsidRPr="0024503A">
        <w:rPr>
          <w:rFonts w:ascii="Times New Roman" w:hAnsi="Times New Roman" w:cs="Times New Roman"/>
          <w:sz w:val="24"/>
          <w:szCs w:val="24"/>
        </w:rPr>
        <w:t>külmpressitud</w:t>
      </w:r>
      <w:proofErr w:type="spellEnd"/>
      <w:r w:rsidRPr="0024503A">
        <w:rPr>
          <w:rFonts w:ascii="Times New Roman" w:hAnsi="Times New Roman" w:cs="Times New Roman"/>
          <w:sz w:val="24"/>
          <w:szCs w:val="24"/>
        </w:rPr>
        <w:t xml:space="preserve"> toiduõli 8,0 tonni</w:t>
      </w:r>
      <w:r w:rsidR="005D5C3D" w:rsidRPr="0024503A">
        <w:rPr>
          <w:rFonts w:ascii="Times New Roman" w:hAnsi="Times New Roman" w:cs="Times New Roman"/>
          <w:sz w:val="24"/>
          <w:szCs w:val="24"/>
        </w:rPr>
        <w:t xml:space="preserve"> (tabel 1)</w:t>
      </w:r>
      <w:r w:rsidRPr="0024503A">
        <w:rPr>
          <w:rFonts w:ascii="Times New Roman" w:hAnsi="Times New Roman" w:cs="Times New Roman"/>
          <w:sz w:val="24"/>
          <w:szCs w:val="24"/>
        </w:rPr>
        <w:t>.</w:t>
      </w:r>
    </w:p>
    <w:p w:rsidR="00D21DEE" w:rsidRPr="0024503A" w:rsidRDefault="00D21DEE" w:rsidP="00617526">
      <w:pPr>
        <w:adjustRightInd w:val="0"/>
        <w:spacing w:line="276" w:lineRule="auto"/>
        <w:jc w:val="both"/>
        <w:rPr>
          <w:rFonts w:ascii="Times New Roman" w:hAnsi="Times New Roman" w:cs="Times New Roman"/>
          <w:sz w:val="24"/>
          <w:szCs w:val="24"/>
        </w:rPr>
      </w:pPr>
    </w:p>
    <w:p w:rsidR="00D21DEE" w:rsidRPr="0024503A" w:rsidRDefault="00D21DEE" w:rsidP="00617526">
      <w:pPr>
        <w:adjustRightInd w:val="0"/>
        <w:spacing w:line="276" w:lineRule="auto"/>
        <w:jc w:val="both"/>
        <w:rPr>
          <w:rFonts w:ascii="Times New Roman" w:hAnsi="Times New Roman" w:cs="Times New Roman"/>
          <w:b/>
          <w:sz w:val="24"/>
          <w:szCs w:val="24"/>
        </w:rPr>
      </w:pPr>
      <w:r w:rsidRPr="0024503A">
        <w:rPr>
          <w:rFonts w:ascii="Times New Roman" w:hAnsi="Times New Roman" w:cs="Times New Roman"/>
          <w:b/>
          <w:sz w:val="24"/>
          <w:szCs w:val="24"/>
        </w:rPr>
        <w:t xml:space="preserve">Tabel </w:t>
      </w:r>
      <w:r w:rsidR="006D41E9" w:rsidRPr="0024503A">
        <w:rPr>
          <w:rFonts w:ascii="Times New Roman" w:hAnsi="Times New Roman" w:cs="Times New Roman"/>
          <w:b/>
          <w:sz w:val="24"/>
          <w:szCs w:val="24"/>
        </w:rPr>
        <w:t>1</w:t>
      </w:r>
      <w:r w:rsidRPr="0024503A">
        <w:rPr>
          <w:rFonts w:ascii="Times New Roman" w:hAnsi="Times New Roman" w:cs="Times New Roman"/>
          <w:b/>
          <w:sz w:val="24"/>
          <w:szCs w:val="24"/>
        </w:rPr>
        <w:t>.Mahetoodete t</w:t>
      </w:r>
      <w:r w:rsidR="00D659A7">
        <w:rPr>
          <w:rFonts w:ascii="Times New Roman" w:hAnsi="Times New Roman" w:cs="Times New Roman"/>
          <w:b/>
          <w:sz w:val="24"/>
          <w:szCs w:val="24"/>
        </w:rPr>
        <w:t>öötlemise mahud aastatel 2008–</w:t>
      </w:r>
      <w:r w:rsidRPr="0024503A">
        <w:rPr>
          <w:rFonts w:ascii="Times New Roman" w:hAnsi="Times New Roman" w:cs="Times New Roman"/>
          <w:b/>
          <w:sz w:val="24"/>
          <w:szCs w:val="24"/>
        </w:rPr>
        <w:t>2012</w:t>
      </w:r>
    </w:p>
    <w:tbl>
      <w:tblPr>
        <w:tblW w:w="9539" w:type="dxa"/>
        <w:tblInd w:w="65" w:type="dxa"/>
        <w:tblLayout w:type="fixed"/>
        <w:tblCellMar>
          <w:left w:w="70" w:type="dxa"/>
          <w:right w:w="70" w:type="dxa"/>
        </w:tblCellMar>
        <w:tblLook w:val="04A0" w:firstRow="1" w:lastRow="0" w:firstColumn="1" w:lastColumn="0" w:noHBand="0" w:noVBand="1"/>
      </w:tblPr>
      <w:tblGrid>
        <w:gridCol w:w="2914"/>
        <w:gridCol w:w="1615"/>
        <w:gridCol w:w="1002"/>
        <w:gridCol w:w="1002"/>
        <w:gridCol w:w="1002"/>
        <w:gridCol w:w="1002"/>
        <w:gridCol w:w="1002"/>
      </w:tblGrid>
      <w:tr w:rsidR="00D21DEE" w:rsidRPr="00785DD4" w:rsidTr="00524022">
        <w:trPr>
          <w:trHeight w:val="420"/>
        </w:trPr>
        <w:tc>
          <w:tcPr>
            <w:tcW w:w="2914" w:type="dxa"/>
            <w:tcBorders>
              <w:top w:val="single" w:sz="4" w:space="0" w:color="auto"/>
              <w:left w:val="single" w:sz="4" w:space="0" w:color="auto"/>
              <w:bottom w:val="single" w:sz="4" w:space="0" w:color="auto"/>
              <w:right w:val="single" w:sz="4" w:space="0" w:color="auto"/>
            </w:tcBorders>
            <w:shd w:val="clear" w:color="auto" w:fill="FEBCBC" w:themeFill="accent1" w:themeFillTint="33"/>
            <w:noWrap/>
            <w:vAlign w:val="center"/>
            <w:hideMark/>
          </w:tcPr>
          <w:p w:rsidR="00D21DEE" w:rsidRPr="00785DD4" w:rsidRDefault="00D21DEE" w:rsidP="00617526">
            <w:pPr>
              <w:spacing w:line="276" w:lineRule="auto"/>
              <w:jc w:val="center"/>
              <w:rPr>
                <w:b/>
                <w:bCs/>
                <w:color w:val="000000"/>
                <w:sz w:val="24"/>
                <w:szCs w:val="24"/>
              </w:rPr>
            </w:pPr>
            <w:r w:rsidRPr="00785DD4">
              <w:rPr>
                <w:b/>
                <w:bCs/>
                <w:color w:val="000000"/>
                <w:sz w:val="24"/>
                <w:szCs w:val="24"/>
              </w:rPr>
              <w:t> </w:t>
            </w:r>
          </w:p>
        </w:tc>
        <w:tc>
          <w:tcPr>
            <w:tcW w:w="1615" w:type="dxa"/>
            <w:tcBorders>
              <w:top w:val="single" w:sz="4" w:space="0" w:color="auto"/>
              <w:left w:val="nil"/>
              <w:bottom w:val="single" w:sz="4" w:space="0" w:color="auto"/>
              <w:right w:val="single" w:sz="4" w:space="0" w:color="auto"/>
            </w:tcBorders>
            <w:shd w:val="clear" w:color="auto" w:fill="FEBCBC" w:themeFill="accent1" w:themeFillTint="33"/>
            <w:vAlign w:val="center"/>
            <w:hideMark/>
          </w:tcPr>
          <w:p w:rsidR="00D21DEE" w:rsidRPr="00785DD4" w:rsidRDefault="00D21DEE" w:rsidP="00617526">
            <w:pPr>
              <w:spacing w:line="276" w:lineRule="auto"/>
              <w:jc w:val="center"/>
              <w:rPr>
                <w:b/>
                <w:bCs/>
                <w:color w:val="000000"/>
                <w:sz w:val="24"/>
                <w:szCs w:val="24"/>
              </w:rPr>
            </w:pPr>
            <w:r w:rsidRPr="00785DD4">
              <w:rPr>
                <w:b/>
                <w:bCs/>
                <w:color w:val="000000"/>
                <w:sz w:val="24"/>
                <w:szCs w:val="24"/>
              </w:rPr>
              <w:t>Mõõtühik</w:t>
            </w:r>
          </w:p>
        </w:tc>
        <w:tc>
          <w:tcPr>
            <w:tcW w:w="1002" w:type="dxa"/>
            <w:tcBorders>
              <w:top w:val="single" w:sz="4" w:space="0" w:color="auto"/>
              <w:left w:val="nil"/>
              <w:bottom w:val="single" w:sz="4" w:space="0" w:color="auto"/>
              <w:right w:val="single" w:sz="4" w:space="0" w:color="auto"/>
            </w:tcBorders>
            <w:shd w:val="clear" w:color="auto" w:fill="FEBCBC" w:themeFill="accent1" w:themeFillTint="33"/>
            <w:noWrap/>
            <w:vAlign w:val="center"/>
            <w:hideMark/>
          </w:tcPr>
          <w:p w:rsidR="00D21DEE" w:rsidRPr="00785DD4" w:rsidRDefault="00D21DEE" w:rsidP="00617526">
            <w:pPr>
              <w:spacing w:line="276" w:lineRule="auto"/>
              <w:jc w:val="center"/>
              <w:rPr>
                <w:b/>
                <w:bCs/>
                <w:color w:val="000000"/>
                <w:sz w:val="24"/>
                <w:szCs w:val="24"/>
              </w:rPr>
            </w:pPr>
            <w:r w:rsidRPr="00785DD4">
              <w:rPr>
                <w:b/>
                <w:bCs/>
                <w:color w:val="000000"/>
                <w:sz w:val="24"/>
                <w:szCs w:val="24"/>
              </w:rPr>
              <w:t>2008</w:t>
            </w:r>
          </w:p>
        </w:tc>
        <w:tc>
          <w:tcPr>
            <w:tcW w:w="1002" w:type="dxa"/>
            <w:tcBorders>
              <w:top w:val="single" w:sz="4" w:space="0" w:color="auto"/>
              <w:left w:val="nil"/>
              <w:bottom w:val="single" w:sz="4" w:space="0" w:color="auto"/>
              <w:right w:val="single" w:sz="4" w:space="0" w:color="auto"/>
            </w:tcBorders>
            <w:shd w:val="clear" w:color="auto" w:fill="FEBCBC" w:themeFill="accent1" w:themeFillTint="33"/>
            <w:noWrap/>
            <w:vAlign w:val="center"/>
            <w:hideMark/>
          </w:tcPr>
          <w:p w:rsidR="00D21DEE" w:rsidRPr="00785DD4" w:rsidRDefault="00D21DEE" w:rsidP="00617526">
            <w:pPr>
              <w:spacing w:line="276" w:lineRule="auto"/>
              <w:jc w:val="center"/>
              <w:rPr>
                <w:b/>
                <w:bCs/>
                <w:color w:val="000000"/>
                <w:sz w:val="24"/>
                <w:szCs w:val="24"/>
              </w:rPr>
            </w:pPr>
            <w:r w:rsidRPr="00785DD4">
              <w:rPr>
                <w:b/>
                <w:bCs/>
                <w:color w:val="000000"/>
                <w:sz w:val="24"/>
                <w:szCs w:val="24"/>
              </w:rPr>
              <w:t>2009</w:t>
            </w:r>
          </w:p>
        </w:tc>
        <w:tc>
          <w:tcPr>
            <w:tcW w:w="1002" w:type="dxa"/>
            <w:tcBorders>
              <w:top w:val="single" w:sz="4" w:space="0" w:color="auto"/>
              <w:left w:val="nil"/>
              <w:bottom w:val="single" w:sz="4" w:space="0" w:color="auto"/>
              <w:right w:val="single" w:sz="4" w:space="0" w:color="auto"/>
            </w:tcBorders>
            <w:shd w:val="clear" w:color="auto" w:fill="FEBCBC" w:themeFill="accent1" w:themeFillTint="33"/>
            <w:vAlign w:val="center"/>
            <w:hideMark/>
          </w:tcPr>
          <w:p w:rsidR="00D21DEE" w:rsidRPr="00785DD4" w:rsidRDefault="00D21DEE" w:rsidP="00617526">
            <w:pPr>
              <w:spacing w:line="276" w:lineRule="auto"/>
              <w:jc w:val="center"/>
              <w:rPr>
                <w:b/>
                <w:bCs/>
                <w:color w:val="000000"/>
                <w:sz w:val="24"/>
                <w:szCs w:val="24"/>
              </w:rPr>
            </w:pPr>
            <w:r w:rsidRPr="00785DD4">
              <w:rPr>
                <w:b/>
                <w:bCs/>
                <w:color w:val="000000"/>
                <w:sz w:val="24"/>
                <w:szCs w:val="24"/>
              </w:rPr>
              <w:t>2010</w:t>
            </w:r>
          </w:p>
        </w:tc>
        <w:tc>
          <w:tcPr>
            <w:tcW w:w="1002" w:type="dxa"/>
            <w:tcBorders>
              <w:top w:val="single" w:sz="4" w:space="0" w:color="auto"/>
              <w:left w:val="nil"/>
              <w:bottom w:val="single" w:sz="4" w:space="0" w:color="auto"/>
              <w:right w:val="single" w:sz="4" w:space="0" w:color="auto"/>
            </w:tcBorders>
            <w:shd w:val="clear" w:color="auto" w:fill="FEBCBC" w:themeFill="accent1" w:themeFillTint="33"/>
            <w:vAlign w:val="center"/>
            <w:hideMark/>
          </w:tcPr>
          <w:p w:rsidR="00D21DEE" w:rsidRPr="00785DD4" w:rsidRDefault="00D21DEE" w:rsidP="00617526">
            <w:pPr>
              <w:spacing w:line="276" w:lineRule="auto"/>
              <w:jc w:val="center"/>
              <w:rPr>
                <w:b/>
                <w:bCs/>
                <w:color w:val="000000"/>
                <w:sz w:val="24"/>
                <w:szCs w:val="24"/>
              </w:rPr>
            </w:pPr>
            <w:r w:rsidRPr="00785DD4">
              <w:rPr>
                <w:b/>
                <w:bCs/>
                <w:color w:val="000000"/>
                <w:sz w:val="24"/>
                <w:szCs w:val="24"/>
              </w:rPr>
              <w:t>2011</w:t>
            </w:r>
          </w:p>
        </w:tc>
        <w:tc>
          <w:tcPr>
            <w:tcW w:w="1002" w:type="dxa"/>
            <w:tcBorders>
              <w:top w:val="single" w:sz="4" w:space="0" w:color="auto"/>
              <w:left w:val="nil"/>
              <w:bottom w:val="single" w:sz="4" w:space="0" w:color="auto"/>
              <w:right w:val="single" w:sz="4" w:space="0" w:color="auto"/>
            </w:tcBorders>
            <w:shd w:val="clear" w:color="auto" w:fill="FEBCBC" w:themeFill="accent1" w:themeFillTint="33"/>
            <w:vAlign w:val="center"/>
            <w:hideMark/>
          </w:tcPr>
          <w:p w:rsidR="00D21DEE" w:rsidRPr="00785DD4" w:rsidRDefault="00D21DEE" w:rsidP="00617526">
            <w:pPr>
              <w:spacing w:line="276" w:lineRule="auto"/>
              <w:jc w:val="center"/>
              <w:rPr>
                <w:b/>
                <w:bCs/>
                <w:color w:val="000000"/>
                <w:sz w:val="24"/>
                <w:szCs w:val="24"/>
              </w:rPr>
            </w:pPr>
            <w:r w:rsidRPr="00785DD4">
              <w:rPr>
                <w:b/>
                <w:bCs/>
                <w:color w:val="000000"/>
                <w:sz w:val="24"/>
                <w:szCs w:val="24"/>
              </w:rPr>
              <w:t>2012</w:t>
            </w:r>
          </w:p>
        </w:tc>
      </w:tr>
      <w:tr w:rsidR="00D21DEE" w:rsidRPr="00785DD4" w:rsidTr="00785DD4">
        <w:trPr>
          <w:trHeight w:val="348"/>
        </w:trPr>
        <w:tc>
          <w:tcPr>
            <w:tcW w:w="2914" w:type="dxa"/>
            <w:tcBorders>
              <w:top w:val="nil"/>
              <w:left w:val="single" w:sz="4" w:space="0" w:color="auto"/>
              <w:bottom w:val="single" w:sz="4" w:space="0" w:color="auto"/>
              <w:right w:val="single" w:sz="4" w:space="0" w:color="auto"/>
            </w:tcBorders>
            <w:shd w:val="clear" w:color="auto" w:fill="auto"/>
            <w:noWrap/>
            <w:vAlign w:val="center"/>
            <w:hideMark/>
          </w:tcPr>
          <w:p w:rsidR="00D21DEE" w:rsidRPr="00785DD4" w:rsidRDefault="00D21DEE" w:rsidP="00617526">
            <w:pPr>
              <w:spacing w:line="276" w:lineRule="auto"/>
              <w:rPr>
                <w:color w:val="000000"/>
                <w:sz w:val="24"/>
                <w:szCs w:val="24"/>
              </w:rPr>
            </w:pPr>
            <w:r w:rsidRPr="00785DD4">
              <w:rPr>
                <w:color w:val="000000"/>
                <w:sz w:val="24"/>
                <w:szCs w:val="24"/>
              </w:rPr>
              <w:t xml:space="preserve">Tera- ja kaunviljatooted </w:t>
            </w:r>
          </w:p>
        </w:tc>
        <w:tc>
          <w:tcPr>
            <w:tcW w:w="1615" w:type="dxa"/>
            <w:tcBorders>
              <w:top w:val="nil"/>
              <w:left w:val="nil"/>
              <w:bottom w:val="single" w:sz="4" w:space="0" w:color="auto"/>
              <w:right w:val="single" w:sz="4" w:space="0" w:color="auto"/>
            </w:tcBorders>
            <w:shd w:val="clear" w:color="auto" w:fill="auto"/>
            <w:vAlign w:val="center"/>
            <w:hideMark/>
          </w:tcPr>
          <w:p w:rsidR="00D21DEE" w:rsidRPr="00785DD4" w:rsidRDefault="00D21DEE" w:rsidP="00617526">
            <w:pPr>
              <w:spacing w:line="276" w:lineRule="auto"/>
              <w:jc w:val="center"/>
              <w:rPr>
                <w:color w:val="000000"/>
                <w:sz w:val="24"/>
                <w:szCs w:val="24"/>
              </w:rPr>
            </w:pPr>
            <w:r w:rsidRPr="00785DD4">
              <w:rPr>
                <w:color w:val="000000"/>
                <w:sz w:val="24"/>
                <w:szCs w:val="24"/>
              </w:rPr>
              <w:t>tonni</w:t>
            </w:r>
          </w:p>
        </w:tc>
        <w:tc>
          <w:tcPr>
            <w:tcW w:w="1002" w:type="dxa"/>
            <w:tcBorders>
              <w:top w:val="nil"/>
              <w:left w:val="nil"/>
              <w:bottom w:val="single" w:sz="4" w:space="0" w:color="auto"/>
              <w:right w:val="single" w:sz="4" w:space="0" w:color="auto"/>
            </w:tcBorders>
            <w:shd w:val="clear" w:color="auto" w:fill="auto"/>
            <w:noWrap/>
            <w:vAlign w:val="center"/>
            <w:hideMark/>
          </w:tcPr>
          <w:p w:rsidR="00D21DEE" w:rsidRPr="00785DD4" w:rsidRDefault="00D21DEE" w:rsidP="00617526">
            <w:pPr>
              <w:spacing w:line="276" w:lineRule="auto"/>
              <w:jc w:val="center"/>
              <w:rPr>
                <w:color w:val="000000"/>
                <w:sz w:val="24"/>
                <w:szCs w:val="24"/>
              </w:rPr>
            </w:pPr>
            <w:r w:rsidRPr="00785DD4">
              <w:rPr>
                <w:color w:val="000000"/>
                <w:sz w:val="24"/>
                <w:szCs w:val="24"/>
              </w:rPr>
              <w:t>279,5</w:t>
            </w:r>
          </w:p>
        </w:tc>
        <w:tc>
          <w:tcPr>
            <w:tcW w:w="1002" w:type="dxa"/>
            <w:tcBorders>
              <w:top w:val="nil"/>
              <w:left w:val="nil"/>
              <w:bottom w:val="single" w:sz="4" w:space="0" w:color="auto"/>
              <w:right w:val="single" w:sz="4" w:space="0" w:color="auto"/>
            </w:tcBorders>
            <w:shd w:val="clear" w:color="auto" w:fill="auto"/>
            <w:noWrap/>
            <w:vAlign w:val="center"/>
            <w:hideMark/>
          </w:tcPr>
          <w:p w:rsidR="00D21DEE" w:rsidRPr="00785DD4" w:rsidRDefault="00D21DEE" w:rsidP="00617526">
            <w:pPr>
              <w:spacing w:line="276" w:lineRule="auto"/>
              <w:jc w:val="center"/>
              <w:rPr>
                <w:color w:val="000000"/>
                <w:sz w:val="24"/>
                <w:szCs w:val="24"/>
              </w:rPr>
            </w:pPr>
            <w:r w:rsidRPr="00785DD4">
              <w:rPr>
                <w:color w:val="000000"/>
                <w:sz w:val="24"/>
                <w:szCs w:val="24"/>
              </w:rPr>
              <w:t>660,8</w:t>
            </w:r>
          </w:p>
        </w:tc>
        <w:tc>
          <w:tcPr>
            <w:tcW w:w="1002" w:type="dxa"/>
            <w:tcBorders>
              <w:top w:val="nil"/>
              <w:left w:val="nil"/>
              <w:bottom w:val="single" w:sz="4" w:space="0" w:color="auto"/>
              <w:right w:val="single" w:sz="4" w:space="0" w:color="auto"/>
            </w:tcBorders>
            <w:shd w:val="clear" w:color="auto" w:fill="auto"/>
            <w:vAlign w:val="center"/>
            <w:hideMark/>
          </w:tcPr>
          <w:p w:rsidR="00D21DEE" w:rsidRPr="00785DD4" w:rsidRDefault="00D21DEE" w:rsidP="00617526">
            <w:pPr>
              <w:spacing w:line="276" w:lineRule="auto"/>
              <w:jc w:val="center"/>
              <w:rPr>
                <w:color w:val="000000"/>
                <w:sz w:val="24"/>
                <w:szCs w:val="24"/>
              </w:rPr>
            </w:pPr>
            <w:r w:rsidRPr="00785DD4">
              <w:rPr>
                <w:color w:val="000000"/>
                <w:sz w:val="24"/>
                <w:szCs w:val="24"/>
              </w:rPr>
              <w:t>370</w:t>
            </w:r>
          </w:p>
        </w:tc>
        <w:tc>
          <w:tcPr>
            <w:tcW w:w="1002" w:type="dxa"/>
            <w:tcBorders>
              <w:top w:val="nil"/>
              <w:left w:val="nil"/>
              <w:bottom w:val="single" w:sz="4" w:space="0" w:color="auto"/>
              <w:right w:val="single" w:sz="4" w:space="0" w:color="auto"/>
            </w:tcBorders>
            <w:shd w:val="clear" w:color="auto" w:fill="auto"/>
            <w:vAlign w:val="center"/>
            <w:hideMark/>
          </w:tcPr>
          <w:p w:rsidR="00D21DEE" w:rsidRPr="00785DD4" w:rsidRDefault="00D21DEE" w:rsidP="00617526">
            <w:pPr>
              <w:spacing w:line="276" w:lineRule="auto"/>
              <w:jc w:val="center"/>
              <w:rPr>
                <w:color w:val="000000"/>
                <w:sz w:val="24"/>
                <w:szCs w:val="24"/>
              </w:rPr>
            </w:pPr>
            <w:r w:rsidRPr="00785DD4">
              <w:rPr>
                <w:color w:val="000000"/>
                <w:sz w:val="24"/>
                <w:szCs w:val="24"/>
              </w:rPr>
              <w:t>617</w:t>
            </w:r>
          </w:p>
        </w:tc>
        <w:tc>
          <w:tcPr>
            <w:tcW w:w="1002" w:type="dxa"/>
            <w:tcBorders>
              <w:top w:val="nil"/>
              <w:left w:val="nil"/>
              <w:bottom w:val="single" w:sz="4" w:space="0" w:color="auto"/>
              <w:right w:val="single" w:sz="4" w:space="0" w:color="auto"/>
            </w:tcBorders>
            <w:shd w:val="clear" w:color="auto" w:fill="auto"/>
            <w:noWrap/>
            <w:vAlign w:val="bottom"/>
            <w:hideMark/>
          </w:tcPr>
          <w:p w:rsidR="00D21DEE" w:rsidRPr="00785DD4" w:rsidRDefault="00060F26" w:rsidP="00617526">
            <w:pPr>
              <w:spacing w:line="276" w:lineRule="auto"/>
              <w:jc w:val="center"/>
              <w:rPr>
                <w:color w:val="000000"/>
                <w:sz w:val="24"/>
                <w:szCs w:val="24"/>
              </w:rPr>
            </w:pPr>
            <w:r>
              <w:rPr>
                <w:color w:val="000000"/>
                <w:sz w:val="24"/>
                <w:szCs w:val="24"/>
              </w:rPr>
              <w:t>702,4</w:t>
            </w:r>
          </w:p>
        </w:tc>
      </w:tr>
      <w:tr w:rsidR="00D21DEE" w:rsidRPr="00785DD4" w:rsidTr="00785DD4">
        <w:trPr>
          <w:trHeight w:val="348"/>
        </w:trPr>
        <w:tc>
          <w:tcPr>
            <w:tcW w:w="2914" w:type="dxa"/>
            <w:tcBorders>
              <w:top w:val="nil"/>
              <w:left w:val="single" w:sz="4" w:space="0" w:color="auto"/>
              <w:bottom w:val="single" w:sz="4" w:space="0" w:color="auto"/>
              <w:right w:val="single" w:sz="4" w:space="0" w:color="auto"/>
            </w:tcBorders>
            <w:shd w:val="clear" w:color="auto" w:fill="auto"/>
            <w:noWrap/>
            <w:vAlign w:val="center"/>
            <w:hideMark/>
          </w:tcPr>
          <w:p w:rsidR="00D21DEE" w:rsidRPr="00785DD4" w:rsidRDefault="00D21DEE" w:rsidP="00617526">
            <w:pPr>
              <w:spacing w:line="276" w:lineRule="auto"/>
              <w:rPr>
                <w:color w:val="000000"/>
                <w:sz w:val="24"/>
                <w:szCs w:val="24"/>
              </w:rPr>
            </w:pPr>
            <w:r w:rsidRPr="00785DD4">
              <w:rPr>
                <w:color w:val="000000"/>
                <w:sz w:val="24"/>
                <w:szCs w:val="24"/>
              </w:rPr>
              <w:t>Pagaritooted</w:t>
            </w:r>
          </w:p>
        </w:tc>
        <w:tc>
          <w:tcPr>
            <w:tcW w:w="1615" w:type="dxa"/>
            <w:tcBorders>
              <w:top w:val="nil"/>
              <w:left w:val="nil"/>
              <w:bottom w:val="single" w:sz="4" w:space="0" w:color="auto"/>
              <w:right w:val="single" w:sz="4" w:space="0" w:color="auto"/>
            </w:tcBorders>
            <w:shd w:val="clear" w:color="auto" w:fill="auto"/>
            <w:vAlign w:val="center"/>
            <w:hideMark/>
          </w:tcPr>
          <w:p w:rsidR="00D21DEE" w:rsidRPr="00785DD4" w:rsidRDefault="00D21DEE" w:rsidP="00617526">
            <w:pPr>
              <w:spacing w:line="276" w:lineRule="auto"/>
              <w:jc w:val="center"/>
              <w:rPr>
                <w:color w:val="000000"/>
                <w:sz w:val="24"/>
                <w:szCs w:val="24"/>
              </w:rPr>
            </w:pPr>
            <w:r w:rsidRPr="00785DD4">
              <w:rPr>
                <w:color w:val="000000"/>
                <w:sz w:val="24"/>
                <w:szCs w:val="24"/>
              </w:rPr>
              <w:t>tonni</w:t>
            </w:r>
          </w:p>
        </w:tc>
        <w:tc>
          <w:tcPr>
            <w:tcW w:w="1002" w:type="dxa"/>
            <w:tcBorders>
              <w:top w:val="nil"/>
              <w:left w:val="nil"/>
              <w:bottom w:val="single" w:sz="4" w:space="0" w:color="auto"/>
              <w:right w:val="single" w:sz="4" w:space="0" w:color="auto"/>
            </w:tcBorders>
            <w:shd w:val="clear" w:color="auto" w:fill="auto"/>
            <w:noWrap/>
            <w:vAlign w:val="center"/>
            <w:hideMark/>
          </w:tcPr>
          <w:p w:rsidR="00D21DEE" w:rsidRPr="00785DD4" w:rsidRDefault="00D21DEE" w:rsidP="00617526">
            <w:pPr>
              <w:spacing w:line="276" w:lineRule="auto"/>
              <w:jc w:val="center"/>
              <w:rPr>
                <w:color w:val="000000"/>
                <w:sz w:val="24"/>
                <w:szCs w:val="24"/>
              </w:rPr>
            </w:pPr>
            <w:r w:rsidRPr="00785DD4">
              <w:rPr>
                <w:color w:val="000000"/>
                <w:sz w:val="24"/>
                <w:szCs w:val="24"/>
              </w:rPr>
              <w:t>62</w:t>
            </w:r>
          </w:p>
        </w:tc>
        <w:tc>
          <w:tcPr>
            <w:tcW w:w="1002" w:type="dxa"/>
            <w:tcBorders>
              <w:top w:val="nil"/>
              <w:left w:val="nil"/>
              <w:bottom w:val="single" w:sz="4" w:space="0" w:color="auto"/>
              <w:right w:val="single" w:sz="4" w:space="0" w:color="auto"/>
            </w:tcBorders>
            <w:shd w:val="clear" w:color="auto" w:fill="auto"/>
            <w:noWrap/>
            <w:vAlign w:val="center"/>
            <w:hideMark/>
          </w:tcPr>
          <w:p w:rsidR="00D21DEE" w:rsidRPr="00785DD4" w:rsidRDefault="00D21DEE" w:rsidP="00617526">
            <w:pPr>
              <w:spacing w:line="276" w:lineRule="auto"/>
              <w:jc w:val="center"/>
              <w:rPr>
                <w:color w:val="000000"/>
                <w:sz w:val="24"/>
                <w:szCs w:val="24"/>
              </w:rPr>
            </w:pPr>
            <w:r w:rsidRPr="00785DD4">
              <w:rPr>
                <w:color w:val="000000"/>
                <w:sz w:val="24"/>
                <w:szCs w:val="24"/>
              </w:rPr>
              <w:t>70,4</w:t>
            </w:r>
          </w:p>
        </w:tc>
        <w:tc>
          <w:tcPr>
            <w:tcW w:w="1002" w:type="dxa"/>
            <w:tcBorders>
              <w:top w:val="nil"/>
              <w:left w:val="nil"/>
              <w:bottom w:val="single" w:sz="4" w:space="0" w:color="auto"/>
              <w:right w:val="single" w:sz="4" w:space="0" w:color="auto"/>
            </w:tcBorders>
            <w:shd w:val="clear" w:color="auto" w:fill="auto"/>
            <w:vAlign w:val="center"/>
            <w:hideMark/>
          </w:tcPr>
          <w:p w:rsidR="00D21DEE" w:rsidRPr="00785DD4" w:rsidRDefault="00D21DEE" w:rsidP="00617526">
            <w:pPr>
              <w:spacing w:line="276" w:lineRule="auto"/>
              <w:jc w:val="center"/>
              <w:rPr>
                <w:color w:val="000000"/>
                <w:sz w:val="24"/>
                <w:szCs w:val="24"/>
              </w:rPr>
            </w:pPr>
            <w:r w:rsidRPr="00785DD4">
              <w:rPr>
                <w:color w:val="000000"/>
                <w:sz w:val="24"/>
                <w:szCs w:val="24"/>
              </w:rPr>
              <w:t>96</w:t>
            </w:r>
          </w:p>
        </w:tc>
        <w:tc>
          <w:tcPr>
            <w:tcW w:w="1002" w:type="dxa"/>
            <w:tcBorders>
              <w:top w:val="nil"/>
              <w:left w:val="nil"/>
              <w:bottom w:val="single" w:sz="4" w:space="0" w:color="auto"/>
              <w:right w:val="single" w:sz="4" w:space="0" w:color="auto"/>
            </w:tcBorders>
            <w:shd w:val="clear" w:color="auto" w:fill="auto"/>
            <w:vAlign w:val="center"/>
            <w:hideMark/>
          </w:tcPr>
          <w:p w:rsidR="00D21DEE" w:rsidRPr="00785DD4" w:rsidRDefault="00D21DEE" w:rsidP="00617526">
            <w:pPr>
              <w:spacing w:line="276" w:lineRule="auto"/>
              <w:jc w:val="center"/>
              <w:rPr>
                <w:color w:val="000000"/>
                <w:sz w:val="24"/>
                <w:szCs w:val="24"/>
              </w:rPr>
            </w:pPr>
            <w:r w:rsidRPr="00785DD4">
              <w:rPr>
                <w:color w:val="000000"/>
                <w:sz w:val="24"/>
                <w:szCs w:val="24"/>
              </w:rPr>
              <w:t>114,3</w:t>
            </w:r>
          </w:p>
        </w:tc>
        <w:tc>
          <w:tcPr>
            <w:tcW w:w="1002" w:type="dxa"/>
            <w:tcBorders>
              <w:top w:val="nil"/>
              <w:left w:val="nil"/>
              <w:bottom w:val="single" w:sz="4" w:space="0" w:color="auto"/>
              <w:right w:val="single" w:sz="4" w:space="0" w:color="auto"/>
            </w:tcBorders>
            <w:shd w:val="clear" w:color="auto" w:fill="auto"/>
            <w:noWrap/>
            <w:vAlign w:val="bottom"/>
            <w:hideMark/>
          </w:tcPr>
          <w:p w:rsidR="00D21DEE" w:rsidRPr="00785DD4" w:rsidRDefault="00060F26" w:rsidP="00617526">
            <w:pPr>
              <w:spacing w:line="276" w:lineRule="auto"/>
              <w:jc w:val="center"/>
              <w:rPr>
                <w:color w:val="000000"/>
                <w:sz w:val="24"/>
                <w:szCs w:val="24"/>
              </w:rPr>
            </w:pPr>
            <w:r>
              <w:rPr>
                <w:color w:val="000000"/>
                <w:sz w:val="24"/>
                <w:szCs w:val="24"/>
              </w:rPr>
              <w:t>112,1</w:t>
            </w:r>
          </w:p>
        </w:tc>
      </w:tr>
      <w:tr w:rsidR="00D21DEE" w:rsidRPr="00785DD4" w:rsidTr="00785DD4">
        <w:trPr>
          <w:trHeight w:val="348"/>
        </w:trPr>
        <w:tc>
          <w:tcPr>
            <w:tcW w:w="2914" w:type="dxa"/>
            <w:tcBorders>
              <w:top w:val="nil"/>
              <w:left w:val="single" w:sz="4" w:space="0" w:color="auto"/>
              <w:bottom w:val="single" w:sz="4" w:space="0" w:color="auto"/>
              <w:right w:val="single" w:sz="4" w:space="0" w:color="auto"/>
            </w:tcBorders>
            <w:shd w:val="clear" w:color="auto" w:fill="auto"/>
            <w:noWrap/>
            <w:vAlign w:val="center"/>
            <w:hideMark/>
          </w:tcPr>
          <w:p w:rsidR="00D21DEE" w:rsidRPr="00785DD4" w:rsidRDefault="00D21DEE" w:rsidP="00617526">
            <w:pPr>
              <w:spacing w:line="276" w:lineRule="auto"/>
              <w:rPr>
                <w:color w:val="000000"/>
                <w:sz w:val="24"/>
                <w:szCs w:val="24"/>
              </w:rPr>
            </w:pPr>
            <w:proofErr w:type="spellStart"/>
            <w:r w:rsidRPr="00785DD4">
              <w:rPr>
                <w:color w:val="000000"/>
                <w:sz w:val="24"/>
                <w:szCs w:val="24"/>
              </w:rPr>
              <w:t>Külmpressitud</w:t>
            </w:r>
            <w:proofErr w:type="spellEnd"/>
            <w:r w:rsidRPr="00785DD4">
              <w:rPr>
                <w:color w:val="000000"/>
                <w:sz w:val="24"/>
                <w:szCs w:val="24"/>
              </w:rPr>
              <w:t xml:space="preserve"> toiduõli</w:t>
            </w:r>
          </w:p>
        </w:tc>
        <w:tc>
          <w:tcPr>
            <w:tcW w:w="1615" w:type="dxa"/>
            <w:tcBorders>
              <w:top w:val="nil"/>
              <w:left w:val="nil"/>
              <w:bottom w:val="single" w:sz="4" w:space="0" w:color="auto"/>
              <w:right w:val="single" w:sz="4" w:space="0" w:color="auto"/>
            </w:tcBorders>
            <w:shd w:val="clear" w:color="auto" w:fill="auto"/>
            <w:vAlign w:val="center"/>
            <w:hideMark/>
          </w:tcPr>
          <w:p w:rsidR="00D21DEE" w:rsidRPr="00785DD4" w:rsidRDefault="00D21DEE" w:rsidP="00617526">
            <w:pPr>
              <w:spacing w:line="276" w:lineRule="auto"/>
              <w:jc w:val="center"/>
              <w:rPr>
                <w:color w:val="000000"/>
                <w:sz w:val="24"/>
                <w:szCs w:val="24"/>
              </w:rPr>
            </w:pPr>
            <w:r w:rsidRPr="00785DD4">
              <w:rPr>
                <w:color w:val="000000"/>
                <w:sz w:val="24"/>
                <w:szCs w:val="24"/>
              </w:rPr>
              <w:t>tonni</w:t>
            </w:r>
          </w:p>
        </w:tc>
        <w:tc>
          <w:tcPr>
            <w:tcW w:w="1002" w:type="dxa"/>
            <w:tcBorders>
              <w:top w:val="nil"/>
              <w:left w:val="nil"/>
              <w:bottom w:val="single" w:sz="4" w:space="0" w:color="auto"/>
              <w:right w:val="single" w:sz="4" w:space="0" w:color="auto"/>
            </w:tcBorders>
            <w:shd w:val="clear" w:color="auto" w:fill="auto"/>
            <w:noWrap/>
            <w:vAlign w:val="center"/>
            <w:hideMark/>
          </w:tcPr>
          <w:p w:rsidR="00D21DEE" w:rsidRPr="00785DD4" w:rsidRDefault="00D21DEE" w:rsidP="00617526">
            <w:pPr>
              <w:spacing w:line="276" w:lineRule="auto"/>
              <w:jc w:val="center"/>
              <w:rPr>
                <w:color w:val="000000"/>
                <w:sz w:val="24"/>
                <w:szCs w:val="24"/>
              </w:rPr>
            </w:pPr>
            <w:r w:rsidRPr="00785DD4">
              <w:rPr>
                <w:color w:val="000000"/>
                <w:sz w:val="24"/>
                <w:szCs w:val="24"/>
              </w:rPr>
              <w:t>–</w:t>
            </w:r>
          </w:p>
        </w:tc>
        <w:tc>
          <w:tcPr>
            <w:tcW w:w="1002" w:type="dxa"/>
            <w:tcBorders>
              <w:top w:val="nil"/>
              <w:left w:val="nil"/>
              <w:bottom w:val="single" w:sz="4" w:space="0" w:color="auto"/>
              <w:right w:val="single" w:sz="4" w:space="0" w:color="auto"/>
            </w:tcBorders>
            <w:shd w:val="clear" w:color="auto" w:fill="auto"/>
            <w:noWrap/>
            <w:vAlign w:val="center"/>
            <w:hideMark/>
          </w:tcPr>
          <w:p w:rsidR="00D21DEE" w:rsidRPr="00785DD4" w:rsidRDefault="00D21DEE" w:rsidP="00617526">
            <w:pPr>
              <w:spacing w:line="276" w:lineRule="auto"/>
              <w:jc w:val="center"/>
              <w:rPr>
                <w:color w:val="000000"/>
                <w:sz w:val="24"/>
                <w:szCs w:val="24"/>
              </w:rPr>
            </w:pPr>
            <w:r w:rsidRPr="00785DD4">
              <w:rPr>
                <w:color w:val="000000"/>
                <w:sz w:val="24"/>
                <w:szCs w:val="24"/>
              </w:rPr>
              <w:t>–</w:t>
            </w:r>
          </w:p>
        </w:tc>
        <w:tc>
          <w:tcPr>
            <w:tcW w:w="1002" w:type="dxa"/>
            <w:tcBorders>
              <w:top w:val="nil"/>
              <w:left w:val="nil"/>
              <w:bottom w:val="single" w:sz="4" w:space="0" w:color="auto"/>
              <w:right w:val="single" w:sz="4" w:space="0" w:color="auto"/>
            </w:tcBorders>
            <w:shd w:val="clear" w:color="auto" w:fill="auto"/>
            <w:vAlign w:val="center"/>
            <w:hideMark/>
          </w:tcPr>
          <w:p w:rsidR="00D21DEE" w:rsidRPr="00785DD4" w:rsidRDefault="00D21DEE" w:rsidP="00617526">
            <w:pPr>
              <w:spacing w:line="276" w:lineRule="auto"/>
              <w:jc w:val="center"/>
              <w:rPr>
                <w:color w:val="000000"/>
                <w:sz w:val="24"/>
                <w:szCs w:val="24"/>
              </w:rPr>
            </w:pPr>
            <w:r w:rsidRPr="00785DD4">
              <w:rPr>
                <w:color w:val="000000"/>
                <w:sz w:val="24"/>
                <w:szCs w:val="24"/>
              </w:rPr>
              <w:t>2,3</w:t>
            </w:r>
          </w:p>
        </w:tc>
        <w:tc>
          <w:tcPr>
            <w:tcW w:w="1002" w:type="dxa"/>
            <w:tcBorders>
              <w:top w:val="nil"/>
              <w:left w:val="nil"/>
              <w:bottom w:val="single" w:sz="4" w:space="0" w:color="auto"/>
              <w:right w:val="single" w:sz="4" w:space="0" w:color="auto"/>
            </w:tcBorders>
            <w:shd w:val="clear" w:color="auto" w:fill="auto"/>
            <w:vAlign w:val="center"/>
            <w:hideMark/>
          </w:tcPr>
          <w:p w:rsidR="00D21DEE" w:rsidRPr="00785DD4" w:rsidRDefault="00D21DEE" w:rsidP="00617526">
            <w:pPr>
              <w:spacing w:line="276" w:lineRule="auto"/>
              <w:jc w:val="center"/>
              <w:rPr>
                <w:color w:val="000000"/>
                <w:sz w:val="24"/>
                <w:szCs w:val="24"/>
              </w:rPr>
            </w:pPr>
            <w:r w:rsidRPr="00785DD4">
              <w:rPr>
                <w:color w:val="000000"/>
                <w:sz w:val="24"/>
                <w:szCs w:val="24"/>
              </w:rPr>
              <w:t>6,9</w:t>
            </w:r>
          </w:p>
        </w:tc>
        <w:tc>
          <w:tcPr>
            <w:tcW w:w="1002" w:type="dxa"/>
            <w:tcBorders>
              <w:top w:val="nil"/>
              <w:left w:val="nil"/>
              <w:bottom w:val="single" w:sz="4" w:space="0" w:color="auto"/>
              <w:right w:val="single" w:sz="4" w:space="0" w:color="auto"/>
            </w:tcBorders>
            <w:shd w:val="clear" w:color="auto" w:fill="auto"/>
            <w:noWrap/>
            <w:vAlign w:val="bottom"/>
            <w:hideMark/>
          </w:tcPr>
          <w:p w:rsidR="00D21DEE" w:rsidRPr="00785DD4" w:rsidRDefault="00D21DEE" w:rsidP="00617526">
            <w:pPr>
              <w:spacing w:line="276" w:lineRule="auto"/>
              <w:jc w:val="center"/>
              <w:rPr>
                <w:color w:val="000000"/>
                <w:sz w:val="24"/>
                <w:szCs w:val="24"/>
              </w:rPr>
            </w:pPr>
            <w:r w:rsidRPr="00785DD4">
              <w:rPr>
                <w:color w:val="000000"/>
                <w:sz w:val="24"/>
                <w:szCs w:val="24"/>
              </w:rPr>
              <w:t>8</w:t>
            </w:r>
          </w:p>
        </w:tc>
      </w:tr>
    </w:tbl>
    <w:p w:rsidR="00D21DEE" w:rsidRPr="0024503A" w:rsidRDefault="00060F26" w:rsidP="00617526">
      <w:pPr>
        <w:adjustRightInd w:val="0"/>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Allikas: Mahepõllumajanduse register</w:t>
      </w:r>
    </w:p>
    <w:p w:rsidR="00D21DEE" w:rsidRPr="0024503A" w:rsidRDefault="00D21DEE" w:rsidP="00617526">
      <w:pPr>
        <w:spacing w:before="120" w:line="276" w:lineRule="auto"/>
        <w:jc w:val="both"/>
        <w:rPr>
          <w:rFonts w:ascii="Times New Roman" w:hAnsi="Times New Roman" w:cs="Times New Roman"/>
          <w:sz w:val="24"/>
          <w:szCs w:val="24"/>
        </w:rPr>
      </w:pPr>
      <w:r w:rsidRPr="0024503A">
        <w:rPr>
          <w:rFonts w:ascii="Times New Roman" w:hAnsi="Times New Roman" w:cs="Times New Roman"/>
          <w:sz w:val="24"/>
          <w:szCs w:val="24"/>
        </w:rPr>
        <w:t xml:space="preserve">Kuigi mahepõllumajanduslik taime- ja loomakasvatus on Eestis kiiresti laienenud, valmistavad jätkuvalt probleemi mitmete tootegruppide väikesed toodangumahud ja kesine töödeldud mahetoodete valik. See omakorda põhjustab imporditud mahetoodete järjest laialdasemat turustamist. </w:t>
      </w:r>
    </w:p>
    <w:p w:rsidR="009977E0" w:rsidRDefault="009977E0" w:rsidP="009977E0">
      <w:pPr>
        <w:pStyle w:val="Default"/>
        <w:jc w:val="both"/>
      </w:pPr>
    </w:p>
    <w:p w:rsidR="00D21DEE" w:rsidRPr="00B87147" w:rsidRDefault="00D21DEE" w:rsidP="009977E0">
      <w:pPr>
        <w:pStyle w:val="Default"/>
        <w:jc w:val="both"/>
        <w:rPr>
          <w:rFonts w:ascii="Times New Roman" w:hAnsi="Times New Roman" w:cs="Times New Roman"/>
        </w:rPr>
      </w:pPr>
      <w:r w:rsidRPr="00B87147">
        <w:rPr>
          <w:rFonts w:ascii="Times New Roman" w:hAnsi="Times New Roman" w:cs="Times New Roman"/>
        </w:rPr>
        <w:t>Mahetöötlemine annab hea võimaluse väikes</w:t>
      </w:r>
      <w:r w:rsidR="008043EB" w:rsidRPr="00B87147">
        <w:rPr>
          <w:rFonts w:ascii="Times New Roman" w:hAnsi="Times New Roman" w:cs="Times New Roman"/>
        </w:rPr>
        <w:t>tele ettevõtetele eristuda n</w:t>
      </w:r>
      <w:r w:rsidRPr="00B87147">
        <w:rPr>
          <w:rFonts w:ascii="Times New Roman" w:hAnsi="Times New Roman" w:cs="Times New Roman"/>
        </w:rPr>
        <w:t xml:space="preserve">ö peavoolu toiduainetööstusest ja </w:t>
      </w:r>
      <w:r w:rsidR="009977E0" w:rsidRPr="00B87147">
        <w:rPr>
          <w:rFonts w:ascii="Times New Roman" w:hAnsi="Times New Roman" w:cs="Times New Roman"/>
        </w:rPr>
        <w:t>suunata enam tähelepanu kodumaisele toodangule</w:t>
      </w:r>
      <w:r w:rsidRPr="00B87147">
        <w:rPr>
          <w:rFonts w:ascii="Times New Roman" w:hAnsi="Times New Roman" w:cs="Times New Roman"/>
        </w:rPr>
        <w:t>. Mahetooted jõuavad ostjateni peamiselt otsemüügi ja ökopoodide kaudu, järjest rohkem leiab mahetooteid ka tavapoodidest.</w:t>
      </w:r>
    </w:p>
    <w:p w:rsidR="00326789" w:rsidRPr="0024503A" w:rsidRDefault="00326789" w:rsidP="00617526">
      <w:pPr>
        <w:pStyle w:val="Heading3"/>
        <w:spacing w:line="276" w:lineRule="auto"/>
        <w:rPr>
          <w:rFonts w:ascii="Times New Roman" w:hAnsi="Times New Roman" w:cs="Times New Roman"/>
          <w:b w:val="0"/>
        </w:rPr>
      </w:pPr>
      <w:bookmarkStart w:id="562" w:name="_Toc378697822"/>
      <w:bookmarkStart w:id="563" w:name="_Toc378773269"/>
      <w:bookmarkStart w:id="564" w:name="_Toc379197450"/>
      <w:bookmarkStart w:id="565" w:name="_Toc379205488"/>
      <w:bookmarkStart w:id="566" w:name="_Toc379268184"/>
      <w:bookmarkStart w:id="567" w:name="_Toc379296758"/>
      <w:bookmarkStart w:id="568" w:name="_Toc379373467"/>
      <w:bookmarkStart w:id="569" w:name="_Toc379799851"/>
      <w:bookmarkStart w:id="570" w:name="_Toc381633593"/>
      <w:bookmarkStart w:id="571" w:name="_Toc381633738"/>
      <w:bookmarkStart w:id="572" w:name="_Toc384050906"/>
      <w:bookmarkStart w:id="573" w:name="_Toc384052610"/>
      <w:bookmarkStart w:id="574" w:name="_Toc384283953"/>
      <w:bookmarkStart w:id="575" w:name="_Toc384284064"/>
      <w:bookmarkStart w:id="576" w:name="_Toc384386258"/>
      <w:bookmarkStart w:id="577" w:name="_Toc384386470"/>
      <w:bookmarkStart w:id="578" w:name="_Toc384392336"/>
      <w:bookmarkStart w:id="579" w:name="_Toc385253767"/>
      <w:bookmarkStart w:id="580" w:name="_Toc385335139"/>
      <w:bookmarkStart w:id="581" w:name="_Toc389128808"/>
      <w:bookmarkStart w:id="582" w:name="_Toc389131355"/>
      <w:bookmarkStart w:id="583" w:name="_Toc389223890"/>
      <w:bookmarkStart w:id="584" w:name="_Toc389223952"/>
      <w:bookmarkStart w:id="585" w:name="_Toc391908884"/>
      <w:bookmarkStart w:id="586" w:name="_Toc391991818"/>
      <w:bookmarkStart w:id="587" w:name="_Toc397593038"/>
      <w:bookmarkStart w:id="588" w:name="_Toc398896333"/>
      <w:bookmarkStart w:id="589" w:name="_Toc398896473"/>
      <w:bookmarkStart w:id="590" w:name="_Toc400972845"/>
      <w:r w:rsidRPr="0024503A">
        <w:rPr>
          <w:rFonts w:ascii="Times New Roman" w:hAnsi="Times New Roman" w:cs="Times New Roman"/>
        </w:rPr>
        <w:t>Tarbimine</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p>
    <w:p w:rsidR="00B83D85" w:rsidRPr="0024503A" w:rsidRDefault="00B83D85" w:rsidP="00617526">
      <w:pPr>
        <w:spacing w:line="276" w:lineRule="auto"/>
        <w:jc w:val="both"/>
        <w:rPr>
          <w:rFonts w:ascii="Times New Roman" w:hAnsi="Times New Roman" w:cs="Times New Roman"/>
          <w:sz w:val="24"/>
          <w:szCs w:val="24"/>
        </w:rPr>
      </w:pPr>
    </w:p>
    <w:p w:rsidR="00326789" w:rsidRPr="0024503A" w:rsidRDefault="00326789" w:rsidP="00617526">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Teravili on juba aastatuhandeid inimkonna jaoks olnud põhitoiduaine. Toitumisharjumused on aegade jooksul muutunud, kuid teravili on oma osatähtsuse säilitanud. Eestis kasvatatakse teravilja</w:t>
      </w:r>
      <w:r w:rsidR="00211C44" w:rsidRPr="0024503A">
        <w:rPr>
          <w:rFonts w:ascii="Times New Roman" w:hAnsi="Times New Roman" w:cs="Times New Roman"/>
          <w:sz w:val="24"/>
          <w:szCs w:val="24"/>
        </w:rPr>
        <w:t xml:space="preserve"> rohkem kui tarbitakse ning 2012/</w:t>
      </w:r>
      <w:r w:rsidR="00A8597D">
        <w:rPr>
          <w:rFonts w:ascii="Times New Roman" w:hAnsi="Times New Roman" w:cs="Times New Roman"/>
          <w:sz w:val="24"/>
          <w:szCs w:val="24"/>
        </w:rPr>
        <w:t>20</w:t>
      </w:r>
      <w:r w:rsidR="00211C44" w:rsidRPr="0024503A">
        <w:rPr>
          <w:rFonts w:ascii="Times New Roman" w:hAnsi="Times New Roman" w:cs="Times New Roman"/>
          <w:sz w:val="24"/>
          <w:szCs w:val="24"/>
        </w:rPr>
        <w:t>13</w:t>
      </w:r>
      <w:r w:rsidR="00A8597D">
        <w:rPr>
          <w:rFonts w:ascii="Times New Roman" w:hAnsi="Times New Roman" w:cs="Times New Roman"/>
          <w:sz w:val="24"/>
          <w:szCs w:val="24"/>
        </w:rPr>
        <w:t>.</w:t>
      </w:r>
      <w:r w:rsidRPr="0024503A">
        <w:rPr>
          <w:rFonts w:ascii="Times New Roman" w:hAnsi="Times New Roman" w:cs="Times New Roman"/>
          <w:sz w:val="24"/>
          <w:szCs w:val="24"/>
        </w:rPr>
        <w:t xml:space="preserve"> </w:t>
      </w:r>
      <w:r w:rsidR="008F001C">
        <w:rPr>
          <w:rFonts w:ascii="Times New Roman" w:hAnsi="Times New Roman" w:cs="Times New Roman"/>
          <w:sz w:val="24"/>
          <w:szCs w:val="24"/>
        </w:rPr>
        <w:t>turustus</w:t>
      </w:r>
      <w:r w:rsidRPr="0024503A">
        <w:rPr>
          <w:rFonts w:ascii="Times New Roman" w:hAnsi="Times New Roman" w:cs="Times New Roman"/>
          <w:sz w:val="24"/>
          <w:szCs w:val="24"/>
        </w:rPr>
        <w:t>aastal oli iseva</w:t>
      </w:r>
      <w:r w:rsidR="00791A17" w:rsidRPr="0024503A">
        <w:rPr>
          <w:rFonts w:ascii="Times New Roman" w:hAnsi="Times New Roman" w:cs="Times New Roman"/>
          <w:sz w:val="24"/>
          <w:szCs w:val="24"/>
        </w:rPr>
        <w:t>rustatuse</w:t>
      </w:r>
      <w:r w:rsidR="00211C44" w:rsidRPr="0024503A">
        <w:rPr>
          <w:rFonts w:ascii="Times New Roman" w:hAnsi="Times New Roman" w:cs="Times New Roman"/>
          <w:sz w:val="24"/>
          <w:szCs w:val="24"/>
        </w:rPr>
        <w:t xml:space="preserve"> tase 165</w:t>
      </w:r>
      <w:r w:rsidR="00791A17" w:rsidRPr="0024503A">
        <w:rPr>
          <w:rFonts w:ascii="Times New Roman" w:hAnsi="Times New Roman" w:cs="Times New Roman"/>
          <w:sz w:val="24"/>
          <w:szCs w:val="24"/>
        </w:rPr>
        <w:t>% (</w:t>
      </w:r>
      <w:r w:rsidRPr="0024503A">
        <w:rPr>
          <w:rFonts w:ascii="Times New Roman" w:hAnsi="Times New Roman" w:cs="Times New Roman"/>
          <w:sz w:val="24"/>
          <w:szCs w:val="24"/>
        </w:rPr>
        <w:t xml:space="preserve">joonis </w:t>
      </w:r>
      <w:r w:rsidR="006E4858" w:rsidRPr="0024503A">
        <w:rPr>
          <w:rFonts w:ascii="Times New Roman" w:hAnsi="Times New Roman" w:cs="Times New Roman"/>
          <w:sz w:val="24"/>
          <w:szCs w:val="24"/>
        </w:rPr>
        <w:t>20</w:t>
      </w:r>
      <w:r w:rsidRPr="0024503A">
        <w:rPr>
          <w:rFonts w:ascii="Times New Roman" w:hAnsi="Times New Roman" w:cs="Times New Roman"/>
          <w:sz w:val="24"/>
          <w:szCs w:val="24"/>
        </w:rPr>
        <w:t xml:space="preserve">). </w:t>
      </w:r>
    </w:p>
    <w:p w:rsidR="00326789" w:rsidRPr="0024503A" w:rsidRDefault="00326789" w:rsidP="00617526">
      <w:pPr>
        <w:spacing w:line="276" w:lineRule="auto"/>
        <w:jc w:val="both"/>
        <w:rPr>
          <w:rFonts w:ascii="Times New Roman" w:hAnsi="Times New Roman" w:cs="Times New Roman"/>
          <w:sz w:val="24"/>
          <w:szCs w:val="24"/>
        </w:rPr>
      </w:pPr>
    </w:p>
    <w:p w:rsidR="00211C44" w:rsidRPr="0024503A" w:rsidRDefault="00326789" w:rsidP="00617526">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 xml:space="preserve">Maailmas kasutatakse igal aastal 1/3 toodetud teraviljast loomasöödana. Kuna Eestis ei ole õnnestunud </w:t>
      </w:r>
      <w:r w:rsidR="00400BF8" w:rsidRPr="0024503A">
        <w:rPr>
          <w:rFonts w:ascii="Times New Roman" w:hAnsi="Times New Roman" w:cs="Times New Roman"/>
          <w:sz w:val="24"/>
          <w:szCs w:val="24"/>
        </w:rPr>
        <w:t xml:space="preserve">veel </w:t>
      </w:r>
      <w:r w:rsidRPr="0024503A">
        <w:rPr>
          <w:rFonts w:ascii="Times New Roman" w:hAnsi="Times New Roman" w:cs="Times New Roman"/>
          <w:sz w:val="24"/>
          <w:szCs w:val="24"/>
        </w:rPr>
        <w:t>edukalt käivitada biokütuste tootmist, samuti on piirituse tootmine tagasihoidlik, moodustab Eestis loomasööt teravilja kogutarbimisest ~70%. Eestis on loomasööta tootvate ettevõtete ekspordi osakaal toodangus väike (~2%) ja nende toodangumahtu mõjutab sisetarbimise muutus. Sisetarbimist mõjutab liha- ja piimakarja kasvatajate ostujõud, mis liha ja piima kokkuostuhindade tõustes paraneb ja suureneb täiendsöötade vajadus. Inimtarbimine moodustab ~17</w:t>
      </w:r>
      <w:r w:rsidR="00352E80" w:rsidRPr="0024503A">
        <w:rPr>
          <w:rFonts w:ascii="Times New Roman" w:hAnsi="Times New Roman" w:cs="Times New Roman"/>
          <w:sz w:val="24"/>
          <w:szCs w:val="24"/>
        </w:rPr>
        <w:t>%</w:t>
      </w:r>
      <w:r w:rsidRPr="0024503A">
        <w:rPr>
          <w:rFonts w:ascii="Times New Roman" w:hAnsi="Times New Roman" w:cs="Times New Roman"/>
          <w:sz w:val="24"/>
          <w:szCs w:val="24"/>
        </w:rPr>
        <w:t xml:space="preserve"> teravilja kasutusest. </w:t>
      </w:r>
      <w:r w:rsidR="00352E80" w:rsidRPr="0024503A">
        <w:rPr>
          <w:rFonts w:ascii="Times New Roman" w:hAnsi="Times New Roman" w:cs="Times New Roman"/>
          <w:sz w:val="24"/>
          <w:szCs w:val="24"/>
        </w:rPr>
        <w:t>Eestis tegutseb praegu vaid üks piiritusetehas ja selletõttu moodustab teravilja tööstuslik tarbimine vaid tagasihoidliku osa teravilja kogutarbimisest. 201</w:t>
      </w:r>
      <w:r w:rsidR="00211C44" w:rsidRPr="0024503A">
        <w:rPr>
          <w:rFonts w:ascii="Times New Roman" w:hAnsi="Times New Roman" w:cs="Times New Roman"/>
          <w:sz w:val="24"/>
          <w:szCs w:val="24"/>
        </w:rPr>
        <w:t>2/</w:t>
      </w:r>
      <w:r w:rsidR="00A8597D">
        <w:rPr>
          <w:rFonts w:ascii="Times New Roman" w:hAnsi="Times New Roman" w:cs="Times New Roman"/>
          <w:sz w:val="24"/>
          <w:szCs w:val="24"/>
        </w:rPr>
        <w:t>20</w:t>
      </w:r>
      <w:r w:rsidR="00211C44" w:rsidRPr="0024503A">
        <w:rPr>
          <w:rFonts w:ascii="Times New Roman" w:hAnsi="Times New Roman" w:cs="Times New Roman"/>
          <w:sz w:val="24"/>
          <w:szCs w:val="24"/>
        </w:rPr>
        <w:t>13</w:t>
      </w:r>
      <w:r w:rsidR="00A8597D">
        <w:rPr>
          <w:rFonts w:ascii="Times New Roman" w:hAnsi="Times New Roman" w:cs="Times New Roman"/>
          <w:sz w:val="24"/>
          <w:szCs w:val="24"/>
        </w:rPr>
        <w:t>.</w:t>
      </w:r>
      <w:r w:rsidR="00352E80" w:rsidRPr="0024503A">
        <w:rPr>
          <w:rFonts w:ascii="Times New Roman" w:hAnsi="Times New Roman" w:cs="Times New Roman"/>
          <w:sz w:val="24"/>
          <w:szCs w:val="24"/>
        </w:rPr>
        <w:t xml:space="preserve"> </w:t>
      </w:r>
      <w:r w:rsidR="008F001C">
        <w:rPr>
          <w:rFonts w:ascii="Times New Roman" w:hAnsi="Times New Roman" w:cs="Times New Roman"/>
          <w:sz w:val="24"/>
          <w:szCs w:val="24"/>
        </w:rPr>
        <w:t>turustus</w:t>
      </w:r>
      <w:r w:rsidR="008F001C" w:rsidRPr="0024503A">
        <w:rPr>
          <w:rFonts w:ascii="Times New Roman" w:hAnsi="Times New Roman" w:cs="Times New Roman"/>
          <w:sz w:val="24"/>
          <w:szCs w:val="24"/>
        </w:rPr>
        <w:t xml:space="preserve">aastal </w:t>
      </w:r>
      <w:r w:rsidR="00352E80" w:rsidRPr="0024503A">
        <w:rPr>
          <w:rFonts w:ascii="Times New Roman" w:hAnsi="Times New Roman" w:cs="Times New Roman"/>
          <w:sz w:val="24"/>
          <w:szCs w:val="24"/>
        </w:rPr>
        <w:t>oli</w:t>
      </w:r>
      <w:r w:rsidR="00211C44" w:rsidRPr="0024503A">
        <w:rPr>
          <w:rFonts w:ascii="Times New Roman" w:hAnsi="Times New Roman" w:cs="Times New Roman"/>
          <w:sz w:val="24"/>
          <w:szCs w:val="24"/>
        </w:rPr>
        <w:t xml:space="preserve"> tööstusliku tarbimise osakaal 5</w:t>
      </w:r>
      <w:r w:rsidR="00352E80" w:rsidRPr="0024503A">
        <w:rPr>
          <w:rFonts w:ascii="Times New Roman" w:hAnsi="Times New Roman" w:cs="Times New Roman"/>
          <w:sz w:val="24"/>
          <w:szCs w:val="24"/>
        </w:rPr>
        <w:t>%.</w:t>
      </w:r>
    </w:p>
    <w:p w:rsidR="00326789" w:rsidRPr="00785DD4" w:rsidRDefault="003D51F0" w:rsidP="00617526">
      <w:pPr>
        <w:spacing w:line="276" w:lineRule="auto"/>
        <w:jc w:val="both"/>
        <w:rPr>
          <w:sz w:val="24"/>
          <w:szCs w:val="24"/>
        </w:rPr>
      </w:pPr>
      <w:r>
        <w:rPr>
          <w:noProof/>
        </w:rPr>
        <w:lastRenderedPageBreak/>
        <w:drawing>
          <wp:inline distT="0" distB="0" distL="0" distR="0" wp14:anchorId="66939D38" wp14:editId="48035A11">
            <wp:extent cx="6086475" cy="3152775"/>
            <wp:effectExtent l="0" t="0" r="9525" b="952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26789" w:rsidRPr="009A2330" w:rsidRDefault="00326789" w:rsidP="00617526">
      <w:pPr>
        <w:spacing w:line="276" w:lineRule="auto"/>
        <w:jc w:val="both"/>
        <w:rPr>
          <w:rFonts w:ascii="Arial" w:hAnsi="Arial" w:cs="Arial"/>
        </w:rPr>
      </w:pPr>
      <w:r w:rsidRPr="009A2330">
        <w:rPr>
          <w:rFonts w:ascii="Arial" w:hAnsi="Arial" w:cs="Arial"/>
        </w:rPr>
        <w:t>Allikas: SA</w:t>
      </w:r>
    </w:p>
    <w:p w:rsidR="00326789" w:rsidRPr="0024503A" w:rsidRDefault="00326789" w:rsidP="00617526">
      <w:pPr>
        <w:spacing w:line="276" w:lineRule="auto"/>
        <w:jc w:val="both"/>
        <w:rPr>
          <w:rFonts w:ascii="Times New Roman" w:hAnsi="Times New Roman" w:cs="Times New Roman"/>
          <w:b/>
          <w:sz w:val="24"/>
          <w:szCs w:val="24"/>
        </w:rPr>
      </w:pPr>
      <w:r w:rsidRPr="0024503A">
        <w:rPr>
          <w:rFonts w:ascii="Times New Roman" w:hAnsi="Times New Roman" w:cs="Times New Roman"/>
          <w:b/>
          <w:sz w:val="24"/>
          <w:szCs w:val="24"/>
        </w:rPr>
        <w:t xml:space="preserve">Joonis </w:t>
      </w:r>
      <w:r w:rsidR="006E4858" w:rsidRPr="0024503A">
        <w:rPr>
          <w:rFonts w:ascii="Times New Roman" w:hAnsi="Times New Roman" w:cs="Times New Roman"/>
          <w:b/>
          <w:sz w:val="24"/>
          <w:szCs w:val="24"/>
        </w:rPr>
        <w:t>20</w:t>
      </w:r>
      <w:r w:rsidRPr="0024503A">
        <w:rPr>
          <w:rFonts w:ascii="Times New Roman" w:hAnsi="Times New Roman" w:cs="Times New Roman"/>
          <w:b/>
          <w:sz w:val="24"/>
          <w:szCs w:val="24"/>
        </w:rPr>
        <w:t xml:space="preserve">. Teravilja tarbimine ja isevarustatuse tase </w:t>
      </w:r>
      <w:r w:rsidR="00FE7515" w:rsidRPr="0024503A">
        <w:rPr>
          <w:rFonts w:ascii="Times New Roman" w:hAnsi="Times New Roman" w:cs="Times New Roman"/>
          <w:b/>
          <w:sz w:val="24"/>
          <w:szCs w:val="24"/>
        </w:rPr>
        <w:t>2004/2005–2012/2013</w:t>
      </w:r>
    </w:p>
    <w:p w:rsidR="00326789" w:rsidRPr="0024503A" w:rsidRDefault="00326789" w:rsidP="00617526">
      <w:pPr>
        <w:spacing w:line="276" w:lineRule="auto"/>
        <w:jc w:val="both"/>
        <w:rPr>
          <w:rFonts w:ascii="Times New Roman" w:hAnsi="Times New Roman" w:cs="Times New Roman"/>
          <w:sz w:val="24"/>
          <w:szCs w:val="24"/>
        </w:rPr>
      </w:pPr>
    </w:p>
    <w:p w:rsidR="00326789" w:rsidRPr="00137A45" w:rsidRDefault="00326789" w:rsidP="00617526">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Teraviljatoodete tarbimine on Eestis langustendentsiga, kuna aasta-aastalt on vähenenud nii elanike arv kui ka teraviljatoodete tarbimine inimese kohta</w:t>
      </w:r>
      <w:r w:rsidR="00D6727D" w:rsidRPr="0024503A">
        <w:rPr>
          <w:rFonts w:ascii="Times New Roman" w:hAnsi="Times New Roman" w:cs="Times New Roman"/>
          <w:sz w:val="24"/>
          <w:szCs w:val="24"/>
        </w:rPr>
        <w:t>. 2011</w:t>
      </w:r>
      <w:r w:rsidR="009B1762" w:rsidRPr="0024503A">
        <w:rPr>
          <w:rFonts w:ascii="Times New Roman" w:hAnsi="Times New Roman" w:cs="Times New Roman"/>
          <w:sz w:val="24"/>
          <w:szCs w:val="24"/>
        </w:rPr>
        <w:t>/</w:t>
      </w:r>
      <w:r w:rsidR="00A8597D">
        <w:rPr>
          <w:rFonts w:ascii="Times New Roman" w:hAnsi="Times New Roman" w:cs="Times New Roman"/>
          <w:sz w:val="24"/>
          <w:szCs w:val="24"/>
        </w:rPr>
        <w:t>20</w:t>
      </w:r>
      <w:r w:rsidR="009B1762" w:rsidRPr="0024503A">
        <w:rPr>
          <w:rFonts w:ascii="Times New Roman" w:hAnsi="Times New Roman" w:cs="Times New Roman"/>
          <w:sz w:val="24"/>
          <w:szCs w:val="24"/>
        </w:rPr>
        <w:t>1</w:t>
      </w:r>
      <w:r w:rsidR="00D6727D" w:rsidRPr="0024503A">
        <w:rPr>
          <w:rFonts w:ascii="Times New Roman" w:hAnsi="Times New Roman" w:cs="Times New Roman"/>
          <w:sz w:val="24"/>
          <w:szCs w:val="24"/>
        </w:rPr>
        <w:t>2</w:t>
      </w:r>
      <w:r w:rsidR="00BF5EB7">
        <w:rPr>
          <w:rFonts w:ascii="Times New Roman" w:hAnsi="Times New Roman" w:cs="Times New Roman"/>
          <w:sz w:val="24"/>
          <w:szCs w:val="24"/>
        </w:rPr>
        <w:t>.</w:t>
      </w:r>
      <w:r w:rsidR="00D6727D" w:rsidRPr="0024503A">
        <w:rPr>
          <w:rFonts w:ascii="Times New Roman" w:hAnsi="Times New Roman" w:cs="Times New Roman"/>
          <w:sz w:val="24"/>
          <w:szCs w:val="24"/>
        </w:rPr>
        <w:t xml:space="preserve"> </w:t>
      </w:r>
      <w:r w:rsidR="008F001C">
        <w:rPr>
          <w:rFonts w:ascii="Times New Roman" w:hAnsi="Times New Roman" w:cs="Times New Roman"/>
          <w:sz w:val="24"/>
          <w:szCs w:val="24"/>
        </w:rPr>
        <w:t>turustus</w:t>
      </w:r>
      <w:r w:rsidR="00D6727D" w:rsidRPr="0024503A">
        <w:rPr>
          <w:rFonts w:ascii="Times New Roman" w:hAnsi="Times New Roman" w:cs="Times New Roman"/>
          <w:sz w:val="24"/>
          <w:szCs w:val="24"/>
        </w:rPr>
        <w:t>aastal tarbiti Eestis 80</w:t>
      </w:r>
      <w:r w:rsidRPr="0024503A">
        <w:rPr>
          <w:rFonts w:ascii="Times New Roman" w:hAnsi="Times New Roman" w:cs="Times New Roman"/>
          <w:sz w:val="24"/>
          <w:szCs w:val="24"/>
        </w:rPr>
        <w:t xml:space="preserve"> kg (terakaalus) terav</w:t>
      </w:r>
      <w:r w:rsidR="006E4858" w:rsidRPr="0024503A">
        <w:rPr>
          <w:rFonts w:ascii="Times New Roman" w:hAnsi="Times New Roman" w:cs="Times New Roman"/>
          <w:sz w:val="24"/>
          <w:szCs w:val="24"/>
        </w:rPr>
        <w:t>ilja inimese kohta (joonis 21</w:t>
      </w:r>
      <w:r w:rsidRPr="0024503A">
        <w:rPr>
          <w:rFonts w:ascii="Times New Roman" w:hAnsi="Times New Roman" w:cs="Times New Roman"/>
          <w:sz w:val="24"/>
          <w:szCs w:val="24"/>
        </w:rPr>
        <w:t xml:space="preserve">). Eestis tarbitakse teravilja ~40% vähem kui EL riikides keskmiselt ning tarbimine jääb madalamaks ka maailma keskmisega võrreldes (-17%). Suur tarbimise erinevus tuleneb toitumisharjumustest. Eestis tarbitakse palju kartulit – 3 korda rohkem kui maailmas keskmiselt. </w:t>
      </w:r>
    </w:p>
    <w:p w:rsidR="00975697" w:rsidRDefault="00C52BCE" w:rsidP="00617526">
      <w:pPr>
        <w:spacing w:line="276" w:lineRule="auto"/>
        <w:rPr>
          <w:rFonts w:ascii="Arial" w:hAnsi="Arial" w:cs="Arial"/>
        </w:rPr>
      </w:pPr>
      <w:r w:rsidRPr="0059173D">
        <w:rPr>
          <w:noProof/>
        </w:rPr>
        <w:drawing>
          <wp:inline distT="0" distB="0" distL="0" distR="0" wp14:anchorId="43A30728" wp14:editId="60566039">
            <wp:extent cx="6029325" cy="2819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37A45" w:rsidRPr="009A2330" w:rsidRDefault="00137A45" w:rsidP="00137A45">
      <w:pPr>
        <w:tabs>
          <w:tab w:val="center" w:pos="4536"/>
          <w:tab w:val="right" w:pos="9072"/>
        </w:tabs>
        <w:spacing w:line="276" w:lineRule="auto"/>
        <w:jc w:val="both"/>
        <w:rPr>
          <w:rFonts w:ascii="Arial" w:hAnsi="Arial" w:cs="Arial"/>
          <w:kern w:val="56"/>
        </w:rPr>
      </w:pPr>
      <w:r>
        <w:rPr>
          <w:rFonts w:ascii="Arial" w:hAnsi="Arial" w:cs="Arial"/>
          <w:kern w:val="56"/>
        </w:rPr>
        <w:t xml:space="preserve">Allikas: </w:t>
      </w:r>
      <w:proofErr w:type="spellStart"/>
      <w:r>
        <w:rPr>
          <w:rFonts w:ascii="Arial" w:hAnsi="Arial" w:cs="Arial"/>
          <w:kern w:val="56"/>
        </w:rPr>
        <w:t>Eurostat</w:t>
      </w:r>
      <w:proofErr w:type="spellEnd"/>
    </w:p>
    <w:p w:rsidR="00326789" w:rsidRPr="0024503A" w:rsidRDefault="006E4858" w:rsidP="00617526">
      <w:pPr>
        <w:spacing w:line="276" w:lineRule="auto"/>
        <w:rPr>
          <w:rFonts w:ascii="Times New Roman" w:hAnsi="Times New Roman" w:cs="Times New Roman"/>
          <w:b/>
          <w:sz w:val="24"/>
          <w:szCs w:val="24"/>
        </w:rPr>
      </w:pPr>
      <w:r w:rsidRPr="0024503A">
        <w:rPr>
          <w:rFonts w:ascii="Times New Roman" w:hAnsi="Times New Roman" w:cs="Times New Roman"/>
          <w:b/>
          <w:sz w:val="24"/>
          <w:szCs w:val="24"/>
        </w:rPr>
        <w:t>Joonis 21</w:t>
      </w:r>
      <w:r w:rsidR="00E6642A" w:rsidRPr="0024503A">
        <w:rPr>
          <w:rFonts w:ascii="Times New Roman" w:hAnsi="Times New Roman" w:cs="Times New Roman"/>
          <w:b/>
          <w:sz w:val="24"/>
          <w:szCs w:val="24"/>
        </w:rPr>
        <w:t>. Teravilja (</w:t>
      </w:r>
      <w:r w:rsidR="00326789" w:rsidRPr="0024503A">
        <w:rPr>
          <w:rFonts w:ascii="Times New Roman" w:hAnsi="Times New Roman" w:cs="Times New Roman"/>
          <w:b/>
          <w:sz w:val="24"/>
          <w:szCs w:val="24"/>
        </w:rPr>
        <w:t>v.a riis) inimtarb</w:t>
      </w:r>
      <w:r w:rsidR="00791A17" w:rsidRPr="0024503A">
        <w:rPr>
          <w:rFonts w:ascii="Times New Roman" w:hAnsi="Times New Roman" w:cs="Times New Roman"/>
          <w:b/>
          <w:sz w:val="24"/>
          <w:szCs w:val="24"/>
        </w:rPr>
        <w:t>imine</w:t>
      </w:r>
      <w:r w:rsidR="00E971C6" w:rsidRPr="0024503A">
        <w:rPr>
          <w:rFonts w:ascii="Times New Roman" w:hAnsi="Times New Roman" w:cs="Times New Roman"/>
          <w:b/>
          <w:sz w:val="24"/>
          <w:szCs w:val="24"/>
        </w:rPr>
        <w:t xml:space="preserve"> </w:t>
      </w:r>
      <w:r w:rsidR="00791A17" w:rsidRPr="0024503A">
        <w:rPr>
          <w:rFonts w:ascii="Times New Roman" w:hAnsi="Times New Roman" w:cs="Times New Roman"/>
          <w:b/>
          <w:sz w:val="24"/>
          <w:szCs w:val="24"/>
        </w:rPr>
        <w:t>terakaalus</w:t>
      </w:r>
      <w:r w:rsidR="00E971C6" w:rsidRPr="0024503A">
        <w:rPr>
          <w:rFonts w:ascii="Times New Roman" w:hAnsi="Times New Roman" w:cs="Times New Roman"/>
          <w:b/>
          <w:sz w:val="24"/>
          <w:szCs w:val="24"/>
        </w:rPr>
        <w:t xml:space="preserve"> 2003/2004–2011/2012</w:t>
      </w:r>
      <w:r w:rsidR="00A8597D">
        <w:rPr>
          <w:rFonts w:ascii="Times New Roman" w:hAnsi="Times New Roman" w:cs="Times New Roman"/>
          <w:b/>
          <w:sz w:val="24"/>
          <w:szCs w:val="24"/>
        </w:rPr>
        <w:t xml:space="preserve"> </w:t>
      </w:r>
    </w:p>
    <w:p w:rsidR="00326789" w:rsidRPr="0024503A" w:rsidRDefault="00326789" w:rsidP="00617526">
      <w:pPr>
        <w:spacing w:line="276" w:lineRule="auto"/>
        <w:rPr>
          <w:rFonts w:ascii="Times New Roman" w:hAnsi="Times New Roman" w:cs="Times New Roman"/>
          <w:b/>
          <w:sz w:val="24"/>
          <w:szCs w:val="24"/>
        </w:rPr>
      </w:pPr>
    </w:p>
    <w:p w:rsidR="00326789" w:rsidRPr="0024503A" w:rsidRDefault="00326789" w:rsidP="00617526">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Liigiti on teravilja inimtarbimises kõige suurem osatähtsus nisu</w:t>
      </w:r>
      <w:r w:rsidR="00FE7515" w:rsidRPr="0024503A">
        <w:rPr>
          <w:rFonts w:ascii="Times New Roman" w:hAnsi="Times New Roman" w:cs="Times New Roman"/>
          <w:sz w:val="24"/>
          <w:szCs w:val="24"/>
        </w:rPr>
        <w:t>l ja rukkil (vastavalt 66% ja 23</w:t>
      </w:r>
      <w:r w:rsidRPr="0024503A">
        <w:rPr>
          <w:rFonts w:ascii="Times New Roman" w:hAnsi="Times New Roman" w:cs="Times New Roman"/>
          <w:sz w:val="24"/>
          <w:szCs w:val="24"/>
        </w:rPr>
        <w:t>%). Rukkileiva tervislikkusest ja kasulikkusest on palju räägitud, kuid rukki tarbimi</w:t>
      </w:r>
      <w:r w:rsidR="00FE7515" w:rsidRPr="0024503A">
        <w:rPr>
          <w:rFonts w:ascii="Times New Roman" w:hAnsi="Times New Roman" w:cs="Times New Roman"/>
          <w:sz w:val="24"/>
          <w:szCs w:val="24"/>
        </w:rPr>
        <w:t>ne tänasel päeval jääb siiski ~5</w:t>
      </w:r>
      <w:r w:rsidRPr="0024503A">
        <w:rPr>
          <w:rFonts w:ascii="Times New Roman" w:hAnsi="Times New Roman" w:cs="Times New Roman"/>
          <w:sz w:val="24"/>
          <w:szCs w:val="24"/>
        </w:rPr>
        <w:t xml:space="preserve">0% väiksemaks 2000. aastaga võrreldes. Rukis on pika ajaloolise ja kultuurilise </w:t>
      </w:r>
      <w:r w:rsidRPr="0024503A">
        <w:rPr>
          <w:rFonts w:ascii="Times New Roman" w:hAnsi="Times New Roman" w:cs="Times New Roman"/>
          <w:sz w:val="24"/>
          <w:szCs w:val="24"/>
        </w:rPr>
        <w:lastRenderedPageBreak/>
        <w:t>traditsiooniga teravili, kuid Eestis viimastel aastakümnetel teiste teraviljakultuuride</w:t>
      </w:r>
      <w:r w:rsidR="00400234">
        <w:rPr>
          <w:rFonts w:ascii="Times New Roman" w:hAnsi="Times New Roman" w:cs="Times New Roman"/>
          <w:sz w:val="24"/>
          <w:szCs w:val="24"/>
        </w:rPr>
        <w:t xml:space="preserve"> (eriti nisu)</w:t>
      </w:r>
      <w:r w:rsidRPr="0024503A">
        <w:rPr>
          <w:rFonts w:ascii="Times New Roman" w:hAnsi="Times New Roman" w:cs="Times New Roman"/>
          <w:sz w:val="24"/>
          <w:szCs w:val="24"/>
        </w:rPr>
        <w:t xml:space="preserve"> kõrval tahaplaanile jäänud</w:t>
      </w:r>
      <w:r w:rsidR="00400234">
        <w:rPr>
          <w:rFonts w:ascii="Times New Roman" w:hAnsi="Times New Roman" w:cs="Times New Roman"/>
          <w:sz w:val="24"/>
          <w:szCs w:val="24"/>
        </w:rPr>
        <w:t>.</w:t>
      </w:r>
      <w:r w:rsidR="009977E0">
        <w:rPr>
          <w:rFonts w:ascii="Times New Roman" w:hAnsi="Times New Roman" w:cs="Times New Roman"/>
          <w:sz w:val="24"/>
          <w:szCs w:val="24"/>
        </w:rPr>
        <w:t xml:space="preserve"> Kuigi s</w:t>
      </w:r>
      <w:r w:rsidRPr="0024503A">
        <w:rPr>
          <w:rFonts w:ascii="Times New Roman" w:hAnsi="Times New Roman" w:cs="Times New Roman"/>
          <w:sz w:val="24"/>
          <w:szCs w:val="24"/>
        </w:rPr>
        <w:t xml:space="preserve">eemnevilja vajadus on otseses sõltuvuses teravilja kasvupinna suurusest </w:t>
      </w:r>
      <w:r w:rsidR="009977E0">
        <w:rPr>
          <w:rFonts w:ascii="Times New Roman" w:hAnsi="Times New Roman" w:cs="Times New Roman"/>
          <w:sz w:val="24"/>
          <w:szCs w:val="24"/>
        </w:rPr>
        <w:t>on</w:t>
      </w:r>
      <w:r w:rsidRPr="0024503A">
        <w:rPr>
          <w:rFonts w:ascii="Times New Roman" w:hAnsi="Times New Roman" w:cs="Times New Roman"/>
          <w:sz w:val="24"/>
          <w:szCs w:val="24"/>
        </w:rPr>
        <w:t xml:space="preserve"> selle osatähtsus kogutarbimises olnud suhteliselt stabiilne (~10%). </w:t>
      </w:r>
    </w:p>
    <w:p w:rsidR="00352E80" w:rsidRPr="00785DD4" w:rsidRDefault="00352E80" w:rsidP="00617526">
      <w:pPr>
        <w:spacing w:line="276" w:lineRule="auto"/>
        <w:jc w:val="both"/>
        <w:rPr>
          <w:sz w:val="24"/>
          <w:szCs w:val="24"/>
        </w:rPr>
      </w:pPr>
    </w:p>
    <w:p w:rsidR="00326789" w:rsidRPr="00785DD4" w:rsidRDefault="00326789" w:rsidP="00617526">
      <w:pPr>
        <w:spacing w:line="276" w:lineRule="auto"/>
        <w:jc w:val="both"/>
        <w:rPr>
          <w:sz w:val="24"/>
          <w:szCs w:val="24"/>
        </w:rPr>
      </w:pPr>
      <w:r w:rsidRPr="004C2338">
        <w:rPr>
          <w:noProof/>
          <w:sz w:val="24"/>
          <w:szCs w:val="24"/>
        </w:rPr>
        <w:drawing>
          <wp:inline distT="0" distB="0" distL="0" distR="0" wp14:anchorId="6CB64A9D" wp14:editId="2859560F">
            <wp:extent cx="6071191" cy="2466754"/>
            <wp:effectExtent l="0" t="0" r="25400" b="1016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F7CB8" w:rsidRPr="009A2330" w:rsidRDefault="007F7CB8" w:rsidP="00617526">
      <w:pPr>
        <w:tabs>
          <w:tab w:val="center" w:pos="4536"/>
          <w:tab w:val="right" w:pos="9072"/>
        </w:tabs>
        <w:spacing w:line="276" w:lineRule="auto"/>
        <w:jc w:val="both"/>
        <w:rPr>
          <w:rFonts w:ascii="Arial" w:hAnsi="Arial" w:cs="Arial"/>
          <w:kern w:val="56"/>
        </w:rPr>
      </w:pPr>
      <w:r w:rsidRPr="009A2330">
        <w:rPr>
          <w:rFonts w:ascii="Arial" w:hAnsi="Arial" w:cs="Arial"/>
          <w:kern w:val="56"/>
        </w:rPr>
        <w:t>Allikas: SA</w:t>
      </w:r>
    </w:p>
    <w:p w:rsidR="00326789" w:rsidRPr="0024503A" w:rsidRDefault="00326789" w:rsidP="00617526">
      <w:pPr>
        <w:spacing w:line="276" w:lineRule="auto"/>
        <w:jc w:val="both"/>
        <w:rPr>
          <w:rFonts w:ascii="Times New Roman" w:hAnsi="Times New Roman" w:cs="Times New Roman"/>
          <w:b/>
          <w:sz w:val="24"/>
          <w:szCs w:val="24"/>
        </w:rPr>
      </w:pPr>
      <w:r w:rsidRPr="0024503A">
        <w:rPr>
          <w:rFonts w:ascii="Times New Roman" w:hAnsi="Times New Roman" w:cs="Times New Roman"/>
          <w:b/>
          <w:sz w:val="24"/>
          <w:szCs w:val="24"/>
        </w:rPr>
        <w:t xml:space="preserve">Joonis </w:t>
      </w:r>
      <w:r w:rsidR="006E4858" w:rsidRPr="0024503A">
        <w:rPr>
          <w:rFonts w:ascii="Times New Roman" w:hAnsi="Times New Roman" w:cs="Times New Roman"/>
          <w:b/>
          <w:sz w:val="24"/>
          <w:szCs w:val="24"/>
        </w:rPr>
        <w:t>22</w:t>
      </w:r>
      <w:r w:rsidRPr="0024503A">
        <w:rPr>
          <w:rFonts w:ascii="Times New Roman" w:hAnsi="Times New Roman" w:cs="Times New Roman"/>
          <w:b/>
          <w:sz w:val="24"/>
          <w:szCs w:val="24"/>
        </w:rPr>
        <w:t>. Taimse rasva ja õli tarbimine ja isevarustatus aastatel 2003/2004–2011/2012</w:t>
      </w:r>
    </w:p>
    <w:p w:rsidR="00114D93" w:rsidRPr="0024503A" w:rsidRDefault="00114D93" w:rsidP="00617526">
      <w:pPr>
        <w:spacing w:line="276" w:lineRule="auto"/>
        <w:jc w:val="both"/>
        <w:rPr>
          <w:rFonts w:ascii="Times New Roman" w:hAnsi="Times New Roman" w:cs="Times New Roman"/>
          <w:sz w:val="24"/>
          <w:szCs w:val="24"/>
        </w:rPr>
      </w:pPr>
    </w:p>
    <w:p w:rsidR="00326789" w:rsidRPr="0024503A" w:rsidRDefault="00D27DE8" w:rsidP="00617526">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 xml:space="preserve">Õlikultuure kasvatatakse Eestis peamiselt õlitööstuse tooraineks. Eestis on õlitööstus väga kontsentreerunud ja suurim tööstus annab ~95% kogu õlitööstuse müügitulust. Rapsiseemneid kasutatakse taimse õli valmistamiseks. </w:t>
      </w:r>
      <w:r w:rsidR="00326789" w:rsidRPr="0024503A">
        <w:rPr>
          <w:rFonts w:ascii="Times New Roman" w:hAnsi="Times New Roman" w:cs="Times New Roman"/>
          <w:sz w:val="24"/>
          <w:szCs w:val="24"/>
        </w:rPr>
        <w:t>Taimse rasva ja õli isevarustatuse tase jääb 90% – 130% vahele</w:t>
      </w:r>
      <w:r w:rsidR="006E4858" w:rsidRPr="0024503A">
        <w:rPr>
          <w:rFonts w:ascii="Times New Roman" w:hAnsi="Times New Roman" w:cs="Times New Roman"/>
          <w:sz w:val="24"/>
          <w:szCs w:val="24"/>
        </w:rPr>
        <w:t xml:space="preserve"> (joonis 22</w:t>
      </w:r>
      <w:r w:rsidR="002E5635" w:rsidRPr="0024503A">
        <w:rPr>
          <w:rFonts w:ascii="Times New Roman" w:hAnsi="Times New Roman" w:cs="Times New Roman"/>
          <w:sz w:val="24"/>
          <w:szCs w:val="24"/>
        </w:rPr>
        <w:t>)</w:t>
      </w:r>
      <w:r w:rsidR="00326789" w:rsidRPr="0024503A">
        <w:rPr>
          <w:rFonts w:ascii="Times New Roman" w:hAnsi="Times New Roman" w:cs="Times New Roman"/>
          <w:sz w:val="24"/>
          <w:szCs w:val="24"/>
        </w:rPr>
        <w:t>. Erandiks oli vaid 2008/2009</w:t>
      </w:r>
      <w:r w:rsidR="00BF5EB7">
        <w:rPr>
          <w:rFonts w:ascii="Times New Roman" w:hAnsi="Times New Roman" w:cs="Times New Roman"/>
          <w:sz w:val="24"/>
          <w:szCs w:val="24"/>
        </w:rPr>
        <w:t>.</w:t>
      </w:r>
      <w:r w:rsidR="00326789" w:rsidRPr="0024503A">
        <w:rPr>
          <w:rFonts w:ascii="Times New Roman" w:hAnsi="Times New Roman" w:cs="Times New Roman"/>
          <w:sz w:val="24"/>
          <w:szCs w:val="24"/>
        </w:rPr>
        <w:t xml:space="preserve"> </w:t>
      </w:r>
      <w:r w:rsidR="008F001C">
        <w:rPr>
          <w:rFonts w:ascii="Times New Roman" w:hAnsi="Times New Roman" w:cs="Times New Roman"/>
          <w:sz w:val="24"/>
          <w:szCs w:val="24"/>
        </w:rPr>
        <w:t>turustus</w:t>
      </w:r>
      <w:r w:rsidR="00326789" w:rsidRPr="0024503A">
        <w:rPr>
          <w:rFonts w:ascii="Times New Roman" w:hAnsi="Times New Roman" w:cs="Times New Roman"/>
          <w:sz w:val="24"/>
          <w:szCs w:val="24"/>
        </w:rPr>
        <w:t>aasta, kui biodiisli tehas alustas tootmist ja suurendas hüppeliselt õli tööstusliku tarbimist. Selle tulemusel langes isevarustatuse tase 66%</w:t>
      </w:r>
      <w:r w:rsidR="00E90385">
        <w:rPr>
          <w:rFonts w:ascii="Times New Roman" w:hAnsi="Times New Roman" w:cs="Times New Roman"/>
          <w:sz w:val="24"/>
          <w:szCs w:val="24"/>
        </w:rPr>
        <w:t>-</w:t>
      </w:r>
      <w:r w:rsidR="00326789" w:rsidRPr="0024503A">
        <w:rPr>
          <w:rFonts w:ascii="Times New Roman" w:hAnsi="Times New Roman" w:cs="Times New Roman"/>
          <w:sz w:val="24"/>
          <w:szCs w:val="24"/>
        </w:rPr>
        <w:t>le. Pärast ettevõtte pankrotistumist</w:t>
      </w:r>
      <w:r w:rsidR="00E677AE">
        <w:rPr>
          <w:rFonts w:ascii="Times New Roman" w:hAnsi="Times New Roman" w:cs="Times New Roman"/>
          <w:sz w:val="24"/>
          <w:szCs w:val="24"/>
        </w:rPr>
        <w:t xml:space="preserve"> 2010. aastal</w:t>
      </w:r>
      <w:r w:rsidR="00326789" w:rsidRPr="0024503A">
        <w:rPr>
          <w:rFonts w:ascii="Times New Roman" w:hAnsi="Times New Roman" w:cs="Times New Roman"/>
          <w:sz w:val="24"/>
          <w:szCs w:val="24"/>
        </w:rPr>
        <w:t xml:space="preserve"> on tööstuslik tarbimine taas langenud.</w:t>
      </w:r>
    </w:p>
    <w:p w:rsidR="00326789" w:rsidRPr="0024503A" w:rsidRDefault="00326789" w:rsidP="00617526">
      <w:pPr>
        <w:spacing w:line="276" w:lineRule="auto"/>
        <w:jc w:val="both"/>
        <w:rPr>
          <w:rFonts w:ascii="Times New Roman" w:hAnsi="Times New Roman" w:cs="Times New Roman"/>
          <w:sz w:val="24"/>
          <w:szCs w:val="24"/>
        </w:rPr>
      </w:pPr>
    </w:p>
    <w:p w:rsidR="00326789" w:rsidRPr="0024503A" w:rsidRDefault="00326789" w:rsidP="00617526">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Kuumpressimise teel saadud õlikook on tänu oma kõrgele proteiinisi</w:t>
      </w:r>
      <w:r w:rsidR="005C0C25">
        <w:rPr>
          <w:rFonts w:ascii="Times New Roman" w:hAnsi="Times New Roman" w:cs="Times New Roman"/>
          <w:sz w:val="24"/>
          <w:szCs w:val="24"/>
        </w:rPr>
        <w:t xml:space="preserve">saldusele väärtuslik </w:t>
      </w:r>
      <w:r w:rsidR="00B15F8E">
        <w:rPr>
          <w:rFonts w:ascii="Times New Roman" w:hAnsi="Times New Roman" w:cs="Times New Roman"/>
          <w:sz w:val="24"/>
          <w:szCs w:val="24"/>
        </w:rPr>
        <w:t>jõu</w:t>
      </w:r>
      <w:r w:rsidR="005C0C25">
        <w:rPr>
          <w:rFonts w:ascii="Times New Roman" w:hAnsi="Times New Roman" w:cs="Times New Roman"/>
          <w:sz w:val="24"/>
          <w:szCs w:val="24"/>
        </w:rPr>
        <w:t>sööt</w:t>
      </w:r>
      <w:r w:rsidRPr="0024503A">
        <w:rPr>
          <w:rFonts w:ascii="Times New Roman" w:hAnsi="Times New Roman" w:cs="Times New Roman"/>
          <w:sz w:val="24"/>
          <w:szCs w:val="24"/>
        </w:rPr>
        <w:t xml:space="preserve"> loomadele. Viimastel aastatel on õlikoog</w:t>
      </w:r>
      <w:r w:rsidR="00382188" w:rsidRPr="0024503A">
        <w:rPr>
          <w:rFonts w:ascii="Times New Roman" w:hAnsi="Times New Roman" w:cs="Times New Roman"/>
          <w:sz w:val="24"/>
          <w:szCs w:val="24"/>
        </w:rPr>
        <w:t>i tarbimine oluliselt kasvanud, mille tulemusena on õ</w:t>
      </w:r>
      <w:r w:rsidRPr="0024503A">
        <w:rPr>
          <w:rFonts w:ascii="Times New Roman" w:hAnsi="Times New Roman" w:cs="Times New Roman"/>
          <w:sz w:val="24"/>
          <w:szCs w:val="24"/>
        </w:rPr>
        <w:t>lik</w:t>
      </w:r>
      <w:r w:rsidR="005328FB">
        <w:rPr>
          <w:rFonts w:ascii="Times New Roman" w:hAnsi="Times New Roman" w:cs="Times New Roman"/>
          <w:sz w:val="24"/>
          <w:szCs w:val="24"/>
        </w:rPr>
        <w:t>oogi isevarustatuse tase  40%–</w:t>
      </w:r>
      <w:r w:rsidRPr="0024503A">
        <w:rPr>
          <w:rFonts w:ascii="Times New Roman" w:hAnsi="Times New Roman" w:cs="Times New Roman"/>
          <w:sz w:val="24"/>
          <w:szCs w:val="24"/>
        </w:rPr>
        <w:t>60%</w:t>
      </w:r>
      <w:r w:rsidR="006E4858" w:rsidRPr="0024503A">
        <w:rPr>
          <w:rFonts w:ascii="Times New Roman" w:hAnsi="Times New Roman" w:cs="Times New Roman"/>
          <w:sz w:val="24"/>
          <w:szCs w:val="24"/>
        </w:rPr>
        <w:t xml:space="preserve"> (joonis 23</w:t>
      </w:r>
      <w:r w:rsidR="00382188" w:rsidRPr="0024503A">
        <w:rPr>
          <w:rFonts w:ascii="Times New Roman" w:hAnsi="Times New Roman" w:cs="Times New Roman"/>
          <w:sz w:val="24"/>
          <w:szCs w:val="24"/>
        </w:rPr>
        <w:t>)</w:t>
      </w:r>
      <w:r w:rsidR="00E96F58">
        <w:rPr>
          <w:rFonts w:ascii="Times New Roman" w:hAnsi="Times New Roman" w:cs="Times New Roman"/>
          <w:sz w:val="24"/>
          <w:szCs w:val="24"/>
        </w:rPr>
        <w:t>, mistõttu on impordi osakaal selle toote puhul märkimisväärselt suur</w:t>
      </w:r>
      <w:r w:rsidRPr="0024503A">
        <w:rPr>
          <w:rFonts w:ascii="Times New Roman" w:hAnsi="Times New Roman" w:cs="Times New Roman"/>
          <w:sz w:val="24"/>
          <w:szCs w:val="24"/>
        </w:rPr>
        <w:t xml:space="preserve">. Eesti olulisema õlitööstuse majandusraskused ja sellega kaasnevad tootmishäired peegeldavad viimaste aastate madalat isevarustatuse taset. </w:t>
      </w:r>
    </w:p>
    <w:p w:rsidR="00326789" w:rsidRPr="00785DD4" w:rsidRDefault="00326789" w:rsidP="00617526">
      <w:pPr>
        <w:spacing w:line="276" w:lineRule="auto"/>
        <w:jc w:val="both"/>
        <w:rPr>
          <w:sz w:val="24"/>
          <w:szCs w:val="24"/>
        </w:rPr>
      </w:pPr>
      <w:r w:rsidRPr="004C2338">
        <w:rPr>
          <w:noProof/>
          <w:sz w:val="24"/>
          <w:szCs w:val="24"/>
        </w:rPr>
        <w:drawing>
          <wp:inline distT="0" distB="0" distL="0" distR="0" wp14:anchorId="06473C05" wp14:editId="75D632A0">
            <wp:extent cx="6172200" cy="2362200"/>
            <wp:effectExtent l="0" t="0" r="1905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F7CB8" w:rsidRPr="009A2330" w:rsidRDefault="007F7CB8" w:rsidP="00617526">
      <w:pPr>
        <w:tabs>
          <w:tab w:val="center" w:pos="4536"/>
          <w:tab w:val="right" w:pos="9072"/>
        </w:tabs>
        <w:spacing w:line="276" w:lineRule="auto"/>
        <w:jc w:val="both"/>
        <w:rPr>
          <w:rFonts w:ascii="Arial" w:hAnsi="Arial" w:cs="Arial"/>
          <w:kern w:val="56"/>
        </w:rPr>
      </w:pPr>
      <w:r w:rsidRPr="009A2330">
        <w:rPr>
          <w:rFonts w:ascii="Arial" w:hAnsi="Arial" w:cs="Arial"/>
          <w:kern w:val="56"/>
        </w:rPr>
        <w:t>Allikas: SA</w:t>
      </w:r>
    </w:p>
    <w:p w:rsidR="00326789" w:rsidRPr="0024503A" w:rsidRDefault="006E4858" w:rsidP="00617526">
      <w:pPr>
        <w:spacing w:line="276" w:lineRule="auto"/>
        <w:jc w:val="both"/>
        <w:rPr>
          <w:rFonts w:ascii="Times New Roman" w:hAnsi="Times New Roman" w:cs="Times New Roman"/>
          <w:b/>
          <w:sz w:val="24"/>
          <w:szCs w:val="24"/>
        </w:rPr>
      </w:pPr>
      <w:r w:rsidRPr="0024503A">
        <w:rPr>
          <w:rFonts w:ascii="Times New Roman" w:hAnsi="Times New Roman" w:cs="Times New Roman"/>
          <w:b/>
          <w:sz w:val="24"/>
          <w:szCs w:val="24"/>
        </w:rPr>
        <w:t>Joonis 23</w:t>
      </w:r>
      <w:r w:rsidR="00326789" w:rsidRPr="0024503A">
        <w:rPr>
          <w:rFonts w:ascii="Times New Roman" w:hAnsi="Times New Roman" w:cs="Times New Roman"/>
          <w:b/>
          <w:sz w:val="24"/>
          <w:szCs w:val="24"/>
        </w:rPr>
        <w:t>. Õlikoogi tarbimine ja isevarustatus aastatel 2003/2004–2011/2012</w:t>
      </w:r>
    </w:p>
    <w:p w:rsidR="00326789" w:rsidRPr="0024503A" w:rsidRDefault="00326789" w:rsidP="00617526">
      <w:pPr>
        <w:pStyle w:val="Heading3"/>
        <w:spacing w:line="276" w:lineRule="auto"/>
        <w:rPr>
          <w:rFonts w:ascii="Times New Roman" w:hAnsi="Times New Roman" w:cs="Times New Roman"/>
          <w:b w:val="0"/>
        </w:rPr>
      </w:pPr>
      <w:bookmarkStart w:id="591" w:name="_Toc378697823"/>
      <w:bookmarkStart w:id="592" w:name="_Toc378773270"/>
      <w:bookmarkStart w:id="593" w:name="_Toc379197451"/>
      <w:bookmarkStart w:id="594" w:name="_Toc379205489"/>
      <w:bookmarkStart w:id="595" w:name="_Toc379268185"/>
      <w:bookmarkStart w:id="596" w:name="_Toc379296759"/>
      <w:bookmarkStart w:id="597" w:name="_Toc379373468"/>
      <w:bookmarkStart w:id="598" w:name="_Toc379799852"/>
      <w:bookmarkStart w:id="599" w:name="_Toc381633594"/>
      <w:bookmarkStart w:id="600" w:name="_Toc381633739"/>
      <w:bookmarkStart w:id="601" w:name="_Toc384050907"/>
      <w:bookmarkStart w:id="602" w:name="_Toc384052611"/>
      <w:bookmarkStart w:id="603" w:name="_Toc384283954"/>
      <w:bookmarkStart w:id="604" w:name="_Toc384284065"/>
      <w:bookmarkStart w:id="605" w:name="_Toc384386259"/>
      <w:bookmarkStart w:id="606" w:name="_Toc384386471"/>
      <w:bookmarkStart w:id="607" w:name="_Toc384392337"/>
      <w:bookmarkStart w:id="608" w:name="_Toc385253768"/>
      <w:bookmarkStart w:id="609" w:name="_Toc385335140"/>
      <w:bookmarkStart w:id="610" w:name="_Toc389128809"/>
      <w:bookmarkStart w:id="611" w:name="_Toc389131356"/>
      <w:bookmarkStart w:id="612" w:name="_Toc389223891"/>
      <w:bookmarkStart w:id="613" w:name="_Toc389223953"/>
      <w:bookmarkStart w:id="614" w:name="_Toc391908885"/>
      <w:bookmarkStart w:id="615" w:name="_Toc391991819"/>
      <w:bookmarkStart w:id="616" w:name="_Toc397593039"/>
      <w:bookmarkStart w:id="617" w:name="_Toc398896334"/>
      <w:bookmarkStart w:id="618" w:name="_Toc398896474"/>
      <w:bookmarkStart w:id="619" w:name="_Toc400972846"/>
      <w:r w:rsidRPr="0024503A">
        <w:rPr>
          <w:rFonts w:ascii="Times New Roman" w:hAnsi="Times New Roman" w:cs="Times New Roman"/>
        </w:rPr>
        <w:lastRenderedPageBreak/>
        <w:t>Teravil</w:t>
      </w:r>
      <w:r w:rsidR="0086482E" w:rsidRPr="0024503A">
        <w:rPr>
          <w:rFonts w:ascii="Times New Roman" w:hAnsi="Times New Roman" w:cs="Times New Roman"/>
        </w:rPr>
        <w:t>ja kasutamine</w:t>
      </w:r>
      <w:r w:rsidR="00F16233" w:rsidRPr="0024503A">
        <w:rPr>
          <w:rFonts w:ascii="Times New Roman" w:hAnsi="Times New Roman" w:cs="Times New Roman"/>
        </w:rPr>
        <w:t xml:space="preserve"> </w:t>
      </w:r>
      <w:r w:rsidRPr="0024503A">
        <w:rPr>
          <w:rFonts w:ascii="Times New Roman" w:hAnsi="Times New Roman" w:cs="Times New Roman"/>
        </w:rPr>
        <w:t>bioenergia</w:t>
      </w:r>
      <w:bookmarkEnd w:id="591"/>
      <w:r w:rsidR="00C84575" w:rsidRPr="0024503A">
        <w:rPr>
          <w:rFonts w:ascii="Times New Roman" w:hAnsi="Times New Roman" w:cs="Times New Roman"/>
        </w:rPr>
        <w:t xml:space="preserve"> saamiseks</w:t>
      </w:r>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p>
    <w:p w:rsidR="00B83D85" w:rsidRPr="0024503A" w:rsidRDefault="00B83D85" w:rsidP="00617526">
      <w:pPr>
        <w:spacing w:line="276" w:lineRule="auto"/>
        <w:jc w:val="both"/>
        <w:rPr>
          <w:rFonts w:ascii="Times New Roman" w:hAnsi="Times New Roman" w:cs="Times New Roman"/>
          <w:color w:val="000000"/>
          <w:sz w:val="24"/>
          <w:szCs w:val="24"/>
        </w:rPr>
      </w:pPr>
    </w:p>
    <w:p w:rsidR="00326789" w:rsidRPr="0024503A" w:rsidRDefault="00326789" w:rsidP="00617526">
      <w:pPr>
        <w:spacing w:line="276" w:lineRule="auto"/>
        <w:jc w:val="both"/>
        <w:rPr>
          <w:rFonts w:ascii="Times New Roman" w:hAnsi="Times New Roman" w:cs="Times New Roman"/>
          <w:sz w:val="24"/>
          <w:szCs w:val="24"/>
        </w:rPr>
      </w:pPr>
      <w:r w:rsidRPr="0024503A">
        <w:rPr>
          <w:rFonts w:ascii="Times New Roman" w:hAnsi="Times New Roman" w:cs="Times New Roman"/>
          <w:color w:val="000000"/>
          <w:sz w:val="24"/>
          <w:szCs w:val="24"/>
        </w:rPr>
        <w:t>Euroopa Liit kiitis 2009. aastal energia- ja kliimapaketiga heaks ambitsioonikad eesmärgid. Energeetikavaldkonnas tervikuna soovitakse taastuvenergia osakaalu kogu tarbimises tõsta 20%</w:t>
      </w:r>
      <w:r w:rsidR="001C428D">
        <w:rPr>
          <w:rFonts w:ascii="Times New Roman" w:hAnsi="Times New Roman" w:cs="Times New Roman"/>
          <w:color w:val="000000"/>
          <w:sz w:val="24"/>
          <w:szCs w:val="24"/>
        </w:rPr>
        <w:t>-</w:t>
      </w:r>
      <w:r w:rsidRPr="0024503A">
        <w:rPr>
          <w:rFonts w:ascii="Times New Roman" w:hAnsi="Times New Roman" w:cs="Times New Roman"/>
          <w:color w:val="000000"/>
          <w:sz w:val="24"/>
          <w:szCs w:val="24"/>
        </w:rPr>
        <w:t>ni ning transpordisektoris 10%</w:t>
      </w:r>
      <w:r w:rsidR="001C428D">
        <w:rPr>
          <w:rFonts w:ascii="Times New Roman" w:hAnsi="Times New Roman" w:cs="Times New Roman"/>
          <w:color w:val="000000"/>
          <w:sz w:val="24"/>
          <w:szCs w:val="24"/>
        </w:rPr>
        <w:t>-</w:t>
      </w:r>
      <w:r w:rsidRPr="0024503A">
        <w:rPr>
          <w:rFonts w:ascii="Times New Roman" w:hAnsi="Times New Roman" w:cs="Times New Roman"/>
          <w:color w:val="000000"/>
          <w:sz w:val="24"/>
          <w:szCs w:val="24"/>
        </w:rPr>
        <w:t>ni. Lisaks on eesmärgiks seatud vähendada kasvuhoonegaaside heitmeid 20% võrra. Eesti võttis endale kohustuse tõsta taastuvate energiaallikate osakaalu aastaks 2020 kogu energiatarbimises 25%</w:t>
      </w:r>
      <w:r w:rsidR="00BC1553">
        <w:rPr>
          <w:rFonts w:ascii="Times New Roman" w:hAnsi="Times New Roman" w:cs="Times New Roman"/>
          <w:color w:val="000000"/>
          <w:sz w:val="24"/>
          <w:szCs w:val="24"/>
        </w:rPr>
        <w:t>-</w:t>
      </w:r>
      <w:r w:rsidRPr="0024503A">
        <w:rPr>
          <w:rFonts w:ascii="Times New Roman" w:hAnsi="Times New Roman" w:cs="Times New Roman"/>
          <w:color w:val="000000"/>
          <w:sz w:val="24"/>
          <w:szCs w:val="24"/>
        </w:rPr>
        <w:t>ni ning transpordisektoris 10%</w:t>
      </w:r>
      <w:r w:rsidR="00BC1553">
        <w:rPr>
          <w:rFonts w:ascii="Times New Roman" w:hAnsi="Times New Roman" w:cs="Times New Roman"/>
          <w:color w:val="000000"/>
          <w:sz w:val="24"/>
          <w:szCs w:val="24"/>
        </w:rPr>
        <w:t>-</w:t>
      </w:r>
      <w:r w:rsidRPr="0024503A">
        <w:rPr>
          <w:rFonts w:ascii="Times New Roman" w:hAnsi="Times New Roman" w:cs="Times New Roman"/>
          <w:color w:val="000000"/>
          <w:sz w:val="24"/>
          <w:szCs w:val="24"/>
        </w:rPr>
        <w:t>ni. Kui soojuse ja elektri osas ei ole taastuvenergiaalaste eesmärkide täitmine probleemne, siis keerulisem on jõuda taastuvate kütuste kasutamises 10%</w:t>
      </w:r>
      <w:r w:rsidR="00BC1553">
        <w:rPr>
          <w:rFonts w:ascii="Times New Roman" w:hAnsi="Times New Roman" w:cs="Times New Roman"/>
          <w:color w:val="000000"/>
          <w:sz w:val="24"/>
          <w:szCs w:val="24"/>
        </w:rPr>
        <w:t>-</w:t>
      </w:r>
      <w:r w:rsidRPr="0024503A">
        <w:rPr>
          <w:rFonts w:ascii="Times New Roman" w:hAnsi="Times New Roman" w:cs="Times New Roman"/>
          <w:color w:val="000000"/>
          <w:sz w:val="24"/>
          <w:szCs w:val="24"/>
        </w:rPr>
        <w:t xml:space="preserve">ni transpordisektoris.  </w:t>
      </w:r>
    </w:p>
    <w:p w:rsidR="00326789" w:rsidRPr="0024503A" w:rsidRDefault="00326789" w:rsidP="00617526">
      <w:pPr>
        <w:spacing w:line="276" w:lineRule="auto"/>
        <w:jc w:val="both"/>
        <w:rPr>
          <w:rFonts w:ascii="Times New Roman" w:hAnsi="Times New Roman" w:cs="Times New Roman"/>
          <w:sz w:val="24"/>
          <w:szCs w:val="24"/>
        </w:rPr>
      </w:pPr>
    </w:p>
    <w:p w:rsidR="00326789" w:rsidRPr="0024503A" w:rsidRDefault="00326789" w:rsidP="00617526">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 xml:space="preserve">Teravili ja bioenergia (biomassist toodetud elekter, soojus, biokütused ja biogaas) on omavahel seotud eelkõige just transpordis kasutatavate biokütuste kaudu. Teraviljast toodetakse valdavalt bioetanooli ning rapsist biodiislit. Kuna mõlemad kütused konkureerivad tooraine osas toidutootmisega, siis nimetatakse neid esimese põlvkonna biokütusteks. Teraviljast bioetanooli tootmine ei ole siiski Euroopa Liidus eriti levinud ning valdav osa sellest toodetakse suhkrupeedist. </w:t>
      </w:r>
    </w:p>
    <w:p w:rsidR="00326789" w:rsidRPr="0024503A" w:rsidRDefault="00326789" w:rsidP="00617526">
      <w:pPr>
        <w:spacing w:line="276" w:lineRule="auto"/>
        <w:jc w:val="both"/>
        <w:rPr>
          <w:rFonts w:ascii="Times New Roman" w:hAnsi="Times New Roman" w:cs="Times New Roman"/>
          <w:sz w:val="24"/>
          <w:szCs w:val="24"/>
        </w:rPr>
      </w:pPr>
    </w:p>
    <w:p w:rsidR="00326789" w:rsidRPr="0024503A" w:rsidRDefault="00326789" w:rsidP="00617526">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Küll aga on Euroopa Liidus laialt levinud rapsist biodiisli tootmine (~80% ELi rapsitoodangust kasutatakse biodiisli tootmiseks)</w:t>
      </w:r>
      <w:r w:rsidRPr="0024503A">
        <w:rPr>
          <w:rStyle w:val="FootnoteReference"/>
          <w:rFonts w:ascii="Times New Roman" w:hAnsi="Times New Roman" w:cs="Times New Roman"/>
          <w:sz w:val="24"/>
          <w:szCs w:val="24"/>
        </w:rPr>
        <w:footnoteReference w:id="18"/>
      </w:r>
      <w:r w:rsidRPr="0024503A">
        <w:rPr>
          <w:rFonts w:ascii="Times New Roman" w:hAnsi="Times New Roman" w:cs="Times New Roman"/>
          <w:sz w:val="24"/>
          <w:szCs w:val="24"/>
        </w:rPr>
        <w:t>, mis moodustab ülekaaluka osa (üle 80%) tarbitavatest biokütustest. Biokütuste tootmine ja tarbimine hakkas olulisel määral kasvama 2008–2009 aastatel, kuid järgnevatel aastatel on olnud üsna stabiilne (tarbimine 2009–2012</w:t>
      </w:r>
      <w:r w:rsidR="00083CED">
        <w:rPr>
          <w:rFonts w:ascii="Times New Roman" w:hAnsi="Times New Roman" w:cs="Times New Roman"/>
          <w:sz w:val="24"/>
          <w:szCs w:val="24"/>
        </w:rPr>
        <w:t>.</w:t>
      </w:r>
      <w:r w:rsidRPr="0024503A">
        <w:rPr>
          <w:rFonts w:ascii="Times New Roman" w:hAnsi="Times New Roman" w:cs="Times New Roman"/>
          <w:sz w:val="24"/>
          <w:szCs w:val="24"/>
        </w:rPr>
        <w:t xml:space="preserve"> aastal vahemikus 11–13 miljonit tonni), seejuures 2012. aastal tarbimine võrreldes 2011. aastaga isegi veidi langes. Siiski prognoositakse järgnevatel aastatel biokütuste tootmise kasvu, millest valdava osa moodustab endiselt rapsist (üle 2/3) toodetud biodiisel.</w:t>
      </w:r>
    </w:p>
    <w:p w:rsidR="00326789" w:rsidRPr="0024503A" w:rsidRDefault="00326789" w:rsidP="00617526">
      <w:pPr>
        <w:spacing w:line="276" w:lineRule="auto"/>
        <w:jc w:val="both"/>
        <w:rPr>
          <w:rFonts w:ascii="Times New Roman" w:hAnsi="Times New Roman" w:cs="Times New Roman"/>
          <w:sz w:val="24"/>
          <w:szCs w:val="24"/>
        </w:rPr>
      </w:pPr>
    </w:p>
    <w:p w:rsidR="00326789" w:rsidRPr="0024503A" w:rsidRDefault="002C12AE" w:rsidP="0061752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Eestis lõpetasid 2007. aastal väikesed biokütusetehased oma tegevuse. Paldiskis avati 2008. aastal suure võimsusega esimese põlvkonna biodiislikütust tootev tehas, kuid juba järgneval aastal tabasid ettevõtet majandusraskused. </w:t>
      </w:r>
      <w:r w:rsidR="00326789" w:rsidRPr="0024503A">
        <w:rPr>
          <w:rFonts w:ascii="Times New Roman" w:hAnsi="Times New Roman" w:cs="Times New Roman"/>
          <w:sz w:val="24"/>
          <w:szCs w:val="24"/>
        </w:rPr>
        <w:t>Eestis biokütuste tootmist 2013. aasta seisuga ei eksisteeri. Küll aga kasutatakse suur osa (hinnanguliselt üle poole) Eesti kokkuostjate poolt eksporditud rapsiseemnest teistes riikides biokütuste tootmiseks. Samuti on biokütuste tarbimine Eestis marginaalne, kuna erinevalt paljudest teistest Euroopa Liidu riikidest ei ole meil kehtestatud biokütuste segamise kohustust müüdavale transpordikütusele. Eesti taastuvenergia tegevuskavaga aastani 2020 on plaanis kehtestada 2015. aastast 5–7% biokomponendi segamiskohustus müüdavale transpordikütusele (diisel ja bensiin), mis tõenäoliselt suurendab biokütuste tarbimist hüppeliselt ka Eestis. Arvestuslikult tähendaks see näitlikult 2012. aasta transpordikütuste tarbimise (396 tuhat tonni diislit ja 227 tuhat tonni bensiini) ja 6% biokütuste määra juures 70 tuhande tonni rapsi biodiisliks ümbertöötlemist ja segamist diiselkütusega ning 50 tuhande tonni nisu bioetanooliks ümbertöötlemist ja segamist bensiiniga. Vastavad kogused on võimalik katta Eestist eksporditava rapsi ja nisu kogustega.</w:t>
      </w:r>
    </w:p>
    <w:p w:rsidR="00326789" w:rsidRPr="0024503A" w:rsidRDefault="00326789" w:rsidP="00617526">
      <w:pPr>
        <w:spacing w:line="276" w:lineRule="auto"/>
        <w:jc w:val="both"/>
        <w:rPr>
          <w:rFonts w:ascii="Times New Roman" w:hAnsi="Times New Roman" w:cs="Times New Roman"/>
          <w:sz w:val="24"/>
          <w:szCs w:val="24"/>
        </w:rPr>
      </w:pPr>
    </w:p>
    <w:p w:rsidR="0015624E" w:rsidRPr="0024503A" w:rsidRDefault="00326789" w:rsidP="00617526">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lastRenderedPageBreak/>
        <w:t>Lisaks transpordisektori biokütustele on teraviljatootmise kõrvalsaadustel, näiteks põhul, mõningane tähtsus soojusenergia tootmisel. Näiteks kasutatakse põhku Lihula ja Tamsalu katlamajades. Hakkpuidu massilise kasutusega kaasnev küttepuu hinnatõus võib edaspidi motiveerida senisest enam väikseid katlamaju kasutama rohtset biomassi ning põllumajanduse jäätmeid ja kõrvalsaadusi, sealhulgas põhku ja väheväärtuslikku teravilja.</w:t>
      </w:r>
    </w:p>
    <w:p w:rsidR="005A21ED" w:rsidRPr="0024503A" w:rsidRDefault="005A21ED" w:rsidP="00617526">
      <w:pPr>
        <w:spacing w:line="276" w:lineRule="auto"/>
        <w:jc w:val="both"/>
        <w:rPr>
          <w:rFonts w:ascii="Times New Roman" w:hAnsi="Times New Roman" w:cs="Times New Roman"/>
          <w:sz w:val="24"/>
          <w:szCs w:val="24"/>
        </w:rPr>
      </w:pPr>
    </w:p>
    <w:p w:rsidR="0015624E" w:rsidRPr="0024503A" w:rsidRDefault="001038BD" w:rsidP="001038BD">
      <w:pPr>
        <w:pStyle w:val="Heading2"/>
        <w:spacing w:line="276" w:lineRule="auto"/>
        <w:rPr>
          <w:rFonts w:ascii="Times New Roman" w:hAnsi="Times New Roman" w:cs="Times New Roman"/>
          <w:b/>
          <w:sz w:val="28"/>
          <w:szCs w:val="28"/>
        </w:rPr>
      </w:pPr>
      <w:bookmarkStart w:id="620" w:name="_Toc378697824"/>
      <w:bookmarkStart w:id="621" w:name="_Toc378773271"/>
      <w:bookmarkStart w:id="622" w:name="_Toc379197452"/>
      <w:bookmarkStart w:id="623" w:name="_Toc379205490"/>
      <w:bookmarkStart w:id="624" w:name="_Toc379268186"/>
      <w:bookmarkStart w:id="625" w:name="_Toc379296760"/>
      <w:bookmarkStart w:id="626" w:name="_Toc379373469"/>
      <w:bookmarkStart w:id="627" w:name="_Toc379799853"/>
      <w:bookmarkStart w:id="628" w:name="_Toc381633595"/>
      <w:bookmarkStart w:id="629" w:name="_Toc381633740"/>
      <w:bookmarkStart w:id="630" w:name="_Toc384050908"/>
      <w:bookmarkStart w:id="631" w:name="_Toc384052612"/>
      <w:bookmarkStart w:id="632" w:name="_Toc384283955"/>
      <w:bookmarkStart w:id="633" w:name="_Toc384284066"/>
      <w:bookmarkStart w:id="634" w:name="_Toc384386260"/>
      <w:bookmarkStart w:id="635" w:name="_Toc384386472"/>
      <w:bookmarkStart w:id="636" w:name="_Toc384392338"/>
      <w:bookmarkStart w:id="637" w:name="_Toc385253769"/>
      <w:bookmarkStart w:id="638" w:name="_Toc385335141"/>
      <w:bookmarkStart w:id="639" w:name="_Toc389128810"/>
      <w:bookmarkStart w:id="640" w:name="_Toc389131357"/>
      <w:bookmarkStart w:id="641" w:name="_Toc389223892"/>
      <w:bookmarkStart w:id="642" w:name="_Toc389223954"/>
      <w:bookmarkStart w:id="643" w:name="_Toc391908886"/>
      <w:bookmarkStart w:id="644" w:name="_Toc391991820"/>
      <w:bookmarkStart w:id="645" w:name="_Toc397593040"/>
      <w:bookmarkStart w:id="646" w:name="_Toc398896335"/>
      <w:bookmarkStart w:id="647" w:name="_Toc398896475"/>
      <w:bookmarkStart w:id="648" w:name="_Toc400972847"/>
      <w:r>
        <w:rPr>
          <w:rFonts w:ascii="Times New Roman" w:hAnsi="Times New Roman" w:cs="Times New Roman"/>
          <w:b/>
          <w:sz w:val="28"/>
          <w:szCs w:val="28"/>
        </w:rPr>
        <w:t xml:space="preserve">7.4. </w:t>
      </w:r>
      <w:r w:rsidR="0015624E" w:rsidRPr="0024503A">
        <w:rPr>
          <w:rFonts w:ascii="Times New Roman" w:hAnsi="Times New Roman" w:cs="Times New Roman"/>
          <w:b/>
          <w:sz w:val="28"/>
          <w:szCs w:val="28"/>
        </w:rPr>
        <w:t>Turg ja kaubandus</w:t>
      </w:r>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rsidR="00EC719E" w:rsidRPr="0024503A" w:rsidRDefault="00EC719E" w:rsidP="00617526">
      <w:pPr>
        <w:spacing w:line="276" w:lineRule="auto"/>
        <w:rPr>
          <w:rFonts w:ascii="Times New Roman" w:hAnsi="Times New Roman" w:cs="Times New Roman"/>
          <w:sz w:val="24"/>
          <w:szCs w:val="24"/>
        </w:rPr>
      </w:pPr>
    </w:p>
    <w:p w:rsidR="00785DD4" w:rsidRPr="00F36A97" w:rsidRDefault="00785DD4" w:rsidP="00F36A97">
      <w:pPr>
        <w:pStyle w:val="IntenseQuote"/>
        <w:spacing w:line="276" w:lineRule="auto"/>
        <w:ind w:left="0" w:right="-2"/>
        <w:rPr>
          <w:rStyle w:val="IntenseReference"/>
          <w:rFonts w:ascii="Times New Roman" w:hAnsi="Times New Roman" w:cs="Times New Roman"/>
          <w:sz w:val="24"/>
          <w:szCs w:val="24"/>
        </w:rPr>
      </w:pPr>
      <w:r w:rsidRPr="00F36A97">
        <w:rPr>
          <w:rStyle w:val="IntenseReference"/>
          <w:rFonts w:ascii="Times New Roman" w:hAnsi="Times New Roman" w:cs="Times New Roman"/>
          <w:sz w:val="24"/>
          <w:szCs w:val="24"/>
        </w:rPr>
        <w:t xml:space="preserve">Kaubanduses on peamiseks probleemiks </w:t>
      </w:r>
      <w:r w:rsidR="004A78D1" w:rsidRPr="00F36A97">
        <w:rPr>
          <w:rStyle w:val="IntenseReference"/>
          <w:rFonts w:ascii="Times New Roman" w:hAnsi="Times New Roman" w:cs="Times New Roman"/>
          <w:sz w:val="24"/>
          <w:szCs w:val="24"/>
        </w:rPr>
        <w:t xml:space="preserve">töötlemata </w:t>
      </w:r>
      <w:r w:rsidRPr="00F36A97">
        <w:rPr>
          <w:rStyle w:val="IntenseReference"/>
          <w:rFonts w:ascii="Times New Roman" w:hAnsi="Times New Roman" w:cs="Times New Roman"/>
          <w:sz w:val="24"/>
          <w:szCs w:val="24"/>
        </w:rPr>
        <w:t xml:space="preserve">teravilja </w:t>
      </w:r>
      <w:r w:rsidR="004A78D1">
        <w:rPr>
          <w:rStyle w:val="IntenseReference"/>
          <w:rFonts w:ascii="Times New Roman" w:hAnsi="Times New Roman" w:cs="Times New Roman"/>
          <w:sz w:val="24"/>
          <w:szCs w:val="24"/>
        </w:rPr>
        <w:t>väljaveo ja töödeldud teraviljatoodete sisseveo suur osakaal.</w:t>
      </w:r>
      <w:r w:rsidRPr="00F36A97">
        <w:rPr>
          <w:rStyle w:val="IntenseReference"/>
          <w:rFonts w:ascii="Times New Roman" w:hAnsi="Times New Roman" w:cs="Times New Roman"/>
          <w:sz w:val="24"/>
          <w:szCs w:val="24"/>
        </w:rPr>
        <w:t xml:space="preserve"> Ohuks on ka turgudel spekuleerimine, mis suurendab sisendite ja põllumajandustoodete hindade muutlikust.  </w:t>
      </w:r>
    </w:p>
    <w:p w:rsidR="00F8016C" w:rsidRPr="0024503A" w:rsidRDefault="00F8016C" w:rsidP="00617526">
      <w:pPr>
        <w:spacing w:line="276" w:lineRule="auto"/>
        <w:jc w:val="both"/>
        <w:rPr>
          <w:rFonts w:ascii="Times New Roman" w:hAnsi="Times New Roman" w:cs="Times New Roman"/>
          <w:sz w:val="24"/>
          <w:szCs w:val="24"/>
        </w:rPr>
      </w:pPr>
    </w:p>
    <w:p w:rsidR="0015624E" w:rsidRPr="0024503A" w:rsidRDefault="0015624E" w:rsidP="00617526">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Eesti on teraviljaga isevarustav riik</w:t>
      </w:r>
      <w:r w:rsidR="00674DA4">
        <w:rPr>
          <w:rFonts w:ascii="Times New Roman" w:hAnsi="Times New Roman" w:cs="Times New Roman"/>
          <w:sz w:val="24"/>
          <w:szCs w:val="24"/>
        </w:rPr>
        <w:t>, kus teravilja eksport aasta-</w:t>
      </w:r>
      <w:r w:rsidRPr="0024503A">
        <w:rPr>
          <w:rFonts w:ascii="Times New Roman" w:hAnsi="Times New Roman" w:cs="Times New Roman"/>
          <w:sz w:val="24"/>
          <w:szCs w:val="24"/>
        </w:rPr>
        <w:t>aastalt kasvab. Rahalises väärtuses e</w:t>
      </w:r>
      <w:r w:rsidR="009537E2" w:rsidRPr="0024503A">
        <w:rPr>
          <w:rFonts w:ascii="Times New Roman" w:hAnsi="Times New Roman" w:cs="Times New Roman"/>
          <w:sz w:val="24"/>
          <w:szCs w:val="24"/>
        </w:rPr>
        <w:t>ksporditi 2013. aastal 225,1</w:t>
      </w:r>
      <w:r w:rsidR="00832450" w:rsidRPr="0024503A">
        <w:rPr>
          <w:rFonts w:ascii="Times New Roman" w:hAnsi="Times New Roman" w:cs="Times New Roman"/>
          <w:sz w:val="24"/>
          <w:szCs w:val="24"/>
        </w:rPr>
        <w:t xml:space="preserve"> miljoni</w:t>
      </w:r>
      <w:r w:rsidR="00BE5A5F" w:rsidRPr="0024503A">
        <w:rPr>
          <w:rFonts w:ascii="Times New Roman" w:hAnsi="Times New Roman" w:cs="Times New Roman"/>
          <w:sz w:val="24"/>
          <w:szCs w:val="24"/>
        </w:rPr>
        <w:t xml:space="preserve"> euro</w:t>
      </w:r>
      <w:r w:rsidRPr="0024503A">
        <w:rPr>
          <w:rFonts w:ascii="Times New Roman" w:hAnsi="Times New Roman" w:cs="Times New Roman"/>
          <w:sz w:val="24"/>
          <w:szCs w:val="24"/>
        </w:rPr>
        <w:t xml:space="preserve"> eest toodangut, mis moodustas </w:t>
      </w:r>
      <w:r w:rsidR="009537E2" w:rsidRPr="0024503A">
        <w:rPr>
          <w:rFonts w:ascii="Times New Roman" w:hAnsi="Times New Roman" w:cs="Times New Roman"/>
          <w:sz w:val="24"/>
          <w:szCs w:val="24"/>
        </w:rPr>
        <w:t>11</w:t>
      </w:r>
      <w:r w:rsidRPr="0024503A">
        <w:rPr>
          <w:rFonts w:ascii="Times New Roman" w:hAnsi="Times New Roman" w:cs="Times New Roman"/>
          <w:sz w:val="24"/>
          <w:szCs w:val="24"/>
        </w:rPr>
        <w:t>% põllumajandussaaduste</w:t>
      </w:r>
      <w:r w:rsidRPr="0024503A">
        <w:rPr>
          <w:rStyle w:val="FootnoteReference"/>
          <w:rFonts w:ascii="Times New Roman" w:hAnsi="Times New Roman" w:cs="Times New Roman"/>
          <w:sz w:val="24"/>
          <w:szCs w:val="24"/>
        </w:rPr>
        <w:footnoteReference w:id="19"/>
      </w:r>
      <w:r w:rsidRPr="0024503A">
        <w:rPr>
          <w:rFonts w:ascii="Times New Roman" w:hAnsi="Times New Roman" w:cs="Times New Roman"/>
          <w:sz w:val="24"/>
          <w:szCs w:val="24"/>
        </w:rPr>
        <w:t xml:space="preserve"> väljaveost. Koguseliselt eksportis teraviljasektor</w:t>
      </w:r>
      <w:r w:rsidR="007C3D89" w:rsidRPr="0024503A">
        <w:rPr>
          <w:rFonts w:ascii="Times New Roman" w:hAnsi="Times New Roman" w:cs="Times New Roman"/>
          <w:sz w:val="24"/>
          <w:szCs w:val="24"/>
        </w:rPr>
        <w:t xml:space="preserve"> 2013</w:t>
      </w:r>
      <w:r w:rsidRPr="0024503A">
        <w:rPr>
          <w:rFonts w:ascii="Times New Roman" w:hAnsi="Times New Roman" w:cs="Times New Roman"/>
          <w:sz w:val="24"/>
          <w:szCs w:val="24"/>
        </w:rPr>
        <w:t>. aastal</w:t>
      </w:r>
      <w:r w:rsidR="007C3D89" w:rsidRPr="0024503A">
        <w:rPr>
          <w:rFonts w:ascii="Times New Roman" w:hAnsi="Times New Roman" w:cs="Times New Roman"/>
          <w:sz w:val="24"/>
          <w:szCs w:val="24"/>
        </w:rPr>
        <w:t xml:space="preserve"> 643</w:t>
      </w:r>
      <w:r w:rsidRPr="0024503A">
        <w:rPr>
          <w:rFonts w:ascii="Times New Roman" w:hAnsi="Times New Roman" w:cs="Times New Roman"/>
          <w:sz w:val="24"/>
          <w:szCs w:val="24"/>
        </w:rPr>
        <w:t xml:space="preserve"> tuh</w:t>
      </w:r>
      <w:r w:rsidR="00832450" w:rsidRPr="0024503A">
        <w:rPr>
          <w:rFonts w:ascii="Times New Roman" w:hAnsi="Times New Roman" w:cs="Times New Roman"/>
          <w:sz w:val="24"/>
          <w:szCs w:val="24"/>
        </w:rPr>
        <w:t>at</w:t>
      </w:r>
      <w:r w:rsidRPr="0024503A">
        <w:rPr>
          <w:rFonts w:ascii="Times New Roman" w:hAnsi="Times New Roman" w:cs="Times New Roman"/>
          <w:sz w:val="24"/>
          <w:szCs w:val="24"/>
        </w:rPr>
        <w:t xml:space="preserve"> t</w:t>
      </w:r>
      <w:r w:rsidR="00832450" w:rsidRPr="0024503A">
        <w:rPr>
          <w:rFonts w:ascii="Times New Roman" w:hAnsi="Times New Roman" w:cs="Times New Roman"/>
          <w:sz w:val="24"/>
          <w:szCs w:val="24"/>
        </w:rPr>
        <w:t>onni</w:t>
      </w:r>
      <w:r w:rsidRPr="0024503A">
        <w:rPr>
          <w:rFonts w:ascii="Times New Roman" w:hAnsi="Times New Roman" w:cs="Times New Roman"/>
          <w:sz w:val="24"/>
          <w:szCs w:val="24"/>
        </w:rPr>
        <w:t xml:space="preserve"> toodangut (vt joonis 19).</w:t>
      </w:r>
    </w:p>
    <w:p w:rsidR="0015624E" w:rsidRPr="0024503A" w:rsidRDefault="0015624E" w:rsidP="00617526">
      <w:pPr>
        <w:spacing w:line="276" w:lineRule="auto"/>
        <w:jc w:val="both"/>
        <w:rPr>
          <w:rFonts w:ascii="Times New Roman" w:hAnsi="Times New Roman" w:cs="Times New Roman"/>
          <w:sz w:val="24"/>
          <w:szCs w:val="24"/>
        </w:rPr>
      </w:pPr>
    </w:p>
    <w:p w:rsidR="0015624E" w:rsidRPr="0024503A" w:rsidRDefault="007C3D89" w:rsidP="00617526">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Praegu moodustab ~</w:t>
      </w:r>
      <w:r w:rsidR="0015624E" w:rsidRPr="0024503A">
        <w:rPr>
          <w:rFonts w:ascii="Times New Roman" w:hAnsi="Times New Roman" w:cs="Times New Roman"/>
          <w:sz w:val="24"/>
          <w:szCs w:val="24"/>
        </w:rPr>
        <w:t>80% teravilja ekspordist tooraine</w:t>
      </w:r>
      <w:r w:rsidRPr="0024503A">
        <w:rPr>
          <w:rFonts w:ascii="Times New Roman" w:hAnsi="Times New Roman" w:cs="Times New Roman"/>
          <w:sz w:val="24"/>
          <w:szCs w:val="24"/>
        </w:rPr>
        <w:t xml:space="preserve"> ja ainult ~20</w:t>
      </w:r>
      <w:r w:rsidR="0015624E" w:rsidRPr="0024503A">
        <w:rPr>
          <w:rFonts w:ascii="Times New Roman" w:hAnsi="Times New Roman" w:cs="Times New Roman"/>
          <w:sz w:val="24"/>
          <w:szCs w:val="24"/>
        </w:rPr>
        <w:t>% töödeldud toodete</w:t>
      </w:r>
      <w:r w:rsidR="00382188" w:rsidRPr="0024503A">
        <w:rPr>
          <w:rFonts w:ascii="Times New Roman" w:hAnsi="Times New Roman" w:cs="Times New Roman"/>
          <w:sz w:val="24"/>
          <w:szCs w:val="24"/>
        </w:rPr>
        <w:t xml:space="preserve"> väljavedu (</w:t>
      </w:r>
      <w:r w:rsidR="0015624E" w:rsidRPr="0024503A">
        <w:rPr>
          <w:rFonts w:ascii="Times New Roman" w:hAnsi="Times New Roman" w:cs="Times New Roman"/>
          <w:sz w:val="24"/>
          <w:szCs w:val="24"/>
        </w:rPr>
        <w:t xml:space="preserve">joonis </w:t>
      </w:r>
      <w:r w:rsidR="006E4858" w:rsidRPr="0024503A">
        <w:rPr>
          <w:rFonts w:ascii="Times New Roman" w:hAnsi="Times New Roman" w:cs="Times New Roman"/>
          <w:sz w:val="24"/>
          <w:szCs w:val="24"/>
        </w:rPr>
        <w:t>24</w:t>
      </w:r>
      <w:r w:rsidR="0015624E" w:rsidRPr="0024503A">
        <w:rPr>
          <w:rFonts w:ascii="Times New Roman" w:hAnsi="Times New Roman" w:cs="Times New Roman"/>
          <w:sz w:val="24"/>
          <w:szCs w:val="24"/>
        </w:rPr>
        <w:t xml:space="preserve">). Ekspordi olulisust on raske ülehinnata, kuid esmatähtis on põllumajandustoorainele võimalikult suure lisandväärtuse andmine. </w:t>
      </w:r>
    </w:p>
    <w:p w:rsidR="00803E36" w:rsidRPr="0024503A" w:rsidRDefault="00803E36" w:rsidP="00617526">
      <w:pPr>
        <w:spacing w:line="276" w:lineRule="auto"/>
        <w:jc w:val="both"/>
        <w:rPr>
          <w:rFonts w:ascii="Times New Roman" w:hAnsi="Times New Roman" w:cs="Times New Roman"/>
          <w:sz w:val="24"/>
          <w:szCs w:val="24"/>
        </w:rPr>
      </w:pPr>
    </w:p>
    <w:p w:rsidR="00803E36" w:rsidRPr="00785DD4" w:rsidRDefault="009A2330" w:rsidP="00617526">
      <w:pPr>
        <w:spacing w:line="276" w:lineRule="auto"/>
        <w:jc w:val="both"/>
        <w:rPr>
          <w:rFonts w:cs="Times-Roman"/>
          <w:sz w:val="24"/>
          <w:szCs w:val="24"/>
        </w:rPr>
      </w:pPr>
      <w:r w:rsidRPr="004C2338">
        <w:rPr>
          <w:noProof/>
          <w:sz w:val="24"/>
          <w:szCs w:val="24"/>
        </w:rPr>
        <w:drawing>
          <wp:inline distT="0" distB="0" distL="0" distR="0" wp14:anchorId="356127C6" wp14:editId="6B3FB650">
            <wp:extent cx="6113721" cy="3062177"/>
            <wp:effectExtent l="0" t="0" r="20955" b="2413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5624E" w:rsidRPr="009A2330" w:rsidRDefault="0015624E" w:rsidP="00617526">
      <w:pPr>
        <w:tabs>
          <w:tab w:val="center" w:pos="4536"/>
          <w:tab w:val="right" w:pos="9072"/>
        </w:tabs>
        <w:spacing w:line="276" w:lineRule="auto"/>
        <w:jc w:val="both"/>
        <w:rPr>
          <w:rFonts w:ascii="Arial" w:hAnsi="Arial" w:cs="Arial"/>
          <w:kern w:val="56"/>
        </w:rPr>
      </w:pPr>
      <w:r w:rsidRPr="009A2330">
        <w:rPr>
          <w:rFonts w:ascii="Arial" w:hAnsi="Arial" w:cs="Arial"/>
          <w:kern w:val="56"/>
        </w:rPr>
        <w:t>Allikas: SA</w:t>
      </w:r>
    </w:p>
    <w:p w:rsidR="0015624E" w:rsidRPr="0024503A" w:rsidRDefault="006E4858" w:rsidP="00617526">
      <w:pPr>
        <w:tabs>
          <w:tab w:val="center" w:pos="4536"/>
          <w:tab w:val="right" w:pos="9072"/>
        </w:tabs>
        <w:spacing w:line="276" w:lineRule="auto"/>
        <w:jc w:val="both"/>
        <w:rPr>
          <w:rFonts w:ascii="Times New Roman" w:hAnsi="Times New Roman" w:cs="Times New Roman"/>
          <w:b/>
          <w:kern w:val="56"/>
          <w:sz w:val="24"/>
          <w:szCs w:val="24"/>
        </w:rPr>
      </w:pPr>
      <w:r w:rsidRPr="0024503A">
        <w:rPr>
          <w:rFonts w:ascii="Times New Roman" w:hAnsi="Times New Roman" w:cs="Times New Roman"/>
          <w:b/>
          <w:kern w:val="56"/>
          <w:sz w:val="24"/>
          <w:szCs w:val="24"/>
        </w:rPr>
        <w:t>Joonis 24</w:t>
      </w:r>
      <w:r w:rsidR="0015624E" w:rsidRPr="0024503A">
        <w:rPr>
          <w:rFonts w:ascii="Times New Roman" w:hAnsi="Times New Roman" w:cs="Times New Roman"/>
          <w:b/>
          <w:kern w:val="56"/>
          <w:sz w:val="24"/>
          <w:szCs w:val="24"/>
        </w:rPr>
        <w:t>. Teraviljasektori vä</w:t>
      </w:r>
      <w:r w:rsidR="00544DCC">
        <w:rPr>
          <w:rFonts w:ascii="Times New Roman" w:hAnsi="Times New Roman" w:cs="Times New Roman"/>
          <w:b/>
          <w:kern w:val="56"/>
          <w:sz w:val="24"/>
          <w:szCs w:val="24"/>
        </w:rPr>
        <w:t>liskaubandus aastatel 2004–</w:t>
      </w:r>
      <w:r w:rsidR="007C3D89" w:rsidRPr="0024503A">
        <w:rPr>
          <w:rFonts w:ascii="Times New Roman" w:hAnsi="Times New Roman" w:cs="Times New Roman"/>
          <w:b/>
          <w:kern w:val="56"/>
          <w:sz w:val="24"/>
          <w:szCs w:val="24"/>
        </w:rPr>
        <w:t>2013</w:t>
      </w:r>
    </w:p>
    <w:p w:rsidR="0015624E" w:rsidRPr="0024503A" w:rsidRDefault="0015624E" w:rsidP="00617526">
      <w:pPr>
        <w:spacing w:line="276" w:lineRule="auto"/>
        <w:jc w:val="both"/>
        <w:rPr>
          <w:rFonts w:ascii="Times New Roman" w:hAnsi="Times New Roman" w:cs="Times New Roman"/>
          <w:sz w:val="24"/>
          <w:szCs w:val="24"/>
        </w:rPr>
      </w:pPr>
    </w:p>
    <w:p w:rsidR="0015624E" w:rsidRPr="0024503A" w:rsidRDefault="001F534F" w:rsidP="00617526">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Tuleks leida võimalusi Eestis kasvatatud teravilja suuremas mahus kohapeal </w:t>
      </w:r>
      <w:proofErr w:type="spellStart"/>
      <w:r>
        <w:rPr>
          <w:rFonts w:ascii="Times New Roman" w:hAnsi="Times New Roman" w:cs="Times New Roman"/>
          <w:sz w:val="24"/>
          <w:szCs w:val="24"/>
        </w:rPr>
        <w:t>väärindamiseks</w:t>
      </w:r>
      <w:proofErr w:type="spellEnd"/>
      <w:r w:rsidR="005B213C">
        <w:rPr>
          <w:rFonts w:ascii="Times New Roman" w:hAnsi="Times New Roman" w:cs="Times New Roman"/>
          <w:sz w:val="24"/>
          <w:szCs w:val="24"/>
        </w:rPr>
        <w:t>,</w:t>
      </w:r>
      <w:r>
        <w:rPr>
          <w:rFonts w:ascii="Times New Roman" w:hAnsi="Times New Roman" w:cs="Times New Roman"/>
          <w:sz w:val="24"/>
          <w:szCs w:val="24"/>
        </w:rPr>
        <w:t xml:space="preserve"> kas siis teraviljatoodeteks või loomakasvatussaadusteks ning seeläbi juba valmistoodangut eksportida. </w:t>
      </w:r>
      <w:r w:rsidR="00A430E2">
        <w:rPr>
          <w:rFonts w:ascii="Times New Roman" w:hAnsi="Times New Roman" w:cs="Times New Roman"/>
          <w:sz w:val="24"/>
          <w:szCs w:val="24"/>
        </w:rPr>
        <w:t xml:space="preserve"> </w:t>
      </w:r>
      <w:r w:rsidR="0015624E" w:rsidRPr="0024503A">
        <w:rPr>
          <w:rFonts w:ascii="Times New Roman" w:hAnsi="Times New Roman" w:cs="Times New Roman"/>
          <w:sz w:val="24"/>
          <w:szCs w:val="24"/>
        </w:rPr>
        <w:t>Töödeldud toodetest eksporditakse kõige</w:t>
      </w:r>
      <w:r w:rsidR="007C3D89" w:rsidRPr="0024503A">
        <w:rPr>
          <w:rFonts w:ascii="Times New Roman" w:hAnsi="Times New Roman" w:cs="Times New Roman"/>
          <w:sz w:val="24"/>
          <w:szCs w:val="24"/>
        </w:rPr>
        <w:t xml:space="preserve"> rohkem jahu ja tangaineid (2013</w:t>
      </w:r>
      <w:r w:rsidR="0015624E" w:rsidRPr="0024503A">
        <w:rPr>
          <w:rFonts w:ascii="Times New Roman" w:hAnsi="Times New Roman" w:cs="Times New Roman"/>
          <w:sz w:val="24"/>
          <w:szCs w:val="24"/>
        </w:rPr>
        <w:t>.</w:t>
      </w:r>
      <w:r w:rsidR="005A21ED" w:rsidRPr="0024503A">
        <w:rPr>
          <w:rFonts w:ascii="Times New Roman" w:hAnsi="Times New Roman" w:cs="Times New Roman"/>
          <w:sz w:val="24"/>
          <w:szCs w:val="24"/>
        </w:rPr>
        <w:t xml:space="preserve"> </w:t>
      </w:r>
      <w:r w:rsidR="0015624E" w:rsidRPr="0024503A">
        <w:rPr>
          <w:rFonts w:ascii="Times New Roman" w:hAnsi="Times New Roman" w:cs="Times New Roman"/>
          <w:sz w:val="24"/>
          <w:szCs w:val="24"/>
        </w:rPr>
        <w:t>a</w:t>
      </w:r>
      <w:r w:rsidR="005A21ED" w:rsidRPr="0024503A">
        <w:rPr>
          <w:rFonts w:ascii="Times New Roman" w:hAnsi="Times New Roman" w:cs="Times New Roman"/>
          <w:sz w:val="24"/>
          <w:szCs w:val="24"/>
        </w:rPr>
        <w:t>astal</w:t>
      </w:r>
      <w:r w:rsidR="004C46F2">
        <w:rPr>
          <w:rFonts w:ascii="Times New Roman" w:hAnsi="Times New Roman" w:cs="Times New Roman"/>
          <w:sz w:val="24"/>
          <w:szCs w:val="24"/>
        </w:rPr>
        <w:t xml:space="preserve"> –</w:t>
      </w:r>
      <w:r w:rsidR="007C3D89" w:rsidRPr="0024503A">
        <w:rPr>
          <w:rFonts w:ascii="Times New Roman" w:hAnsi="Times New Roman" w:cs="Times New Roman"/>
          <w:sz w:val="24"/>
          <w:szCs w:val="24"/>
        </w:rPr>
        <w:t xml:space="preserve"> 44</w:t>
      </w:r>
      <w:r w:rsidR="0015624E" w:rsidRPr="0024503A">
        <w:rPr>
          <w:rFonts w:ascii="Times New Roman" w:hAnsi="Times New Roman" w:cs="Times New Roman"/>
          <w:sz w:val="24"/>
          <w:szCs w:val="24"/>
        </w:rPr>
        <w:t xml:space="preserve"> tuh</w:t>
      </w:r>
      <w:r w:rsidR="00832450" w:rsidRPr="0024503A">
        <w:rPr>
          <w:rFonts w:ascii="Times New Roman" w:hAnsi="Times New Roman" w:cs="Times New Roman"/>
          <w:sz w:val="24"/>
          <w:szCs w:val="24"/>
        </w:rPr>
        <w:t>at</w:t>
      </w:r>
      <w:r w:rsidR="0015624E" w:rsidRPr="0024503A">
        <w:rPr>
          <w:rFonts w:ascii="Times New Roman" w:hAnsi="Times New Roman" w:cs="Times New Roman"/>
          <w:sz w:val="24"/>
          <w:szCs w:val="24"/>
        </w:rPr>
        <w:t xml:space="preserve"> t</w:t>
      </w:r>
      <w:r w:rsidR="00832450" w:rsidRPr="0024503A">
        <w:rPr>
          <w:rFonts w:ascii="Times New Roman" w:hAnsi="Times New Roman" w:cs="Times New Roman"/>
          <w:sz w:val="24"/>
          <w:szCs w:val="24"/>
        </w:rPr>
        <w:t>onni</w:t>
      </w:r>
      <w:r w:rsidR="0015624E" w:rsidRPr="0024503A">
        <w:rPr>
          <w:rFonts w:ascii="Times New Roman" w:hAnsi="Times New Roman" w:cs="Times New Roman"/>
          <w:sz w:val="24"/>
          <w:szCs w:val="24"/>
        </w:rPr>
        <w:t>). Jahu ja tangainete suuremat eksporti võimaldab teistest teraviljatoodetest (nt pagaritoodetest) pikem säilivusaeg. Kõige vähem ekspor</w:t>
      </w:r>
      <w:r w:rsidR="007C3D89" w:rsidRPr="0024503A">
        <w:rPr>
          <w:rFonts w:ascii="Times New Roman" w:hAnsi="Times New Roman" w:cs="Times New Roman"/>
          <w:sz w:val="24"/>
          <w:szCs w:val="24"/>
        </w:rPr>
        <w:t>ditakse loomasööta. Näiteks 2013</w:t>
      </w:r>
      <w:r w:rsidR="0015624E" w:rsidRPr="0024503A">
        <w:rPr>
          <w:rFonts w:ascii="Times New Roman" w:hAnsi="Times New Roman" w:cs="Times New Roman"/>
          <w:sz w:val="24"/>
          <w:szCs w:val="24"/>
        </w:rPr>
        <w:t>. aastal moodu</w:t>
      </w:r>
      <w:r w:rsidR="00C23254" w:rsidRPr="0024503A">
        <w:rPr>
          <w:rFonts w:ascii="Times New Roman" w:hAnsi="Times New Roman" w:cs="Times New Roman"/>
          <w:sz w:val="24"/>
          <w:szCs w:val="24"/>
        </w:rPr>
        <w:t>stas loomasööda eksport vaid 5</w:t>
      </w:r>
      <w:r w:rsidR="004C46F2">
        <w:rPr>
          <w:rFonts w:ascii="Times New Roman" w:hAnsi="Times New Roman" w:cs="Times New Roman"/>
          <w:sz w:val="24"/>
          <w:szCs w:val="24"/>
        </w:rPr>
        <w:t>% teravilja ja -</w:t>
      </w:r>
      <w:r w:rsidR="0015624E" w:rsidRPr="0024503A">
        <w:rPr>
          <w:rFonts w:ascii="Times New Roman" w:hAnsi="Times New Roman" w:cs="Times New Roman"/>
          <w:sz w:val="24"/>
          <w:szCs w:val="24"/>
        </w:rPr>
        <w:t>saaduste ekspordist</w:t>
      </w:r>
      <w:r w:rsidR="0015624E" w:rsidRPr="0024503A">
        <w:rPr>
          <w:rFonts w:ascii="Times New Roman" w:hAnsi="Times New Roman" w:cs="Times New Roman"/>
          <w:noProof/>
          <w:sz w:val="24"/>
          <w:szCs w:val="24"/>
        </w:rPr>
        <w:t xml:space="preserve">. </w:t>
      </w:r>
    </w:p>
    <w:p w:rsidR="0015624E" w:rsidRPr="0024503A" w:rsidRDefault="0015624E" w:rsidP="00617526">
      <w:pPr>
        <w:spacing w:line="276" w:lineRule="auto"/>
        <w:jc w:val="both"/>
        <w:rPr>
          <w:rFonts w:ascii="Times New Roman" w:hAnsi="Times New Roman" w:cs="Times New Roman"/>
          <w:noProof/>
          <w:sz w:val="24"/>
          <w:szCs w:val="24"/>
        </w:rPr>
      </w:pPr>
    </w:p>
    <w:p w:rsidR="0015624E" w:rsidRPr="0024503A" w:rsidRDefault="0015624E" w:rsidP="00617526">
      <w:pPr>
        <w:spacing w:line="276" w:lineRule="auto"/>
        <w:jc w:val="both"/>
        <w:rPr>
          <w:rFonts w:ascii="Times New Roman" w:hAnsi="Times New Roman" w:cs="Times New Roman"/>
          <w:bCs/>
          <w:noProof/>
          <w:sz w:val="24"/>
          <w:szCs w:val="24"/>
        </w:rPr>
      </w:pPr>
      <w:r w:rsidRPr="0024503A">
        <w:rPr>
          <w:rFonts w:ascii="Times New Roman" w:hAnsi="Times New Roman" w:cs="Times New Roman"/>
          <w:bCs/>
          <w:noProof/>
          <w:sz w:val="24"/>
          <w:szCs w:val="24"/>
        </w:rPr>
        <w:t>Vastupidiselt teravilja ekspordile on impordis suurem osakaal töödeldud teraviljatoodetel. Teravilja ja –saaduste s</w:t>
      </w:r>
      <w:r w:rsidR="00C23254" w:rsidRPr="0024503A">
        <w:rPr>
          <w:rFonts w:ascii="Times New Roman" w:hAnsi="Times New Roman" w:cs="Times New Roman"/>
          <w:bCs/>
          <w:noProof/>
          <w:sz w:val="24"/>
          <w:szCs w:val="24"/>
        </w:rPr>
        <w:t>isseveost moodustas 2013</w:t>
      </w:r>
      <w:r w:rsidRPr="0024503A">
        <w:rPr>
          <w:rFonts w:ascii="Times New Roman" w:hAnsi="Times New Roman" w:cs="Times New Roman"/>
          <w:bCs/>
          <w:noProof/>
          <w:sz w:val="24"/>
          <w:szCs w:val="24"/>
        </w:rPr>
        <w:t>. aa</w:t>
      </w:r>
      <w:r w:rsidR="00C23254" w:rsidRPr="0024503A">
        <w:rPr>
          <w:rFonts w:ascii="Times New Roman" w:hAnsi="Times New Roman" w:cs="Times New Roman"/>
          <w:bCs/>
          <w:noProof/>
          <w:sz w:val="24"/>
          <w:szCs w:val="24"/>
        </w:rPr>
        <w:t>stal töödeldud toodete import 58%. Aastatel 2009–2012 suurenes</w:t>
      </w:r>
      <w:r w:rsidRPr="0024503A">
        <w:rPr>
          <w:rFonts w:ascii="Times New Roman" w:hAnsi="Times New Roman" w:cs="Times New Roman"/>
          <w:bCs/>
          <w:noProof/>
          <w:sz w:val="24"/>
          <w:szCs w:val="24"/>
        </w:rPr>
        <w:t xml:space="preserve"> oluliselt õlikoogi sissevedu. 2012. aastal moodustas õlikoogi import 45% kogu töödeldud teraviljatoodete sisseveost. </w:t>
      </w:r>
    </w:p>
    <w:p w:rsidR="00DC10A8" w:rsidRPr="0024503A" w:rsidRDefault="00DC10A8" w:rsidP="00617526">
      <w:pPr>
        <w:spacing w:line="276" w:lineRule="auto"/>
        <w:rPr>
          <w:rFonts w:ascii="Times New Roman" w:hAnsi="Times New Roman" w:cs="Times New Roman"/>
          <w:b/>
          <w:sz w:val="24"/>
          <w:szCs w:val="24"/>
          <w:u w:val="single"/>
        </w:rPr>
      </w:pPr>
      <w:bookmarkStart w:id="649" w:name="_Toc378697825"/>
      <w:bookmarkStart w:id="650" w:name="_Toc378773272"/>
      <w:bookmarkStart w:id="651" w:name="_Toc379197453"/>
    </w:p>
    <w:p w:rsidR="0015624E" w:rsidRPr="0024503A" w:rsidRDefault="00785DD4" w:rsidP="00617526">
      <w:pPr>
        <w:spacing w:line="276" w:lineRule="auto"/>
        <w:rPr>
          <w:rStyle w:val="BookTitle"/>
          <w:rFonts w:ascii="Times New Roman" w:hAnsi="Times New Roman" w:cs="Times New Roman"/>
          <w:b w:val="0"/>
          <w:i w:val="0"/>
          <w:sz w:val="24"/>
          <w:szCs w:val="24"/>
        </w:rPr>
      </w:pPr>
      <w:r w:rsidRPr="0024503A">
        <w:rPr>
          <w:rStyle w:val="BookTitle"/>
          <w:rFonts w:ascii="Times New Roman" w:hAnsi="Times New Roman" w:cs="Times New Roman"/>
          <w:i w:val="0"/>
          <w:sz w:val="24"/>
          <w:szCs w:val="24"/>
        </w:rPr>
        <w:t>T</w:t>
      </w:r>
      <w:bookmarkEnd w:id="649"/>
      <w:bookmarkEnd w:id="650"/>
      <w:bookmarkEnd w:id="651"/>
      <w:r w:rsidR="0024503A">
        <w:rPr>
          <w:rStyle w:val="BookTitle"/>
          <w:rFonts w:ascii="Times New Roman" w:hAnsi="Times New Roman" w:cs="Times New Roman"/>
          <w:i w:val="0"/>
          <w:sz w:val="24"/>
          <w:szCs w:val="24"/>
        </w:rPr>
        <w:t>eravilja ja rapsi hinnad</w:t>
      </w:r>
    </w:p>
    <w:p w:rsidR="00DC10A8" w:rsidRPr="0024503A" w:rsidRDefault="00AE786B" w:rsidP="00617526">
      <w:pPr>
        <w:pStyle w:val="BodyText"/>
        <w:spacing w:line="276" w:lineRule="auto"/>
        <w:rPr>
          <w:rFonts w:ascii="Times New Roman" w:hAnsi="Times New Roman" w:cs="Times New Roman"/>
          <w:color w:val="000000"/>
          <w:sz w:val="24"/>
          <w:szCs w:val="24"/>
        </w:rPr>
      </w:pPr>
      <w:r w:rsidRPr="0024503A">
        <w:rPr>
          <w:rFonts w:ascii="Times New Roman" w:hAnsi="Times New Roman" w:cs="Times New Roman"/>
          <w:color w:val="000000"/>
          <w:sz w:val="24"/>
          <w:szCs w:val="24"/>
        </w:rPr>
        <w:t>Viimasel kümnel aastal</w:t>
      </w:r>
      <w:r w:rsidR="0015624E" w:rsidRPr="0024503A">
        <w:rPr>
          <w:rFonts w:ascii="Times New Roman" w:hAnsi="Times New Roman" w:cs="Times New Roman"/>
          <w:color w:val="000000"/>
          <w:sz w:val="24"/>
          <w:szCs w:val="24"/>
        </w:rPr>
        <w:t xml:space="preserve"> on teravilja hindade suur volatiilsus ja </w:t>
      </w:r>
      <w:r w:rsidR="009716AD">
        <w:rPr>
          <w:rFonts w:ascii="Times New Roman" w:hAnsi="Times New Roman" w:cs="Times New Roman"/>
          <w:color w:val="000000"/>
          <w:sz w:val="24"/>
          <w:szCs w:val="24"/>
        </w:rPr>
        <w:t>põllumajandustootega börsil kauplemine</w:t>
      </w:r>
      <w:r w:rsidR="0015624E" w:rsidRPr="0024503A">
        <w:rPr>
          <w:rFonts w:ascii="Times New Roman" w:hAnsi="Times New Roman" w:cs="Times New Roman"/>
          <w:color w:val="000000"/>
          <w:sz w:val="24"/>
          <w:szCs w:val="24"/>
        </w:rPr>
        <w:t xml:space="preserve"> saanud määravaks osaks teravilja hindade kujunemisel. </w:t>
      </w:r>
      <w:r w:rsidRPr="0024503A">
        <w:rPr>
          <w:rFonts w:ascii="Times New Roman" w:hAnsi="Times New Roman" w:cs="Times New Roman"/>
          <w:color w:val="000000"/>
          <w:sz w:val="24"/>
          <w:szCs w:val="24"/>
        </w:rPr>
        <w:t>Tulenevalt maailmas viimastel aastatel aset leidnud teraviljaturu muutustest on ka Eestis teravilja hinnad olnud väga muutlikud.</w:t>
      </w:r>
      <w:r w:rsidR="0015624E" w:rsidRPr="0024503A">
        <w:rPr>
          <w:rFonts w:ascii="Times New Roman" w:hAnsi="Times New Roman" w:cs="Times New Roman"/>
          <w:color w:val="000000"/>
          <w:sz w:val="24"/>
          <w:szCs w:val="24"/>
        </w:rPr>
        <w:t xml:space="preserve"> Näiteks 2008. aasta</w:t>
      </w:r>
      <w:r w:rsidRPr="0024503A">
        <w:rPr>
          <w:rFonts w:ascii="Times New Roman" w:hAnsi="Times New Roman" w:cs="Times New Roman"/>
          <w:color w:val="000000"/>
          <w:sz w:val="24"/>
          <w:szCs w:val="24"/>
        </w:rPr>
        <w:t xml:space="preserve"> alguseks tõusis </w:t>
      </w:r>
      <w:r w:rsidR="0015624E" w:rsidRPr="0024503A">
        <w:rPr>
          <w:rFonts w:ascii="Times New Roman" w:hAnsi="Times New Roman" w:cs="Times New Roman"/>
          <w:color w:val="000000"/>
          <w:sz w:val="24"/>
          <w:szCs w:val="24"/>
        </w:rPr>
        <w:t>nisu (toidu- ja söödakvaliteedi keskmine) kokkuostuh</w:t>
      </w:r>
      <w:r w:rsidR="00832450" w:rsidRPr="0024503A">
        <w:rPr>
          <w:rFonts w:ascii="Times New Roman" w:hAnsi="Times New Roman" w:cs="Times New Roman"/>
          <w:color w:val="000000"/>
          <w:sz w:val="24"/>
          <w:szCs w:val="24"/>
        </w:rPr>
        <w:t xml:space="preserve">ind Eestis 220 eurot </w:t>
      </w:r>
      <w:r w:rsidR="0015624E" w:rsidRPr="0024503A">
        <w:rPr>
          <w:rFonts w:ascii="Times New Roman" w:hAnsi="Times New Roman" w:cs="Times New Roman"/>
          <w:color w:val="000000"/>
          <w:sz w:val="24"/>
          <w:szCs w:val="24"/>
        </w:rPr>
        <w:t>t</w:t>
      </w:r>
      <w:r w:rsidR="00832450" w:rsidRPr="0024503A">
        <w:rPr>
          <w:rFonts w:ascii="Times New Roman" w:hAnsi="Times New Roman" w:cs="Times New Roman"/>
          <w:color w:val="000000"/>
          <w:sz w:val="24"/>
          <w:szCs w:val="24"/>
        </w:rPr>
        <w:t>onni</w:t>
      </w:r>
      <w:r w:rsidR="00DB5059" w:rsidRPr="0024503A">
        <w:rPr>
          <w:rFonts w:ascii="Times New Roman" w:hAnsi="Times New Roman" w:cs="Times New Roman"/>
          <w:color w:val="000000"/>
          <w:sz w:val="24"/>
          <w:szCs w:val="24"/>
        </w:rPr>
        <w:t xml:space="preserve">le, kuna maailmas oli kolmandat aastat järjest teravilja saak </w:t>
      </w:r>
      <w:r w:rsidR="00106300" w:rsidRPr="0024503A">
        <w:rPr>
          <w:rFonts w:ascii="Times New Roman" w:hAnsi="Times New Roman" w:cs="Times New Roman"/>
          <w:color w:val="000000"/>
          <w:sz w:val="24"/>
          <w:szCs w:val="24"/>
        </w:rPr>
        <w:t>vähenenud</w:t>
      </w:r>
      <w:r w:rsidR="00DB5059" w:rsidRPr="0024503A">
        <w:rPr>
          <w:rFonts w:ascii="Times New Roman" w:hAnsi="Times New Roman" w:cs="Times New Roman"/>
          <w:color w:val="000000"/>
          <w:sz w:val="24"/>
          <w:szCs w:val="24"/>
        </w:rPr>
        <w:t xml:space="preserve">, mistõttu vähenesid drastiliselt ka varud. </w:t>
      </w:r>
    </w:p>
    <w:p w:rsidR="00DC10A8" w:rsidRPr="0024503A" w:rsidRDefault="00DC10A8" w:rsidP="00617526">
      <w:pPr>
        <w:pStyle w:val="BodyText"/>
        <w:spacing w:line="276" w:lineRule="auto"/>
        <w:rPr>
          <w:rFonts w:ascii="Times New Roman" w:hAnsi="Times New Roman" w:cs="Times New Roman"/>
          <w:color w:val="000000"/>
          <w:sz w:val="24"/>
          <w:szCs w:val="24"/>
        </w:rPr>
      </w:pPr>
    </w:p>
    <w:p w:rsidR="0015624E" w:rsidRPr="0024503A" w:rsidRDefault="00802EC2" w:rsidP="00617526">
      <w:pPr>
        <w:pStyle w:val="BodyText"/>
        <w:spacing w:line="276" w:lineRule="auto"/>
        <w:rPr>
          <w:rFonts w:ascii="Times New Roman" w:hAnsi="Times New Roman" w:cs="Times New Roman"/>
          <w:color w:val="000000"/>
          <w:sz w:val="24"/>
          <w:szCs w:val="24"/>
        </w:rPr>
      </w:pPr>
      <w:r w:rsidRPr="0024503A">
        <w:rPr>
          <w:rFonts w:ascii="Times New Roman" w:hAnsi="Times New Roman" w:cs="Times New Roman"/>
          <w:color w:val="000000"/>
          <w:sz w:val="24"/>
          <w:szCs w:val="24"/>
        </w:rPr>
        <w:t xml:space="preserve">Pärast ülemaailmset majanduskriisi, tarbimise </w:t>
      </w:r>
      <w:r w:rsidR="00E16817">
        <w:rPr>
          <w:rFonts w:ascii="Times New Roman" w:hAnsi="Times New Roman" w:cs="Times New Roman"/>
          <w:color w:val="000000"/>
          <w:sz w:val="24"/>
          <w:szCs w:val="24"/>
        </w:rPr>
        <w:t>vähenemist</w:t>
      </w:r>
      <w:r w:rsidRPr="0024503A">
        <w:rPr>
          <w:rFonts w:ascii="Times New Roman" w:hAnsi="Times New Roman" w:cs="Times New Roman"/>
          <w:color w:val="000000"/>
          <w:sz w:val="24"/>
          <w:szCs w:val="24"/>
        </w:rPr>
        <w:t xml:space="preserve">, rekordilisi teraviljaaastaid ja varude kasvu hakkasid hinnad jällegi </w:t>
      </w:r>
      <w:r w:rsidR="00E16817">
        <w:rPr>
          <w:rFonts w:ascii="Times New Roman" w:hAnsi="Times New Roman" w:cs="Times New Roman"/>
          <w:color w:val="000000"/>
          <w:sz w:val="24"/>
          <w:szCs w:val="24"/>
        </w:rPr>
        <w:t>alanema</w:t>
      </w:r>
      <w:r w:rsidRPr="0024503A">
        <w:rPr>
          <w:rFonts w:ascii="Times New Roman" w:hAnsi="Times New Roman" w:cs="Times New Roman"/>
          <w:color w:val="000000"/>
          <w:sz w:val="24"/>
          <w:szCs w:val="24"/>
        </w:rPr>
        <w:t xml:space="preserve">. </w:t>
      </w:r>
      <w:r w:rsidR="0015624E" w:rsidRPr="0024503A">
        <w:rPr>
          <w:rFonts w:ascii="Times New Roman" w:hAnsi="Times New Roman" w:cs="Times New Roman"/>
          <w:color w:val="000000"/>
          <w:sz w:val="24"/>
          <w:szCs w:val="24"/>
        </w:rPr>
        <w:t xml:space="preserve">2010. aasta alguses </w:t>
      </w:r>
      <w:r w:rsidRPr="0024503A">
        <w:rPr>
          <w:rFonts w:ascii="Times New Roman" w:hAnsi="Times New Roman" w:cs="Times New Roman"/>
          <w:color w:val="000000"/>
          <w:sz w:val="24"/>
          <w:szCs w:val="24"/>
        </w:rPr>
        <w:t xml:space="preserve">oli nisu hind Eestis juba 115 </w:t>
      </w:r>
      <w:r w:rsidR="00832450" w:rsidRPr="0024503A">
        <w:rPr>
          <w:rFonts w:ascii="Times New Roman" w:hAnsi="Times New Roman" w:cs="Times New Roman"/>
          <w:color w:val="000000"/>
          <w:sz w:val="24"/>
          <w:szCs w:val="24"/>
        </w:rPr>
        <w:t xml:space="preserve">eurot </w:t>
      </w:r>
      <w:r w:rsidRPr="0024503A">
        <w:rPr>
          <w:rFonts w:ascii="Times New Roman" w:hAnsi="Times New Roman" w:cs="Times New Roman"/>
          <w:color w:val="000000"/>
          <w:sz w:val="24"/>
          <w:szCs w:val="24"/>
        </w:rPr>
        <w:t>t</w:t>
      </w:r>
      <w:r w:rsidR="00832450" w:rsidRPr="0024503A">
        <w:rPr>
          <w:rFonts w:ascii="Times New Roman" w:hAnsi="Times New Roman" w:cs="Times New Roman"/>
          <w:color w:val="000000"/>
          <w:sz w:val="24"/>
          <w:szCs w:val="24"/>
        </w:rPr>
        <w:t>onni kohta</w:t>
      </w:r>
      <w:r w:rsidRPr="0024503A">
        <w:rPr>
          <w:rFonts w:ascii="Times New Roman" w:hAnsi="Times New Roman" w:cs="Times New Roman"/>
          <w:color w:val="000000"/>
          <w:sz w:val="24"/>
          <w:szCs w:val="24"/>
        </w:rPr>
        <w:t xml:space="preserve">. Uus hindade tõus leidis taas aset 2010. aasta keskel kui </w:t>
      </w:r>
      <w:r w:rsidR="00E16817">
        <w:rPr>
          <w:rFonts w:ascii="Times New Roman" w:hAnsi="Times New Roman" w:cs="Times New Roman"/>
          <w:color w:val="000000"/>
          <w:sz w:val="24"/>
          <w:szCs w:val="24"/>
        </w:rPr>
        <w:t xml:space="preserve">põuast tingitud </w:t>
      </w:r>
      <w:r w:rsidRPr="0024503A">
        <w:rPr>
          <w:rFonts w:ascii="Times New Roman" w:hAnsi="Times New Roman" w:cs="Times New Roman"/>
          <w:color w:val="000000"/>
          <w:sz w:val="24"/>
          <w:szCs w:val="24"/>
        </w:rPr>
        <w:t>madala saagi ja nii mõnelgi pool maailmas kehtestatud teraviljakaubanduse piirangute tõttu tõusis 2011. aasta alguseks nisu hind</w:t>
      </w:r>
      <w:r w:rsidR="00832450" w:rsidRPr="0024503A">
        <w:rPr>
          <w:rFonts w:ascii="Times New Roman" w:hAnsi="Times New Roman" w:cs="Times New Roman"/>
          <w:color w:val="000000"/>
          <w:sz w:val="24"/>
          <w:szCs w:val="24"/>
        </w:rPr>
        <w:t xml:space="preserve"> 230 eurot tonni kohta</w:t>
      </w:r>
      <w:r w:rsidR="006E4858" w:rsidRPr="0024503A">
        <w:rPr>
          <w:rFonts w:ascii="Times New Roman" w:hAnsi="Times New Roman" w:cs="Times New Roman"/>
          <w:color w:val="000000"/>
          <w:sz w:val="24"/>
          <w:szCs w:val="24"/>
        </w:rPr>
        <w:t xml:space="preserve"> (joonis 25</w:t>
      </w:r>
      <w:r w:rsidR="00DF2979" w:rsidRPr="0024503A">
        <w:rPr>
          <w:rFonts w:ascii="Times New Roman" w:hAnsi="Times New Roman" w:cs="Times New Roman"/>
          <w:color w:val="000000"/>
          <w:sz w:val="24"/>
          <w:szCs w:val="24"/>
        </w:rPr>
        <w:t>)</w:t>
      </w:r>
      <w:r w:rsidRPr="0024503A">
        <w:rPr>
          <w:rFonts w:ascii="Times New Roman" w:hAnsi="Times New Roman" w:cs="Times New Roman"/>
          <w:color w:val="000000"/>
          <w:sz w:val="24"/>
          <w:szCs w:val="24"/>
        </w:rPr>
        <w:t>. Kõrgel tasemel püsisid hinnad</w:t>
      </w:r>
      <w:r w:rsidR="0015624E" w:rsidRPr="0024503A">
        <w:rPr>
          <w:rFonts w:ascii="Times New Roman" w:hAnsi="Times New Roman" w:cs="Times New Roman"/>
          <w:color w:val="000000"/>
          <w:sz w:val="24"/>
          <w:szCs w:val="24"/>
        </w:rPr>
        <w:t xml:space="preserve"> mõningaste kõikumistega kuni 2013. aasta I kvartalini. Sealt alates on hinnad taas </w:t>
      </w:r>
      <w:r w:rsidR="00E16817">
        <w:rPr>
          <w:rFonts w:ascii="Times New Roman" w:hAnsi="Times New Roman" w:cs="Times New Roman"/>
          <w:color w:val="000000"/>
          <w:sz w:val="24"/>
          <w:szCs w:val="24"/>
        </w:rPr>
        <w:t>alanenud</w:t>
      </w:r>
      <w:r w:rsidR="0015624E" w:rsidRPr="0024503A">
        <w:rPr>
          <w:rFonts w:ascii="Times New Roman" w:hAnsi="Times New Roman" w:cs="Times New Roman"/>
          <w:color w:val="000000"/>
          <w:sz w:val="24"/>
          <w:szCs w:val="24"/>
        </w:rPr>
        <w:t xml:space="preserve">, peamiselt mõjutatuna headest saakidest maailma suuremates teravilja tootmispiirkondades. </w:t>
      </w:r>
      <w:r w:rsidR="0015624E" w:rsidRPr="0024503A">
        <w:rPr>
          <w:rFonts w:ascii="Times New Roman" w:hAnsi="Times New Roman" w:cs="Times New Roman"/>
          <w:sz w:val="24"/>
          <w:szCs w:val="24"/>
        </w:rPr>
        <w:t>Kuigi maailmas on nõudlus teravilja järele endiselt suur ja varude tase suhteliselt madal, siis rekordiline 2013. aasta teravilja saak maail</w:t>
      </w:r>
      <w:r w:rsidR="00FE6E3E">
        <w:rPr>
          <w:rFonts w:ascii="Times New Roman" w:hAnsi="Times New Roman" w:cs="Times New Roman"/>
          <w:sz w:val="24"/>
          <w:szCs w:val="24"/>
        </w:rPr>
        <w:t>mas on alandanud teravilja hindasid</w:t>
      </w:r>
      <w:r w:rsidR="0015624E" w:rsidRPr="0024503A">
        <w:rPr>
          <w:rFonts w:ascii="Times New Roman" w:hAnsi="Times New Roman" w:cs="Times New Roman"/>
          <w:sz w:val="24"/>
          <w:szCs w:val="24"/>
        </w:rPr>
        <w:t>.</w:t>
      </w:r>
    </w:p>
    <w:p w:rsidR="0015624E" w:rsidRPr="0024503A" w:rsidRDefault="0015624E" w:rsidP="00617526">
      <w:pPr>
        <w:pStyle w:val="BodyText"/>
        <w:spacing w:line="276" w:lineRule="auto"/>
        <w:rPr>
          <w:rFonts w:ascii="Times New Roman" w:hAnsi="Times New Roman" w:cs="Times New Roman"/>
          <w:color w:val="000000"/>
          <w:sz w:val="24"/>
          <w:szCs w:val="24"/>
        </w:rPr>
      </w:pPr>
    </w:p>
    <w:p w:rsidR="0015624E" w:rsidRPr="00785DD4" w:rsidRDefault="00CC4F76" w:rsidP="00617526">
      <w:pPr>
        <w:pStyle w:val="BodyText"/>
        <w:spacing w:line="276" w:lineRule="auto"/>
        <w:rPr>
          <w:color w:val="000000"/>
          <w:sz w:val="24"/>
          <w:szCs w:val="24"/>
        </w:rPr>
      </w:pPr>
      <w:r w:rsidRPr="004C2338">
        <w:rPr>
          <w:noProof/>
          <w:sz w:val="24"/>
          <w:szCs w:val="24"/>
        </w:rPr>
        <w:drawing>
          <wp:inline distT="0" distB="0" distL="0" distR="0" wp14:anchorId="0641FDAC" wp14:editId="2CAD6476">
            <wp:extent cx="6086475" cy="26670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15624E" w:rsidRPr="009A2330" w:rsidRDefault="0015624E" w:rsidP="00617526">
      <w:pPr>
        <w:spacing w:line="276" w:lineRule="auto"/>
        <w:rPr>
          <w:rFonts w:ascii="Arial" w:hAnsi="Arial" w:cs="Arial"/>
        </w:rPr>
      </w:pPr>
      <w:r w:rsidRPr="009A2330">
        <w:rPr>
          <w:rFonts w:ascii="Arial" w:hAnsi="Arial" w:cs="Arial"/>
        </w:rPr>
        <w:t>Allikas: EKI, TNS EMOR</w:t>
      </w:r>
    </w:p>
    <w:p w:rsidR="0015624E" w:rsidRPr="0024503A" w:rsidRDefault="0015624E" w:rsidP="00617526">
      <w:pPr>
        <w:spacing w:line="276" w:lineRule="auto"/>
        <w:rPr>
          <w:rFonts w:ascii="Times New Roman" w:hAnsi="Times New Roman" w:cs="Times New Roman"/>
          <w:b/>
          <w:sz w:val="24"/>
          <w:szCs w:val="24"/>
        </w:rPr>
      </w:pPr>
      <w:r w:rsidRPr="0024503A">
        <w:rPr>
          <w:rFonts w:ascii="Times New Roman" w:hAnsi="Times New Roman" w:cs="Times New Roman"/>
          <w:b/>
          <w:sz w:val="24"/>
          <w:szCs w:val="24"/>
        </w:rPr>
        <w:lastRenderedPageBreak/>
        <w:t xml:space="preserve">Joonis </w:t>
      </w:r>
      <w:r w:rsidR="006E4858" w:rsidRPr="0024503A">
        <w:rPr>
          <w:rFonts w:ascii="Times New Roman" w:hAnsi="Times New Roman" w:cs="Times New Roman"/>
          <w:b/>
          <w:sz w:val="24"/>
          <w:szCs w:val="24"/>
        </w:rPr>
        <w:t>25</w:t>
      </w:r>
      <w:r w:rsidRPr="0024503A">
        <w:rPr>
          <w:rFonts w:ascii="Times New Roman" w:hAnsi="Times New Roman" w:cs="Times New Roman"/>
          <w:b/>
          <w:sz w:val="24"/>
          <w:szCs w:val="24"/>
        </w:rPr>
        <w:t xml:space="preserve">. Teravilja hinnad Eestis </w:t>
      </w:r>
      <w:r w:rsidR="00381B03" w:rsidRPr="0024503A">
        <w:rPr>
          <w:rFonts w:ascii="Times New Roman" w:hAnsi="Times New Roman" w:cs="Times New Roman"/>
          <w:b/>
          <w:sz w:val="24"/>
          <w:szCs w:val="24"/>
        </w:rPr>
        <w:t>aastatel 2005</w:t>
      </w:r>
      <w:r w:rsidRPr="0024503A">
        <w:rPr>
          <w:rFonts w:ascii="Times New Roman" w:hAnsi="Times New Roman" w:cs="Times New Roman"/>
          <w:b/>
          <w:sz w:val="24"/>
          <w:szCs w:val="24"/>
        </w:rPr>
        <w:t>–2013</w:t>
      </w:r>
    </w:p>
    <w:p w:rsidR="0015624E" w:rsidRPr="0024503A" w:rsidRDefault="0015624E" w:rsidP="00617526">
      <w:pPr>
        <w:pStyle w:val="BodyText"/>
        <w:spacing w:line="276" w:lineRule="auto"/>
        <w:rPr>
          <w:rFonts w:ascii="Times New Roman" w:hAnsi="Times New Roman" w:cs="Times New Roman"/>
          <w:color w:val="000000"/>
          <w:sz w:val="24"/>
          <w:szCs w:val="24"/>
        </w:rPr>
      </w:pPr>
    </w:p>
    <w:p w:rsidR="001E093E" w:rsidRDefault="00B10586" w:rsidP="00617526">
      <w:pPr>
        <w:adjustRightInd w:val="0"/>
        <w:spacing w:line="276" w:lineRule="auto"/>
        <w:jc w:val="both"/>
        <w:rPr>
          <w:rFonts w:ascii="Times New Roman" w:hAnsi="Times New Roman" w:cs="Times New Roman"/>
          <w:color w:val="000000"/>
          <w:sz w:val="24"/>
          <w:szCs w:val="24"/>
        </w:rPr>
      </w:pPr>
      <w:r w:rsidRPr="0024503A">
        <w:rPr>
          <w:rFonts w:ascii="Times New Roman" w:hAnsi="Times New Roman" w:cs="Times New Roman"/>
          <w:color w:val="000000"/>
          <w:sz w:val="24"/>
          <w:szCs w:val="24"/>
        </w:rPr>
        <w:t>Teravilja</w:t>
      </w:r>
      <w:r w:rsidR="0015624E" w:rsidRPr="0024503A">
        <w:rPr>
          <w:rFonts w:ascii="Times New Roman" w:hAnsi="Times New Roman" w:cs="Times New Roman"/>
          <w:color w:val="000000"/>
          <w:sz w:val="24"/>
          <w:szCs w:val="24"/>
        </w:rPr>
        <w:t xml:space="preserve"> hindasid on mõjutanud ja mõjutavad ka edaspidi eelkõige </w:t>
      </w:r>
      <w:r w:rsidR="005A071F" w:rsidRPr="0024503A">
        <w:rPr>
          <w:rFonts w:ascii="Times New Roman" w:hAnsi="Times New Roman" w:cs="Times New Roman"/>
          <w:color w:val="000000"/>
          <w:sz w:val="24"/>
          <w:szCs w:val="24"/>
        </w:rPr>
        <w:t xml:space="preserve">sisendite </w:t>
      </w:r>
      <w:r w:rsidR="0015624E" w:rsidRPr="0024503A">
        <w:rPr>
          <w:rFonts w:ascii="Times New Roman" w:hAnsi="Times New Roman" w:cs="Times New Roman"/>
          <w:color w:val="000000"/>
          <w:sz w:val="24"/>
          <w:szCs w:val="24"/>
        </w:rPr>
        <w:t xml:space="preserve">hindade kasv, nõudluse kasv maailmaturul (rahvastiku arvu kasv, elujärje tõus), </w:t>
      </w:r>
      <w:r w:rsidR="00FB4BE5">
        <w:rPr>
          <w:rFonts w:ascii="Times New Roman" w:hAnsi="Times New Roman" w:cs="Times New Roman"/>
          <w:color w:val="000000"/>
          <w:sz w:val="24"/>
          <w:szCs w:val="24"/>
        </w:rPr>
        <w:t xml:space="preserve">teravilja </w:t>
      </w:r>
      <w:r w:rsidR="0015624E" w:rsidRPr="0024503A">
        <w:rPr>
          <w:rFonts w:ascii="Times New Roman" w:hAnsi="Times New Roman" w:cs="Times New Roman"/>
          <w:color w:val="000000"/>
          <w:sz w:val="24"/>
          <w:szCs w:val="24"/>
        </w:rPr>
        <w:t xml:space="preserve">varude tase, suured ilmastiku anomaaliad ja katastroofid, võimalikud spekulatsioonid turgudel (börs), toidu toorme kasutamine bioenergia tootmiseks. </w:t>
      </w:r>
    </w:p>
    <w:p w:rsidR="001E093E" w:rsidRDefault="001E093E" w:rsidP="00617526">
      <w:pPr>
        <w:adjustRightInd w:val="0"/>
        <w:spacing w:line="276" w:lineRule="auto"/>
        <w:jc w:val="both"/>
        <w:rPr>
          <w:rFonts w:ascii="Times New Roman" w:hAnsi="Times New Roman" w:cs="Times New Roman"/>
          <w:color w:val="000000"/>
          <w:sz w:val="24"/>
          <w:szCs w:val="24"/>
        </w:rPr>
      </w:pPr>
    </w:p>
    <w:p w:rsidR="0066428F" w:rsidRPr="0024503A" w:rsidRDefault="0015624E" w:rsidP="00617526">
      <w:pPr>
        <w:adjustRightInd w:val="0"/>
        <w:spacing w:line="276" w:lineRule="auto"/>
        <w:jc w:val="both"/>
        <w:rPr>
          <w:rFonts w:ascii="Times New Roman" w:hAnsi="Times New Roman" w:cs="Times New Roman"/>
          <w:color w:val="000000"/>
          <w:sz w:val="24"/>
          <w:szCs w:val="24"/>
        </w:rPr>
      </w:pPr>
      <w:r w:rsidRPr="0024503A">
        <w:rPr>
          <w:rFonts w:ascii="Times New Roman" w:hAnsi="Times New Roman" w:cs="Times New Roman"/>
          <w:color w:val="000000"/>
          <w:sz w:val="24"/>
          <w:szCs w:val="24"/>
        </w:rPr>
        <w:t xml:space="preserve">Teravilja hinnatõus mõjutab ka leiva ja saia hinda Eestis, kuid alati ei tähenda teravilja hindade langus ka automaatselt </w:t>
      </w:r>
      <w:r w:rsidRPr="0024503A">
        <w:rPr>
          <w:rFonts w:ascii="Times New Roman" w:hAnsi="Times New Roman" w:cs="Times New Roman"/>
          <w:noProof/>
          <w:color w:val="000000"/>
          <w:sz w:val="24"/>
          <w:szCs w:val="24"/>
        </w:rPr>
        <w:t>väärindatud</w:t>
      </w:r>
      <w:r w:rsidRPr="0024503A">
        <w:rPr>
          <w:rFonts w:ascii="Times New Roman" w:hAnsi="Times New Roman" w:cs="Times New Roman"/>
          <w:color w:val="000000"/>
          <w:sz w:val="24"/>
          <w:szCs w:val="24"/>
        </w:rPr>
        <w:t xml:space="preserve"> toodete hindade langust. Näiteks kui aastatel 2009–2010 teravilja hind oluliselt langes, siis leiva ja saia jaehind jäi ikkagi suhteliselt kõrgeks. </w:t>
      </w:r>
      <w:r w:rsidR="00B10586" w:rsidRPr="0024503A">
        <w:rPr>
          <w:rFonts w:ascii="Times New Roman" w:hAnsi="Times New Roman" w:cs="Times New Roman"/>
          <w:color w:val="000000"/>
          <w:sz w:val="24"/>
          <w:szCs w:val="24"/>
        </w:rPr>
        <w:t>Teravilja hinna osatähtsus leiva ja saia jaeh</w:t>
      </w:r>
      <w:r w:rsidR="00BF75F1">
        <w:rPr>
          <w:rFonts w:ascii="Times New Roman" w:hAnsi="Times New Roman" w:cs="Times New Roman"/>
          <w:color w:val="000000"/>
          <w:sz w:val="24"/>
          <w:szCs w:val="24"/>
        </w:rPr>
        <w:t>innas moodustab ca 10</w:t>
      </w:r>
      <w:r w:rsidR="00EF77C9" w:rsidRPr="0024503A">
        <w:rPr>
          <w:rFonts w:ascii="Times New Roman" w:hAnsi="Times New Roman" w:cs="Times New Roman"/>
          <w:color w:val="000000"/>
          <w:sz w:val="24"/>
          <w:szCs w:val="24"/>
        </w:rPr>
        <w:t>%, mille</w:t>
      </w:r>
      <w:r w:rsidR="00BF75F1">
        <w:rPr>
          <w:rFonts w:ascii="Times New Roman" w:hAnsi="Times New Roman" w:cs="Times New Roman"/>
          <w:color w:val="000000"/>
          <w:sz w:val="24"/>
          <w:szCs w:val="24"/>
        </w:rPr>
        <w:t xml:space="preserve"> alusel näiteks 50</w:t>
      </w:r>
      <w:r w:rsidR="00B10586" w:rsidRPr="0024503A">
        <w:rPr>
          <w:rFonts w:ascii="Times New Roman" w:hAnsi="Times New Roman" w:cs="Times New Roman"/>
          <w:color w:val="000000"/>
          <w:sz w:val="24"/>
          <w:szCs w:val="24"/>
        </w:rPr>
        <w:t>%</w:t>
      </w:r>
      <w:r w:rsidR="00D34CB0">
        <w:rPr>
          <w:rFonts w:ascii="Times New Roman" w:hAnsi="Times New Roman" w:cs="Times New Roman"/>
          <w:color w:val="000000"/>
          <w:sz w:val="24"/>
          <w:szCs w:val="24"/>
        </w:rPr>
        <w:t>-</w:t>
      </w:r>
      <w:r w:rsidR="00B10586" w:rsidRPr="0024503A">
        <w:rPr>
          <w:rFonts w:ascii="Times New Roman" w:hAnsi="Times New Roman" w:cs="Times New Roman"/>
          <w:color w:val="000000"/>
          <w:sz w:val="24"/>
          <w:szCs w:val="24"/>
        </w:rPr>
        <w:t xml:space="preserve">line teravilja hinnatõus tõstaks leiva hinda siiski vaid 5%. </w:t>
      </w:r>
      <w:r w:rsidRPr="0024503A">
        <w:rPr>
          <w:rFonts w:ascii="Times New Roman" w:hAnsi="Times New Roman" w:cs="Times New Roman"/>
          <w:color w:val="000000"/>
          <w:sz w:val="24"/>
          <w:szCs w:val="24"/>
        </w:rPr>
        <w:t>Samuti avaldavad teravilja hinnad suurt mõju ka sealiha ja linnuliha tootmise omahinnale, kuivõrd teravilja osa tootmise kogukuludest moodustab ca 70%.</w:t>
      </w:r>
    </w:p>
    <w:p w:rsidR="00FC4647" w:rsidRPr="0024503A" w:rsidRDefault="00FC4647" w:rsidP="00617526">
      <w:pPr>
        <w:spacing w:line="276" w:lineRule="auto"/>
        <w:jc w:val="both"/>
        <w:rPr>
          <w:rFonts w:ascii="Times New Roman" w:hAnsi="Times New Roman" w:cs="Times New Roman"/>
          <w:color w:val="000000"/>
          <w:sz w:val="24"/>
          <w:szCs w:val="24"/>
        </w:rPr>
      </w:pPr>
    </w:p>
    <w:p w:rsidR="0066428F" w:rsidRPr="0024503A" w:rsidRDefault="000063AE" w:rsidP="000063AE">
      <w:pPr>
        <w:pStyle w:val="Heading2"/>
        <w:spacing w:line="276" w:lineRule="auto"/>
        <w:rPr>
          <w:rFonts w:ascii="Times New Roman" w:hAnsi="Times New Roman" w:cs="Times New Roman"/>
          <w:b/>
          <w:sz w:val="28"/>
          <w:szCs w:val="28"/>
        </w:rPr>
      </w:pPr>
      <w:bookmarkStart w:id="652" w:name="_Toc378697826"/>
      <w:bookmarkStart w:id="653" w:name="_Toc378773273"/>
      <w:bookmarkStart w:id="654" w:name="_Toc379197454"/>
      <w:bookmarkStart w:id="655" w:name="_Toc379205491"/>
      <w:bookmarkStart w:id="656" w:name="_Toc379268187"/>
      <w:bookmarkStart w:id="657" w:name="_Toc379296761"/>
      <w:bookmarkStart w:id="658" w:name="_Toc379373470"/>
      <w:bookmarkStart w:id="659" w:name="_Toc379799854"/>
      <w:bookmarkStart w:id="660" w:name="_Toc381633596"/>
      <w:bookmarkStart w:id="661" w:name="_Toc381633741"/>
      <w:bookmarkStart w:id="662" w:name="_Toc384050909"/>
      <w:bookmarkStart w:id="663" w:name="_Toc384052613"/>
      <w:bookmarkStart w:id="664" w:name="_Toc384283956"/>
      <w:bookmarkStart w:id="665" w:name="_Toc384284067"/>
      <w:bookmarkStart w:id="666" w:name="_Toc384386261"/>
      <w:bookmarkStart w:id="667" w:name="_Toc384386473"/>
      <w:bookmarkStart w:id="668" w:name="_Toc384392339"/>
      <w:bookmarkStart w:id="669" w:name="_Toc385253770"/>
      <w:bookmarkStart w:id="670" w:name="_Toc385335142"/>
      <w:bookmarkStart w:id="671" w:name="_Toc389128811"/>
      <w:bookmarkStart w:id="672" w:name="_Toc389131358"/>
      <w:bookmarkStart w:id="673" w:name="_Toc389223893"/>
      <w:bookmarkStart w:id="674" w:name="_Toc389223955"/>
      <w:bookmarkStart w:id="675" w:name="_Toc391908887"/>
      <w:bookmarkStart w:id="676" w:name="_Toc391991821"/>
      <w:bookmarkStart w:id="677" w:name="_Toc397593041"/>
      <w:bookmarkStart w:id="678" w:name="_Toc398896336"/>
      <w:bookmarkStart w:id="679" w:name="_Toc398896476"/>
      <w:bookmarkStart w:id="680" w:name="_Toc400972848"/>
      <w:r>
        <w:rPr>
          <w:rFonts w:ascii="Times New Roman" w:hAnsi="Times New Roman" w:cs="Times New Roman"/>
          <w:b/>
          <w:sz w:val="28"/>
          <w:szCs w:val="28"/>
        </w:rPr>
        <w:t xml:space="preserve">7.5. </w:t>
      </w:r>
      <w:r w:rsidR="0066428F" w:rsidRPr="0024503A">
        <w:rPr>
          <w:rFonts w:ascii="Times New Roman" w:hAnsi="Times New Roman" w:cs="Times New Roman"/>
          <w:b/>
          <w:sz w:val="28"/>
          <w:szCs w:val="28"/>
        </w:rPr>
        <w:t>Ühistegevus</w:t>
      </w:r>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
    <w:p w:rsidR="00EC719E" w:rsidRPr="0024503A" w:rsidRDefault="00EC719E" w:rsidP="00617526">
      <w:pPr>
        <w:spacing w:line="276" w:lineRule="auto"/>
        <w:rPr>
          <w:rFonts w:ascii="Times New Roman" w:hAnsi="Times New Roman" w:cs="Times New Roman"/>
          <w:sz w:val="24"/>
          <w:szCs w:val="24"/>
        </w:rPr>
      </w:pPr>
    </w:p>
    <w:p w:rsidR="00634BFF" w:rsidRDefault="00634BFF" w:rsidP="00F36A97">
      <w:pPr>
        <w:pStyle w:val="IntenseQuote"/>
        <w:spacing w:line="276" w:lineRule="auto"/>
        <w:ind w:left="0" w:right="-2"/>
        <w:rPr>
          <w:rStyle w:val="IntenseReference"/>
          <w:rFonts w:ascii="Times New Roman" w:hAnsi="Times New Roman" w:cs="Times New Roman"/>
          <w:sz w:val="24"/>
          <w:szCs w:val="24"/>
        </w:rPr>
      </w:pPr>
      <w:r w:rsidRPr="00634BFF">
        <w:rPr>
          <w:rStyle w:val="IntenseReference"/>
          <w:rFonts w:ascii="Times New Roman" w:hAnsi="Times New Roman" w:cs="Times New Roman"/>
          <w:sz w:val="24"/>
          <w:szCs w:val="24"/>
        </w:rPr>
        <w:t>Ühistegevus on Eestis küll viimastel aastatel palju edasi arenenud, kuid selles valdkonnas arenguruumi veel jätkub.</w:t>
      </w:r>
    </w:p>
    <w:p w:rsidR="006039FB" w:rsidRPr="00634BFF" w:rsidRDefault="006039FB" w:rsidP="006039FB">
      <w:pPr>
        <w:rPr>
          <w:sz w:val="24"/>
          <w:szCs w:val="24"/>
        </w:rPr>
      </w:pPr>
    </w:p>
    <w:p w:rsidR="0066428F" w:rsidRPr="0024503A" w:rsidRDefault="0066428F" w:rsidP="00617526">
      <w:pPr>
        <w:spacing w:line="276" w:lineRule="auto"/>
        <w:jc w:val="both"/>
        <w:rPr>
          <w:rFonts w:ascii="Times New Roman" w:hAnsi="Times New Roman" w:cs="Times New Roman"/>
          <w:color w:val="000000"/>
          <w:sz w:val="24"/>
          <w:szCs w:val="24"/>
        </w:rPr>
      </w:pPr>
      <w:r w:rsidRPr="0024503A">
        <w:rPr>
          <w:rFonts w:ascii="Times New Roman" w:hAnsi="Times New Roman" w:cs="Times New Roman"/>
          <w:color w:val="000000"/>
          <w:sz w:val="24"/>
          <w:szCs w:val="24"/>
        </w:rPr>
        <w:t>Ühistegevuse kaudu on põllumajandustootjatel võimalus varuda odavamalt tootmissisendeid nagu taimekaitsevahendeid, väetisi, seemneid jne, lisaks on võimalik lihtsamalt toodangut turustada. Tugevad tootjate ühistud on kindlasti jätkusuutliku teraviljakasvatuse üks konkurentsi</w:t>
      </w:r>
      <w:r w:rsidR="00E16817">
        <w:rPr>
          <w:rFonts w:ascii="Times New Roman" w:hAnsi="Times New Roman" w:cs="Times New Roman"/>
          <w:color w:val="000000"/>
          <w:sz w:val="24"/>
          <w:szCs w:val="24"/>
        </w:rPr>
        <w:t>võime</w:t>
      </w:r>
      <w:r w:rsidRPr="0024503A">
        <w:rPr>
          <w:rFonts w:ascii="Times New Roman" w:hAnsi="Times New Roman" w:cs="Times New Roman"/>
          <w:color w:val="000000"/>
          <w:sz w:val="24"/>
          <w:szCs w:val="24"/>
        </w:rPr>
        <w:t xml:space="preserve"> tõstmise võimalusi. Ühtlasi pakuks nad head konkurentsi seni turul tegutsevatele ettevõtetele. </w:t>
      </w:r>
    </w:p>
    <w:p w:rsidR="0066428F" w:rsidRPr="0024503A" w:rsidRDefault="0066428F" w:rsidP="00617526">
      <w:pPr>
        <w:pStyle w:val="BodyText"/>
        <w:spacing w:line="276" w:lineRule="auto"/>
        <w:rPr>
          <w:rFonts w:ascii="Times New Roman" w:hAnsi="Times New Roman" w:cs="Times New Roman"/>
          <w:sz w:val="24"/>
          <w:szCs w:val="24"/>
        </w:rPr>
      </w:pPr>
    </w:p>
    <w:p w:rsidR="0066428F" w:rsidRPr="0024503A" w:rsidRDefault="0066428F" w:rsidP="00617526">
      <w:pPr>
        <w:pStyle w:val="BodyText"/>
        <w:spacing w:line="276" w:lineRule="auto"/>
        <w:rPr>
          <w:rFonts w:ascii="Times New Roman" w:hAnsi="Times New Roman" w:cs="Times New Roman"/>
          <w:sz w:val="24"/>
          <w:szCs w:val="24"/>
        </w:rPr>
      </w:pPr>
      <w:r w:rsidRPr="0024503A">
        <w:rPr>
          <w:rFonts w:ascii="Times New Roman" w:hAnsi="Times New Roman" w:cs="Times New Roman"/>
          <w:sz w:val="24"/>
          <w:szCs w:val="24"/>
        </w:rPr>
        <w:t>Ühistegevuse edendamine soodustaks kaasaegsete põllutööm</w:t>
      </w:r>
      <w:r w:rsidR="004C46F2">
        <w:rPr>
          <w:rFonts w:ascii="Times New Roman" w:hAnsi="Times New Roman" w:cs="Times New Roman"/>
          <w:sz w:val="24"/>
          <w:szCs w:val="24"/>
        </w:rPr>
        <w:t>asinate ja -</w:t>
      </w:r>
      <w:r w:rsidRPr="0024503A">
        <w:rPr>
          <w:rFonts w:ascii="Times New Roman" w:hAnsi="Times New Roman" w:cs="Times New Roman"/>
          <w:sz w:val="24"/>
          <w:szCs w:val="24"/>
        </w:rPr>
        <w:t>seadmete soetamist. Ühistegevus aitaks</w:t>
      </w:r>
      <w:r w:rsidR="00355F7E">
        <w:rPr>
          <w:rFonts w:ascii="Times New Roman" w:hAnsi="Times New Roman" w:cs="Times New Roman"/>
          <w:sz w:val="24"/>
          <w:szCs w:val="24"/>
        </w:rPr>
        <w:t xml:space="preserve"> tootjatel</w:t>
      </w:r>
      <w:r w:rsidRPr="0024503A">
        <w:rPr>
          <w:rFonts w:ascii="Times New Roman" w:hAnsi="Times New Roman" w:cs="Times New Roman"/>
          <w:sz w:val="24"/>
          <w:szCs w:val="24"/>
        </w:rPr>
        <w:t xml:space="preserve"> paremini kohaned</w:t>
      </w:r>
      <w:r w:rsidR="00234D7D">
        <w:rPr>
          <w:rFonts w:ascii="Times New Roman" w:hAnsi="Times New Roman" w:cs="Times New Roman"/>
          <w:sz w:val="24"/>
          <w:szCs w:val="24"/>
        </w:rPr>
        <w:t xml:space="preserve">a turusituatsiooni muutustega, </w:t>
      </w:r>
      <w:r w:rsidRPr="0024503A">
        <w:rPr>
          <w:rFonts w:ascii="Times New Roman" w:hAnsi="Times New Roman" w:cs="Times New Roman"/>
          <w:sz w:val="24"/>
          <w:szCs w:val="24"/>
        </w:rPr>
        <w:t xml:space="preserve">suurendaks teraviljatootjate </w:t>
      </w:r>
      <w:r w:rsidR="00355F7E">
        <w:rPr>
          <w:rFonts w:ascii="Times New Roman" w:hAnsi="Times New Roman" w:cs="Times New Roman"/>
          <w:sz w:val="24"/>
          <w:szCs w:val="24"/>
        </w:rPr>
        <w:t>konkurentsivõimet</w:t>
      </w:r>
      <w:r w:rsidRPr="0024503A">
        <w:rPr>
          <w:rFonts w:ascii="Times New Roman" w:hAnsi="Times New Roman" w:cs="Times New Roman"/>
          <w:sz w:val="24"/>
          <w:szCs w:val="24"/>
        </w:rPr>
        <w:t xml:space="preserve"> ja tööhõivet ning maapiirkondadesse jääks rohkem raha. Selleks tuleks tõsta </w:t>
      </w:r>
      <w:r w:rsidR="00355F7E">
        <w:rPr>
          <w:rFonts w:ascii="Times New Roman" w:hAnsi="Times New Roman" w:cs="Times New Roman"/>
          <w:sz w:val="24"/>
          <w:szCs w:val="24"/>
        </w:rPr>
        <w:t xml:space="preserve">põllumajandustootjate </w:t>
      </w:r>
      <w:r w:rsidRPr="0024503A">
        <w:rPr>
          <w:rFonts w:ascii="Times New Roman" w:hAnsi="Times New Roman" w:cs="Times New Roman"/>
          <w:sz w:val="24"/>
          <w:szCs w:val="24"/>
        </w:rPr>
        <w:t xml:space="preserve">teadlikkust ühistegevusest läbi haridus- ja koolitussüsteemi täiustamise. Usaldus tekib eeskätt ühistegevuses osalemise ja koostöö kaudu. </w:t>
      </w:r>
    </w:p>
    <w:p w:rsidR="0066428F" w:rsidRPr="0024503A" w:rsidRDefault="0066428F" w:rsidP="00617526">
      <w:pPr>
        <w:pStyle w:val="BodyText"/>
        <w:spacing w:line="276" w:lineRule="auto"/>
        <w:rPr>
          <w:rFonts w:ascii="Times New Roman" w:hAnsi="Times New Roman" w:cs="Times New Roman"/>
          <w:color w:val="000000"/>
          <w:sz w:val="24"/>
          <w:szCs w:val="24"/>
        </w:rPr>
      </w:pPr>
    </w:p>
    <w:p w:rsidR="0066428F" w:rsidRPr="0024503A" w:rsidRDefault="0066428F" w:rsidP="00617526">
      <w:pPr>
        <w:pStyle w:val="BodyText"/>
        <w:spacing w:line="276" w:lineRule="auto"/>
        <w:rPr>
          <w:rFonts w:ascii="Times New Roman" w:hAnsi="Times New Roman" w:cs="Times New Roman"/>
          <w:color w:val="000000"/>
          <w:sz w:val="24"/>
          <w:szCs w:val="24"/>
        </w:rPr>
      </w:pPr>
      <w:r w:rsidRPr="0024503A">
        <w:rPr>
          <w:rFonts w:ascii="Times New Roman" w:hAnsi="Times New Roman" w:cs="Times New Roman"/>
          <w:color w:val="000000"/>
          <w:sz w:val="24"/>
          <w:szCs w:val="24"/>
        </w:rPr>
        <w:t>Arvestades, et Eesti teravili konkureerib Euroopa- ja maailmaturul</w:t>
      </w:r>
      <w:r w:rsidR="00E16817">
        <w:rPr>
          <w:rFonts w:ascii="Times New Roman" w:hAnsi="Times New Roman" w:cs="Times New Roman"/>
          <w:color w:val="000000"/>
          <w:sz w:val="24"/>
          <w:szCs w:val="24"/>
        </w:rPr>
        <w:t xml:space="preserve"> koos</w:t>
      </w:r>
      <w:r w:rsidRPr="0024503A">
        <w:rPr>
          <w:rFonts w:ascii="Times New Roman" w:hAnsi="Times New Roman" w:cs="Times New Roman"/>
          <w:color w:val="000000"/>
          <w:sz w:val="24"/>
          <w:szCs w:val="24"/>
        </w:rPr>
        <w:t xml:space="preserve"> palju soodsamates (nt pikem vegetatsiooniperiood) tingimustes</w:t>
      </w:r>
      <w:r w:rsidR="00E16817">
        <w:rPr>
          <w:rFonts w:ascii="Times New Roman" w:hAnsi="Times New Roman" w:cs="Times New Roman"/>
          <w:color w:val="000000"/>
          <w:sz w:val="24"/>
          <w:szCs w:val="24"/>
        </w:rPr>
        <w:t xml:space="preserve"> kasvatatava teraviljaga</w:t>
      </w:r>
      <w:r w:rsidRPr="0024503A">
        <w:rPr>
          <w:rFonts w:ascii="Times New Roman" w:hAnsi="Times New Roman" w:cs="Times New Roman"/>
          <w:color w:val="000000"/>
          <w:sz w:val="24"/>
          <w:szCs w:val="24"/>
        </w:rPr>
        <w:t xml:space="preserve">, siis on väga oluline ühistulise tegevuse kaudu teraviljatootjate koondumine ladustamis- ja hoiuruumide ning kuivatite kasutamiseks. Kui kasvuperioodil tagataksegi kõik vajalikud eeldused kvaliteetse vilja saamiseks, siis peaks see säilima ka pärast kuivatamist ja ladustamist. Eestis on tänase seisuga selle kohta juba kaks head näidet: </w:t>
      </w:r>
      <w:proofErr w:type="spellStart"/>
      <w:r w:rsidR="00E851C7">
        <w:rPr>
          <w:rFonts w:ascii="Times New Roman" w:hAnsi="Times New Roman" w:cs="Times New Roman"/>
          <w:color w:val="000000"/>
          <w:sz w:val="24"/>
          <w:szCs w:val="24"/>
        </w:rPr>
        <w:t>Kevili</w:t>
      </w:r>
      <w:proofErr w:type="spellEnd"/>
      <w:r w:rsidR="00E851C7">
        <w:rPr>
          <w:rFonts w:ascii="Times New Roman" w:hAnsi="Times New Roman" w:cs="Times New Roman"/>
          <w:color w:val="000000"/>
          <w:sz w:val="24"/>
          <w:szCs w:val="24"/>
        </w:rPr>
        <w:t xml:space="preserve"> </w:t>
      </w:r>
      <w:r w:rsidRPr="0024503A">
        <w:rPr>
          <w:rFonts w:ascii="Times New Roman" w:hAnsi="Times New Roman" w:cs="Times New Roman"/>
          <w:color w:val="000000"/>
          <w:sz w:val="24"/>
          <w:szCs w:val="24"/>
        </w:rPr>
        <w:t xml:space="preserve">põllumeeste ühistu ja </w:t>
      </w:r>
      <w:proofErr w:type="spellStart"/>
      <w:r w:rsidRPr="0024503A">
        <w:rPr>
          <w:rFonts w:ascii="Times New Roman" w:hAnsi="Times New Roman" w:cs="Times New Roman"/>
          <w:color w:val="000000"/>
          <w:sz w:val="24"/>
          <w:szCs w:val="24"/>
        </w:rPr>
        <w:t>Wiru</w:t>
      </w:r>
      <w:proofErr w:type="spellEnd"/>
      <w:r w:rsidRPr="0024503A">
        <w:rPr>
          <w:rFonts w:ascii="Times New Roman" w:hAnsi="Times New Roman" w:cs="Times New Roman"/>
          <w:color w:val="000000"/>
          <w:sz w:val="24"/>
          <w:szCs w:val="24"/>
        </w:rPr>
        <w:t xml:space="preserve"> Vili </w:t>
      </w:r>
      <w:r w:rsidR="00E851C7">
        <w:rPr>
          <w:rFonts w:ascii="Times New Roman" w:hAnsi="Times New Roman" w:cs="Times New Roman"/>
          <w:color w:val="000000"/>
          <w:sz w:val="24"/>
          <w:szCs w:val="24"/>
        </w:rPr>
        <w:t xml:space="preserve">TÜ </w:t>
      </w:r>
      <w:r w:rsidRPr="0024503A">
        <w:rPr>
          <w:rFonts w:ascii="Times New Roman" w:hAnsi="Times New Roman" w:cs="Times New Roman"/>
          <w:color w:val="000000"/>
          <w:sz w:val="24"/>
          <w:szCs w:val="24"/>
        </w:rPr>
        <w:t xml:space="preserve">näol. </w:t>
      </w:r>
    </w:p>
    <w:p w:rsidR="0066428F" w:rsidRPr="0024503A" w:rsidRDefault="0066428F" w:rsidP="00617526">
      <w:pPr>
        <w:spacing w:line="276" w:lineRule="auto"/>
        <w:jc w:val="both"/>
        <w:rPr>
          <w:rFonts w:ascii="Times New Roman" w:hAnsi="Times New Roman" w:cs="Times New Roman"/>
          <w:sz w:val="24"/>
          <w:szCs w:val="24"/>
        </w:rPr>
      </w:pPr>
    </w:p>
    <w:p w:rsidR="0066428F" w:rsidRPr="0024503A" w:rsidRDefault="0066428F" w:rsidP="00617526">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Ühistegevus on oluline ka toodangu realiseerimisel. Esmatootjate ja töötlejate killustatus võimaldab kaubandussektoril suurendada oma turuvõimu ja läbirääkimisvõimet, mis realiseerub kaubandusele soodsamates lepingutingimustes, kokkuostuhindades jms. Ettevõtete killustatusega kaasneb ka tootmise väike maht ja toodangu ebaühtlane kvaliteet. Suuremad põlluma</w:t>
      </w:r>
      <w:r w:rsidR="00234D7D">
        <w:rPr>
          <w:rFonts w:ascii="Times New Roman" w:hAnsi="Times New Roman" w:cs="Times New Roman"/>
          <w:sz w:val="24"/>
          <w:szCs w:val="24"/>
        </w:rPr>
        <w:t xml:space="preserve">jandusettevõtjad, kes suudavad </w:t>
      </w:r>
      <w:r w:rsidRPr="0024503A">
        <w:rPr>
          <w:rFonts w:ascii="Times New Roman" w:hAnsi="Times New Roman" w:cs="Times New Roman"/>
          <w:sz w:val="24"/>
          <w:szCs w:val="24"/>
        </w:rPr>
        <w:t xml:space="preserve">pakkuda piisava mahuga tooteid, turustavad oma toodangu peamiselt toorainena </w:t>
      </w:r>
      <w:r w:rsidRPr="0024503A">
        <w:rPr>
          <w:rFonts w:ascii="Times New Roman" w:hAnsi="Times New Roman" w:cs="Times New Roman"/>
          <w:sz w:val="24"/>
          <w:szCs w:val="24"/>
        </w:rPr>
        <w:lastRenderedPageBreak/>
        <w:t>tööstustele või vahendajate kaudu. Samas paljude väiksemate tootjate tootmismahud ei ole piisavad kontsentreeritud töötleva tööstuse ja kaubandussektoriga hinnaläbirääkimiste pidamiseks. Väiksemate põllumajandustootjate võimaluseks oma konkurentsivõimet tõsta on spetsialiseeruda ja keskenduda nišitoodete tootmisele, mis ei eelda suuri tootmismahtusid, kuid võimaldavad tulenevalt toodete kõrgemast hinnast saavutada siiski piisav sissetulek.</w:t>
      </w:r>
    </w:p>
    <w:p w:rsidR="00186EAB" w:rsidRPr="0024503A" w:rsidRDefault="00186EAB" w:rsidP="00186EAB">
      <w:pPr>
        <w:spacing w:line="276" w:lineRule="auto"/>
        <w:jc w:val="both"/>
        <w:rPr>
          <w:rFonts w:ascii="Times New Roman" w:hAnsi="Times New Roman" w:cs="Times New Roman"/>
          <w:sz w:val="24"/>
          <w:szCs w:val="24"/>
        </w:rPr>
      </w:pPr>
    </w:p>
    <w:p w:rsidR="00186EAB" w:rsidRPr="0024503A" w:rsidRDefault="00BF006F" w:rsidP="00BF006F">
      <w:pPr>
        <w:pStyle w:val="Heading2"/>
        <w:spacing w:line="276" w:lineRule="auto"/>
        <w:rPr>
          <w:rFonts w:ascii="Times New Roman" w:hAnsi="Times New Roman" w:cs="Times New Roman"/>
          <w:b/>
          <w:sz w:val="28"/>
          <w:szCs w:val="28"/>
        </w:rPr>
      </w:pPr>
      <w:bookmarkStart w:id="681" w:name="_Toc385253771"/>
      <w:bookmarkStart w:id="682" w:name="_Toc385335143"/>
      <w:bookmarkStart w:id="683" w:name="_Toc389128812"/>
      <w:bookmarkStart w:id="684" w:name="_Toc389131359"/>
      <w:bookmarkStart w:id="685" w:name="_Toc389223894"/>
      <w:bookmarkStart w:id="686" w:name="_Toc389223956"/>
      <w:bookmarkStart w:id="687" w:name="_Toc391908888"/>
      <w:bookmarkStart w:id="688" w:name="_Toc391991822"/>
      <w:bookmarkStart w:id="689" w:name="_Toc397593042"/>
      <w:bookmarkStart w:id="690" w:name="_Toc398896337"/>
      <w:bookmarkStart w:id="691" w:name="_Toc398896477"/>
      <w:bookmarkStart w:id="692" w:name="_Toc400972849"/>
      <w:r>
        <w:rPr>
          <w:rFonts w:ascii="Times New Roman" w:hAnsi="Times New Roman" w:cs="Times New Roman"/>
          <w:b/>
          <w:sz w:val="28"/>
          <w:szCs w:val="28"/>
        </w:rPr>
        <w:t xml:space="preserve">7.6. </w:t>
      </w:r>
      <w:r w:rsidR="00186EAB" w:rsidRPr="0024503A">
        <w:rPr>
          <w:rFonts w:ascii="Times New Roman" w:hAnsi="Times New Roman" w:cs="Times New Roman"/>
          <w:b/>
          <w:sz w:val="28"/>
          <w:szCs w:val="28"/>
        </w:rPr>
        <w:t>Haridus, teadus ja nõuandetegevus</w:t>
      </w:r>
      <w:bookmarkEnd w:id="681"/>
      <w:bookmarkEnd w:id="682"/>
      <w:bookmarkEnd w:id="683"/>
      <w:bookmarkEnd w:id="684"/>
      <w:bookmarkEnd w:id="685"/>
      <w:bookmarkEnd w:id="686"/>
      <w:bookmarkEnd w:id="687"/>
      <w:bookmarkEnd w:id="688"/>
      <w:bookmarkEnd w:id="689"/>
      <w:bookmarkEnd w:id="690"/>
      <w:bookmarkEnd w:id="691"/>
      <w:bookmarkEnd w:id="692"/>
    </w:p>
    <w:p w:rsidR="00186EAB" w:rsidRPr="0024503A" w:rsidRDefault="00186EAB" w:rsidP="00186EAB">
      <w:pPr>
        <w:spacing w:line="276" w:lineRule="auto"/>
        <w:jc w:val="both"/>
        <w:rPr>
          <w:rFonts w:ascii="Times New Roman" w:hAnsi="Times New Roman" w:cs="Times New Roman"/>
          <w:sz w:val="24"/>
          <w:szCs w:val="24"/>
        </w:rPr>
      </w:pPr>
    </w:p>
    <w:p w:rsidR="00186EAB" w:rsidRPr="0024503A" w:rsidRDefault="00186EAB" w:rsidP="00186EAB">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Majandustegevuse kaasajastamine, uute tehnoloogiate, materjalide ja tehnika kasutuselevõtt eeldab haritud eestvedajaid ning tänapäevaselt ettevalmistatud tööjõudu. See omakorda tingib vajaduse teadus- ja arendustegevuse ning üha uute teadmiste, oskuste ja hoiakute omandamise järele.</w:t>
      </w:r>
    </w:p>
    <w:p w:rsidR="00186EAB" w:rsidRPr="0024503A" w:rsidRDefault="00186EAB" w:rsidP="00186EAB">
      <w:pPr>
        <w:spacing w:line="276" w:lineRule="auto"/>
        <w:jc w:val="both"/>
        <w:rPr>
          <w:rFonts w:ascii="Times New Roman" w:hAnsi="Times New Roman" w:cs="Times New Roman"/>
          <w:sz w:val="24"/>
          <w:szCs w:val="24"/>
        </w:rPr>
      </w:pPr>
    </w:p>
    <w:p w:rsidR="00186EAB" w:rsidRPr="00F36A97" w:rsidRDefault="00186EAB" w:rsidP="00186EAB">
      <w:pPr>
        <w:pStyle w:val="IntenseQuote"/>
        <w:spacing w:line="276" w:lineRule="auto"/>
        <w:ind w:left="0" w:right="-2"/>
        <w:rPr>
          <w:rStyle w:val="IntenseReference"/>
          <w:rFonts w:ascii="Times New Roman" w:hAnsi="Times New Roman" w:cs="Times New Roman"/>
          <w:sz w:val="24"/>
          <w:szCs w:val="24"/>
        </w:rPr>
      </w:pPr>
      <w:r w:rsidRPr="003A7E02">
        <w:rPr>
          <w:rStyle w:val="IntenseReference"/>
          <w:rFonts w:ascii="Times New Roman" w:hAnsi="Times New Roman" w:cs="Times New Roman"/>
          <w:sz w:val="24"/>
          <w:szCs w:val="24"/>
        </w:rPr>
        <w:t>Põllumajandussektori</w:t>
      </w:r>
      <w:r w:rsidR="00E16817" w:rsidRPr="003A7E02">
        <w:rPr>
          <w:rStyle w:val="IntenseReference"/>
          <w:rFonts w:ascii="Times New Roman" w:hAnsi="Times New Roman" w:cs="Times New Roman"/>
          <w:sz w:val="24"/>
          <w:szCs w:val="24"/>
        </w:rPr>
        <w:t>s</w:t>
      </w:r>
      <w:r w:rsidRPr="003A7E02">
        <w:rPr>
          <w:rStyle w:val="IntenseReference"/>
          <w:rFonts w:ascii="Times New Roman" w:hAnsi="Times New Roman" w:cs="Times New Roman"/>
          <w:sz w:val="24"/>
          <w:szCs w:val="24"/>
        </w:rPr>
        <w:t xml:space="preserve"> on probleemiks tööjõu vananemine</w:t>
      </w:r>
      <w:r w:rsidR="00BE7F4D" w:rsidRPr="003A7E02">
        <w:rPr>
          <w:rStyle w:val="IntenseReference"/>
          <w:rFonts w:ascii="Times New Roman" w:hAnsi="Times New Roman" w:cs="Times New Roman"/>
          <w:sz w:val="24"/>
          <w:szCs w:val="24"/>
        </w:rPr>
        <w:t>,</w:t>
      </w:r>
      <w:r w:rsidRPr="003A7E02">
        <w:rPr>
          <w:rStyle w:val="IntenseReference"/>
          <w:rFonts w:ascii="Times New Roman" w:hAnsi="Times New Roman" w:cs="Times New Roman"/>
          <w:sz w:val="24"/>
          <w:szCs w:val="24"/>
        </w:rPr>
        <w:t xml:space="preserve"> </w:t>
      </w:r>
      <w:r w:rsidR="00BE7F4D" w:rsidRPr="003A7E02">
        <w:rPr>
          <w:rStyle w:val="IntenseReference"/>
          <w:rFonts w:ascii="Times New Roman" w:hAnsi="Times New Roman" w:cs="Times New Roman"/>
          <w:sz w:val="24"/>
          <w:szCs w:val="24"/>
        </w:rPr>
        <w:t>oskustööliste ja kõrgteadmistega konsulentide vähesus</w:t>
      </w:r>
      <w:r w:rsidR="00751ADD" w:rsidRPr="003A7E02">
        <w:rPr>
          <w:rStyle w:val="IntenseReference"/>
          <w:rFonts w:ascii="Times New Roman" w:hAnsi="Times New Roman" w:cs="Times New Roman"/>
          <w:sz w:val="24"/>
          <w:szCs w:val="24"/>
        </w:rPr>
        <w:t xml:space="preserve"> ning nõuandeteenuse kallidus. </w:t>
      </w:r>
      <w:r w:rsidR="00BE0F19" w:rsidRPr="003A7E02">
        <w:rPr>
          <w:rStyle w:val="IntenseReference"/>
          <w:rFonts w:ascii="Times New Roman" w:hAnsi="Times New Roman" w:cs="Times New Roman"/>
          <w:sz w:val="24"/>
          <w:szCs w:val="24"/>
        </w:rPr>
        <w:t xml:space="preserve">innovaatilise põllumajandusteaduse </w:t>
      </w:r>
      <w:r w:rsidR="00C84986" w:rsidRPr="003A7E02">
        <w:rPr>
          <w:rStyle w:val="IntenseReference"/>
          <w:rFonts w:ascii="Times New Roman" w:hAnsi="Times New Roman" w:cs="Times New Roman"/>
          <w:sz w:val="24"/>
          <w:szCs w:val="24"/>
        </w:rPr>
        <w:t>tagamiseks</w:t>
      </w:r>
      <w:r w:rsidR="00BE0F19" w:rsidRPr="003A7E02">
        <w:rPr>
          <w:rStyle w:val="IntenseReference"/>
          <w:rFonts w:ascii="Times New Roman" w:hAnsi="Times New Roman" w:cs="Times New Roman"/>
          <w:sz w:val="24"/>
          <w:szCs w:val="24"/>
        </w:rPr>
        <w:t xml:space="preserve"> on vaja jätkata kaasaegse materiaal-tehnilise baasi  arendamisega ning </w:t>
      </w:r>
      <w:r w:rsidR="002D7B7A" w:rsidRPr="003A7E02">
        <w:rPr>
          <w:rStyle w:val="IntenseReference"/>
          <w:rFonts w:ascii="Times New Roman" w:hAnsi="Times New Roman" w:cs="Times New Roman"/>
          <w:sz w:val="24"/>
          <w:szCs w:val="24"/>
        </w:rPr>
        <w:t>rahvusvahelis</w:t>
      </w:r>
      <w:r w:rsidR="00BE0F19" w:rsidRPr="003A7E02">
        <w:rPr>
          <w:rStyle w:val="IntenseReference"/>
          <w:rFonts w:ascii="Times New Roman" w:hAnsi="Times New Roman" w:cs="Times New Roman"/>
          <w:sz w:val="24"/>
          <w:szCs w:val="24"/>
        </w:rPr>
        <w:t>e põllumajandusteadus</w:t>
      </w:r>
      <w:r w:rsidR="002D7B7A" w:rsidRPr="003A7E02">
        <w:rPr>
          <w:rStyle w:val="IntenseReference"/>
          <w:rFonts w:ascii="Times New Roman" w:hAnsi="Times New Roman" w:cs="Times New Roman"/>
          <w:sz w:val="24"/>
          <w:szCs w:val="24"/>
        </w:rPr>
        <w:t>e</w:t>
      </w:r>
      <w:r w:rsidR="00BE0F19" w:rsidRPr="003A7E02">
        <w:rPr>
          <w:rStyle w:val="IntenseReference"/>
          <w:rFonts w:ascii="Times New Roman" w:hAnsi="Times New Roman" w:cs="Times New Roman"/>
          <w:sz w:val="24"/>
          <w:szCs w:val="24"/>
        </w:rPr>
        <w:t xml:space="preserve"> </w:t>
      </w:r>
      <w:r w:rsidR="00C84986" w:rsidRPr="003A7E02">
        <w:rPr>
          <w:rStyle w:val="IntenseReference"/>
          <w:rFonts w:ascii="Times New Roman" w:hAnsi="Times New Roman" w:cs="Times New Roman"/>
          <w:sz w:val="24"/>
          <w:szCs w:val="24"/>
        </w:rPr>
        <w:t>integreerumisega</w:t>
      </w:r>
      <w:r w:rsidR="00BE0F19" w:rsidRPr="003A7E02">
        <w:rPr>
          <w:rStyle w:val="IntenseReference"/>
          <w:rFonts w:ascii="Times New Roman" w:hAnsi="Times New Roman" w:cs="Times New Roman"/>
          <w:sz w:val="24"/>
          <w:szCs w:val="24"/>
        </w:rPr>
        <w:t xml:space="preserve"> </w:t>
      </w:r>
      <w:r w:rsidR="00C84986" w:rsidRPr="003A7E02">
        <w:rPr>
          <w:rStyle w:val="IntenseReference"/>
          <w:rFonts w:ascii="Times New Roman" w:hAnsi="Times New Roman" w:cs="Times New Roman"/>
          <w:sz w:val="24"/>
          <w:szCs w:val="24"/>
        </w:rPr>
        <w:t>eestisse.</w:t>
      </w:r>
      <w:r w:rsidR="00C84986">
        <w:rPr>
          <w:rStyle w:val="IntenseReference"/>
          <w:rFonts w:ascii="Times New Roman" w:hAnsi="Times New Roman" w:cs="Times New Roman"/>
          <w:sz w:val="24"/>
          <w:szCs w:val="24"/>
        </w:rPr>
        <w:t xml:space="preserve"> </w:t>
      </w:r>
    </w:p>
    <w:p w:rsidR="00186EAB" w:rsidRPr="0024503A" w:rsidRDefault="00186EAB" w:rsidP="00186EAB">
      <w:pPr>
        <w:pStyle w:val="Heading3"/>
        <w:spacing w:line="276" w:lineRule="auto"/>
        <w:rPr>
          <w:rFonts w:ascii="Times New Roman" w:hAnsi="Times New Roman" w:cs="Times New Roman"/>
          <w:b w:val="0"/>
        </w:rPr>
      </w:pPr>
      <w:bookmarkStart w:id="693" w:name="_Toc385253772"/>
      <w:bookmarkStart w:id="694" w:name="_Toc385335144"/>
      <w:bookmarkStart w:id="695" w:name="_Toc389128813"/>
      <w:bookmarkStart w:id="696" w:name="_Toc389131360"/>
      <w:bookmarkStart w:id="697" w:name="_Toc389223895"/>
      <w:bookmarkStart w:id="698" w:name="_Toc389223957"/>
      <w:bookmarkStart w:id="699" w:name="_Toc391908889"/>
      <w:bookmarkStart w:id="700" w:name="_Toc391991823"/>
      <w:bookmarkStart w:id="701" w:name="_Toc397593043"/>
      <w:bookmarkStart w:id="702" w:name="_Toc398896338"/>
      <w:bookmarkStart w:id="703" w:name="_Toc398896478"/>
      <w:bookmarkStart w:id="704" w:name="_Toc400972850"/>
      <w:r w:rsidRPr="0024503A">
        <w:rPr>
          <w:rFonts w:ascii="Times New Roman" w:hAnsi="Times New Roman" w:cs="Times New Roman"/>
        </w:rPr>
        <w:t>Haridus</w:t>
      </w:r>
      <w:bookmarkEnd w:id="693"/>
      <w:bookmarkEnd w:id="694"/>
      <w:bookmarkEnd w:id="695"/>
      <w:bookmarkEnd w:id="696"/>
      <w:bookmarkEnd w:id="697"/>
      <w:bookmarkEnd w:id="698"/>
      <w:bookmarkEnd w:id="699"/>
      <w:bookmarkEnd w:id="700"/>
      <w:bookmarkEnd w:id="701"/>
      <w:bookmarkEnd w:id="702"/>
      <w:bookmarkEnd w:id="703"/>
      <w:bookmarkEnd w:id="704"/>
    </w:p>
    <w:p w:rsidR="00186EAB" w:rsidRPr="0024503A" w:rsidRDefault="00186EAB" w:rsidP="00186EAB">
      <w:pPr>
        <w:spacing w:line="276" w:lineRule="auto"/>
        <w:jc w:val="both"/>
        <w:rPr>
          <w:rFonts w:ascii="Times New Roman" w:hAnsi="Times New Roman" w:cs="Times New Roman"/>
          <w:sz w:val="24"/>
          <w:szCs w:val="24"/>
        </w:rPr>
      </w:pPr>
    </w:p>
    <w:p w:rsidR="00186EAB" w:rsidRPr="0024503A" w:rsidRDefault="00186EAB" w:rsidP="00186EAB">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2010. aasta uuringust Tööjõu kompetentside ja oskuste taseme ning tööturu vajaduste väljaselgitamine põllumajandus-, toidu- ja metsandussektoris</w:t>
      </w:r>
      <w:r w:rsidRPr="0024503A">
        <w:rPr>
          <w:rStyle w:val="FootnoteReference"/>
          <w:rFonts w:ascii="Times New Roman" w:hAnsi="Times New Roman" w:cs="Times New Roman"/>
          <w:sz w:val="24"/>
          <w:szCs w:val="24"/>
        </w:rPr>
        <w:footnoteReference w:id="20"/>
      </w:r>
      <w:r w:rsidRPr="0024503A">
        <w:rPr>
          <w:rFonts w:ascii="Times New Roman" w:hAnsi="Times New Roman" w:cs="Times New Roman"/>
          <w:sz w:val="24"/>
          <w:szCs w:val="24"/>
        </w:rPr>
        <w:t xml:space="preserve">  järeldub, et sõltumata ettevõtte suurusest suureneb oskustööliste ja juhtide/spetsialistide vajadus ning väheneb vajadus lihttööliste ja „kõik-ühes” töötajate järgi. Üks tööjõunõudluse suurenemise põhjuseid on </w:t>
      </w:r>
      <w:r w:rsidRPr="00321EB3">
        <w:rPr>
          <w:rFonts w:ascii="Times New Roman" w:hAnsi="Times New Roman" w:cs="Times New Roman"/>
          <w:sz w:val="24"/>
          <w:szCs w:val="24"/>
        </w:rPr>
        <w:t>tööjõu vananemine</w:t>
      </w:r>
      <w:r w:rsidR="00321EB3">
        <w:rPr>
          <w:rFonts w:ascii="Times New Roman" w:hAnsi="Times New Roman" w:cs="Times New Roman"/>
          <w:sz w:val="24"/>
          <w:szCs w:val="24"/>
        </w:rPr>
        <w:t xml:space="preserve"> (ü</w:t>
      </w:r>
      <w:r w:rsidR="00321EB3" w:rsidRPr="00321EB3">
        <w:rPr>
          <w:rFonts w:ascii="Times New Roman" w:hAnsi="Times New Roman" w:cs="Times New Roman"/>
          <w:sz w:val="24"/>
          <w:szCs w:val="24"/>
        </w:rPr>
        <w:t>le 50-aastaste osakaal põllu</w:t>
      </w:r>
      <w:r w:rsidR="0063061A">
        <w:rPr>
          <w:rFonts w:ascii="Times New Roman" w:hAnsi="Times New Roman" w:cs="Times New Roman"/>
          <w:sz w:val="24"/>
          <w:szCs w:val="24"/>
        </w:rPr>
        <w:t>- ja metsamajandussektoris</w:t>
      </w:r>
      <w:r w:rsidR="00321EB3" w:rsidRPr="00321EB3">
        <w:rPr>
          <w:rFonts w:ascii="Times New Roman" w:hAnsi="Times New Roman" w:cs="Times New Roman"/>
          <w:sz w:val="24"/>
          <w:szCs w:val="24"/>
        </w:rPr>
        <w:t xml:space="preserve"> on üle 30</w:t>
      </w:r>
      <w:r w:rsidR="00321EB3" w:rsidRPr="0088024E">
        <w:rPr>
          <w:rFonts w:ascii="Times New Roman" w:hAnsi="Times New Roman" w:cs="Times New Roman"/>
          <w:sz w:val="24"/>
          <w:szCs w:val="24"/>
        </w:rPr>
        <w:t>%</w:t>
      </w:r>
      <w:r w:rsidR="00136182" w:rsidRPr="0088024E">
        <w:rPr>
          <w:rFonts w:ascii="Times New Roman" w:hAnsi="Times New Roman" w:cs="Times New Roman"/>
          <w:sz w:val="24"/>
          <w:szCs w:val="24"/>
        </w:rPr>
        <w:t xml:space="preserve">). </w:t>
      </w:r>
      <w:r w:rsidRPr="0088024E">
        <w:rPr>
          <w:rFonts w:ascii="Times New Roman" w:hAnsi="Times New Roman" w:cs="Times New Roman"/>
          <w:sz w:val="24"/>
          <w:szCs w:val="24"/>
        </w:rPr>
        <w:t>Põllu- ja metsamajandussektoris hõivatud ligi 24 tuhat inimest moodustab 4% üldisest tööhõivest.</w:t>
      </w:r>
      <w:r w:rsidRPr="0024503A">
        <w:rPr>
          <w:rFonts w:ascii="Times New Roman" w:hAnsi="Times New Roman" w:cs="Times New Roman"/>
          <w:sz w:val="24"/>
          <w:szCs w:val="24"/>
        </w:rPr>
        <w:t xml:space="preserve"> Toiduainete- ja joogitootmises on hõivatuid 15 tuhat, s.o. 2,6% üldisest hõivest. Põllumajandussektoris püsis hõive vaatamata majanduslangusele stabiilsena. Majandus- ja Kommunikatsiooniministeeriumi prognoos ennustab hõive vähenemist põllumajanduses lähikümnendil ca tuhande inimese võrra ja hõive püsimist toidutööstuses 17 tuhande</w:t>
      </w:r>
      <w:r w:rsidR="00A70E8F">
        <w:rPr>
          <w:rFonts w:ascii="Times New Roman" w:hAnsi="Times New Roman" w:cs="Times New Roman"/>
          <w:sz w:val="24"/>
          <w:szCs w:val="24"/>
        </w:rPr>
        <w:t xml:space="preserve"> hõivatu</w:t>
      </w:r>
      <w:r w:rsidRPr="0024503A">
        <w:rPr>
          <w:rFonts w:ascii="Times New Roman" w:hAnsi="Times New Roman" w:cs="Times New Roman"/>
          <w:sz w:val="24"/>
          <w:szCs w:val="24"/>
        </w:rPr>
        <w:t xml:space="preserve"> juures. Tegutsevates põllumajandusettevõtetes püsib uuringu andmetel tööjõuvajadus 2020. aastani praegusel tasemel, üldine hõive vähenemine toimub tootmise lõpetajate arvelt, keda 2020. aastaks võib võrreldes 2010. aastaga olla kuni 10%. Teatavat mõju hõive vähenemisele avaldab ka tehnoloogia areng. Põllumajandussektoris tunnevad tööjõupuudust kuni 50% ettevõtetest oskustööliste osas ning kuni 17% juhtide ja spetsialistide osas. </w:t>
      </w:r>
    </w:p>
    <w:p w:rsidR="00186EAB" w:rsidRPr="0024503A" w:rsidRDefault="00186EAB" w:rsidP="00186EAB">
      <w:pPr>
        <w:spacing w:line="276" w:lineRule="auto"/>
        <w:jc w:val="both"/>
        <w:rPr>
          <w:rFonts w:ascii="Times New Roman" w:hAnsi="Times New Roman" w:cs="Times New Roman"/>
          <w:sz w:val="24"/>
          <w:szCs w:val="24"/>
        </w:rPr>
      </w:pPr>
    </w:p>
    <w:p w:rsidR="00186EAB" w:rsidRPr="0024503A" w:rsidRDefault="00186EAB" w:rsidP="00186EAB">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Tulevasest konkurentsivõimest rääkides on haridusega lahutamatult seotud innovatsioon ning uue tehnoloogia ja tehnika rakendamine.</w:t>
      </w:r>
      <w:r>
        <w:rPr>
          <w:rFonts w:ascii="Times New Roman" w:hAnsi="Times New Roman" w:cs="Times New Roman"/>
          <w:sz w:val="24"/>
          <w:szCs w:val="24"/>
        </w:rPr>
        <w:t xml:space="preserve"> </w:t>
      </w:r>
      <w:r w:rsidRPr="0024503A">
        <w:rPr>
          <w:rFonts w:ascii="Times New Roman" w:hAnsi="Times New Roman" w:cs="Times New Roman"/>
          <w:sz w:val="24"/>
          <w:szCs w:val="24"/>
        </w:rPr>
        <w:t xml:space="preserve">Maamajanduslikku kõrgharidust on võimalik omandada Eesti Maaülikoolis. </w:t>
      </w:r>
      <w:r w:rsidR="004C72B1" w:rsidRPr="004C72B1">
        <w:rPr>
          <w:rFonts w:ascii="Times New Roman" w:hAnsi="Times New Roman" w:cs="Times New Roman"/>
          <w:sz w:val="24"/>
          <w:szCs w:val="24"/>
        </w:rPr>
        <w:t xml:space="preserve">Ülikoolil on võtmeroll andmaks kvalifitseeritud tööjõule vajalikke kompetentse </w:t>
      </w:r>
      <w:r w:rsidR="004C72B1" w:rsidRPr="004C72B1">
        <w:rPr>
          <w:rFonts w:ascii="Times New Roman" w:hAnsi="Times New Roman" w:cs="Times New Roman"/>
          <w:sz w:val="24"/>
          <w:szCs w:val="24"/>
        </w:rPr>
        <w:lastRenderedPageBreak/>
        <w:t>säästvate tehnoloogiate kasutamiseks ning hoiakuid jätkusuutlikuks ning keskkonnahoidlikuks professionaalseks põllumajandustegevuseks</w:t>
      </w:r>
      <w:r>
        <w:rPr>
          <w:rFonts w:ascii="Times New Roman" w:hAnsi="Times New Roman" w:cs="Times New Roman"/>
          <w:sz w:val="24"/>
          <w:szCs w:val="24"/>
        </w:rPr>
        <w:t xml:space="preserve">, samuti </w:t>
      </w:r>
      <w:r w:rsidRPr="0024503A">
        <w:rPr>
          <w:rFonts w:ascii="Times New Roman" w:hAnsi="Times New Roman" w:cs="Times New Roman"/>
          <w:sz w:val="24"/>
          <w:szCs w:val="24"/>
        </w:rPr>
        <w:t>vastutus põllumajandusteadlaste ja -õppejõudude järelkasvu tagamise eest Eestis. Kuigi põllumajanduserialade kohtade täituvus kutseõppes on viimastel aastatel olnud rahuldav, sisenevad reaalselt tööturule neist hinnanguliselt 30</w:t>
      </w:r>
      <w:r w:rsidRPr="0024503A">
        <w:rPr>
          <w:rFonts w:ascii="Times New Roman" w:hAnsi="Times New Roman" w:cs="Times New Roman"/>
          <w:bCs/>
          <w:color w:val="000000"/>
          <w:sz w:val="24"/>
          <w:szCs w:val="24"/>
        </w:rPr>
        <w:t>–</w:t>
      </w:r>
      <w:r w:rsidRPr="0024503A">
        <w:rPr>
          <w:rFonts w:ascii="Times New Roman" w:hAnsi="Times New Roman" w:cs="Times New Roman"/>
          <w:sz w:val="24"/>
          <w:szCs w:val="24"/>
        </w:rPr>
        <w:t>40% ehk siis kokku ca 50</w:t>
      </w:r>
      <w:r w:rsidRPr="0024503A">
        <w:rPr>
          <w:rFonts w:ascii="Times New Roman" w:hAnsi="Times New Roman" w:cs="Times New Roman"/>
          <w:bCs/>
          <w:color w:val="000000"/>
          <w:sz w:val="24"/>
          <w:szCs w:val="24"/>
        </w:rPr>
        <w:t>–</w:t>
      </w:r>
      <w:r w:rsidRPr="0024503A">
        <w:rPr>
          <w:rFonts w:ascii="Times New Roman" w:hAnsi="Times New Roman" w:cs="Times New Roman"/>
          <w:sz w:val="24"/>
          <w:szCs w:val="24"/>
        </w:rPr>
        <w:t xml:space="preserve">70 inimest aastas, mis on peaaegu kümme korda vähem, kui oleks vaja </w:t>
      </w:r>
      <w:r w:rsidR="001726F0">
        <w:rPr>
          <w:rFonts w:ascii="Times New Roman" w:hAnsi="Times New Roman" w:cs="Times New Roman"/>
          <w:sz w:val="24"/>
          <w:szCs w:val="24"/>
        </w:rPr>
        <w:t>2020. aasta tööjõunõudluse rahuldamiseks</w:t>
      </w:r>
      <w:r w:rsidRPr="0024503A">
        <w:rPr>
          <w:rFonts w:ascii="Times New Roman" w:hAnsi="Times New Roman" w:cs="Times New Roman"/>
          <w:sz w:val="24"/>
          <w:szCs w:val="24"/>
        </w:rPr>
        <w:t xml:space="preserve">. </w:t>
      </w:r>
      <w:r w:rsidR="009403DE" w:rsidRPr="009403DE">
        <w:rPr>
          <w:rFonts w:ascii="Times New Roman" w:hAnsi="Times New Roman" w:cs="Times New Roman"/>
          <w:sz w:val="24"/>
          <w:szCs w:val="24"/>
        </w:rPr>
        <w:t>Maamajanduse erialade propageerimiseks makstakse nii praktika- kui õppetoetust ja korraldatakse kutsevõistluseid</w:t>
      </w:r>
      <w:r w:rsidRPr="0024503A">
        <w:rPr>
          <w:rFonts w:ascii="Times New Roman" w:hAnsi="Times New Roman" w:cs="Times New Roman"/>
          <w:sz w:val="24"/>
          <w:szCs w:val="24"/>
        </w:rPr>
        <w:t>.</w:t>
      </w:r>
    </w:p>
    <w:p w:rsidR="00186EAB" w:rsidRPr="0024503A" w:rsidRDefault="00186EAB" w:rsidP="00186EAB">
      <w:pPr>
        <w:spacing w:line="276" w:lineRule="auto"/>
        <w:jc w:val="both"/>
        <w:rPr>
          <w:rFonts w:ascii="Times New Roman" w:hAnsi="Times New Roman" w:cs="Times New Roman"/>
          <w:sz w:val="24"/>
          <w:szCs w:val="24"/>
        </w:rPr>
      </w:pPr>
    </w:p>
    <w:p w:rsidR="00186EAB" w:rsidRPr="0024503A" w:rsidRDefault="00186EAB" w:rsidP="00186EAB">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 xml:space="preserve">Tööandjatepoolse oskuste nõudluse ja vanema elanikkonna oskuste taseme </w:t>
      </w:r>
      <w:r>
        <w:rPr>
          <w:rFonts w:ascii="Times New Roman" w:hAnsi="Times New Roman" w:cs="Times New Roman"/>
          <w:sz w:val="24"/>
          <w:szCs w:val="24"/>
        </w:rPr>
        <w:t xml:space="preserve">vahe </w:t>
      </w:r>
      <w:r w:rsidRPr="0024503A">
        <w:rPr>
          <w:rFonts w:ascii="Times New Roman" w:hAnsi="Times New Roman" w:cs="Times New Roman"/>
          <w:sz w:val="24"/>
          <w:szCs w:val="24"/>
        </w:rPr>
        <w:t xml:space="preserve">tõttu on vajalik ka töötavate inimeste teadmiste ajakohastamine elukestva õppe käigus. Peamiseks kvalifitseeritud tööjõuga kindlustamise võimaluseks peetakse täiendkoolitusi ning 75% </w:t>
      </w:r>
      <w:r w:rsidR="00634BFF">
        <w:rPr>
          <w:rFonts w:ascii="Times New Roman" w:hAnsi="Times New Roman" w:cs="Times New Roman"/>
          <w:sz w:val="24"/>
          <w:szCs w:val="24"/>
        </w:rPr>
        <w:t>põllumajandus</w:t>
      </w:r>
      <w:r w:rsidRPr="0024503A">
        <w:rPr>
          <w:rFonts w:ascii="Times New Roman" w:hAnsi="Times New Roman" w:cs="Times New Roman"/>
          <w:sz w:val="24"/>
          <w:szCs w:val="24"/>
        </w:rPr>
        <w:t>ettevõtetest on töötajad viimase aasta jooksul täiendkoolitustel ka osalenud. Põllu- ja maamajanduse valdkonnas peaksid erinevad koolitus- ja teavitustegevused muuhulgas hõlmama nii majandamise kui ka maade hooldamise ja põllumajanduskeskkonnaga seotud küsimusi. Kõigis sektorites tuleks tähelepanu pöörata nii päevakajalistele koolitustele, mis kajas</w:t>
      </w:r>
      <w:r w:rsidR="00FC63CC">
        <w:rPr>
          <w:rFonts w:ascii="Times New Roman" w:hAnsi="Times New Roman" w:cs="Times New Roman"/>
          <w:sz w:val="24"/>
          <w:szCs w:val="24"/>
        </w:rPr>
        <w:t>taksid olulisi seadusemuudatusi ja</w:t>
      </w:r>
      <w:r w:rsidRPr="0024503A">
        <w:rPr>
          <w:rFonts w:ascii="Times New Roman" w:hAnsi="Times New Roman" w:cs="Times New Roman"/>
          <w:sz w:val="24"/>
          <w:szCs w:val="24"/>
        </w:rPr>
        <w:t xml:space="preserve"> toetustega seonduvat, kui baaskoolitustele, mis annavad teavet sektorite põhitegevuste kohta.</w:t>
      </w:r>
      <w:r>
        <w:rPr>
          <w:rFonts w:ascii="Times New Roman" w:hAnsi="Times New Roman" w:cs="Times New Roman"/>
          <w:sz w:val="24"/>
          <w:szCs w:val="24"/>
        </w:rPr>
        <w:t xml:space="preserve"> Põllumajandusteaduse tulemuste levitamiseks korraldatakse põllu- ja viljeluspäevi ning aastaseminare, toimivate praktikate tutvustamiseks künnipäevi ja viljelusvõistluseid.</w:t>
      </w:r>
    </w:p>
    <w:p w:rsidR="00186EAB" w:rsidRPr="0024503A" w:rsidRDefault="00186EAB" w:rsidP="00186EAB">
      <w:pPr>
        <w:pStyle w:val="Heading3"/>
        <w:spacing w:line="276" w:lineRule="auto"/>
        <w:rPr>
          <w:rFonts w:ascii="Times New Roman" w:hAnsi="Times New Roman" w:cs="Times New Roman"/>
          <w:b w:val="0"/>
        </w:rPr>
      </w:pPr>
      <w:bookmarkStart w:id="705" w:name="_Toc385253773"/>
      <w:bookmarkStart w:id="706" w:name="_Toc385335145"/>
      <w:bookmarkStart w:id="707" w:name="_Toc389128814"/>
      <w:bookmarkStart w:id="708" w:name="_Toc389131361"/>
      <w:bookmarkStart w:id="709" w:name="_Toc389223896"/>
      <w:bookmarkStart w:id="710" w:name="_Toc389223958"/>
      <w:bookmarkStart w:id="711" w:name="_Toc391908890"/>
      <w:bookmarkStart w:id="712" w:name="_Toc391991824"/>
      <w:bookmarkStart w:id="713" w:name="_Toc397593044"/>
      <w:bookmarkStart w:id="714" w:name="_Toc398896339"/>
      <w:bookmarkStart w:id="715" w:name="_Toc398896479"/>
      <w:bookmarkStart w:id="716" w:name="_Toc400972851"/>
      <w:r w:rsidRPr="0024503A">
        <w:rPr>
          <w:rFonts w:ascii="Times New Roman" w:hAnsi="Times New Roman" w:cs="Times New Roman"/>
        </w:rPr>
        <w:t>Teadus</w:t>
      </w:r>
      <w:bookmarkEnd w:id="705"/>
      <w:bookmarkEnd w:id="706"/>
      <w:bookmarkEnd w:id="707"/>
      <w:bookmarkEnd w:id="708"/>
      <w:bookmarkEnd w:id="709"/>
      <w:bookmarkEnd w:id="710"/>
      <w:bookmarkEnd w:id="711"/>
      <w:bookmarkEnd w:id="712"/>
      <w:bookmarkEnd w:id="713"/>
      <w:bookmarkEnd w:id="714"/>
      <w:bookmarkEnd w:id="715"/>
      <w:bookmarkEnd w:id="716"/>
    </w:p>
    <w:p w:rsidR="00186EAB" w:rsidRPr="0024503A" w:rsidRDefault="00186EAB" w:rsidP="00186EAB">
      <w:pPr>
        <w:spacing w:line="276" w:lineRule="auto"/>
        <w:jc w:val="both"/>
        <w:rPr>
          <w:rFonts w:ascii="Times New Roman" w:hAnsi="Times New Roman" w:cs="Times New Roman"/>
          <w:sz w:val="24"/>
          <w:szCs w:val="24"/>
        </w:rPr>
      </w:pPr>
    </w:p>
    <w:p w:rsidR="00186EAB" w:rsidRPr="0024503A" w:rsidRDefault="00186EAB" w:rsidP="00186EAB">
      <w:pPr>
        <w:spacing w:line="276" w:lineRule="auto"/>
        <w:jc w:val="both"/>
        <w:rPr>
          <w:rFonts w:ascii="Times New Roman" w:hAnsi="Times New Roman" w:cs="Times New Roman"/>
          <w:bCs/>
          <w:color w:val="000000"/>
          <w:sz w:val="24"/>
          <w:szCs w:val="24"/>
        </w:rPr>
      </w:pPr>
      <w:r w:rsidRPr="0024503A">
        <w:rPr>
          <w:rFonts w:ascii="Times New Roman" w:hAnsi="Times New Roman" w:cs="Times New Roman"/>
          <w:sz w:val="24"/>
          <w:szCs w:val="24"/>
        </w:rPr>
        <w:t xml:space="preserve">Teadus- ja arendustegevus on konkurentsivõime seisukohalt olulise tähtsusega, sest uuenduslikkusest, tootearendusest ja uutest teaduslahendustest sõltub ekspordivõimekus ja lisandväärtuse kasv. </w:t>
      </w:r>
      <w:r w:rsidR="002E4219" w:rsidRPr="002E4219">
        <w:rPr>
          <w:rFonts w:ascii="Times New Roman" w:hAnsi="Times New Roman" w:cs="Times New Roman"/>
          <w:sz w:val="24"/>
          <w:szCs w:val="24"/>
        </w:rPr>
        <w:t>Eesti ja rahvusvaheline põllum</w:t>
      </w:r>
      <w:r w:rsidR="00355F7E">
        <w:rPr>
          <w:rFonts w:ascii="Times New Roman" w:hAnsi="Times New Roman" w:cs="Times New Roman"/>
          <w:sz w:val="24"/>
          <w:szCs w:val="24"/>
        </w:rPr>
        <w:t xml:space="preserve">ajandusteadus peavad olema </w:t>
      </w:r>
      <w:proofErr w:type="spellStart"/>
      <w:r w:rsidR="00355F7E">
        <w:rPr>
          <w:rFonts w:ascii="Times New Roman" w:hAnsi="Times New Roman" w:cs="Times New Roman"/>
          <w:sz w:val="24"/>
          <w:szCs w:val="24"/>
        </w:rPr>
        <w:t>lõimu</w:t>
      </w:r>
      <w:r w:rsidR="002E4219" w:rsidRPr="002E4219">
        <w:rPr>
          <w:rFonts w:ascii="Times New Roman" w:hAnsi="Times New Roman" w:cs="Times New Roman"/>
          <w:sz w:val="24"/>
          <w:szCs w:val="24"/>
        </w:rPr>
        <w:t>nud</w:t>
      </w:r>
      <w:proofErr w:type="spellEnd"/>
      <w:r w:rsidR="002E4219" w:rsidRPr="002E4219">
        <w:rPr>
          <w:rFonts w:ascii="Times New Roman" w:hAnsi="Times New Roman" w:cs="Times New Roman"/>
          <w:sz w:val="24"/>
          <w:szCs w:val="24"/>
        </w:rPr>
        <w:t>, et pakkuda kohalikele tingimustele vastavaid parimaid teadmisi.</w:t>
      </w:r>
      <w:r w:rsidR="002E4219">
        <w:rPr>
          <w:rFonts w:ascii="Times New Roman" w:hAnsi="Times New Roman" w:cs="Times New Roman"/>
          <w:sz w:val="24"/>
          <w:szCs w:val="24"/>
        </w:rPr>
        <w:t xml:space="preserve"> </w:t>
      </w:r>
      <w:r w:rsidRPr="0024503A">
        <w:rPr>
          <w:rFonts w:ascii="Times New Roman" w:hAnsi="Times New Roman" w:cs="Times New Roman"/>
          <w:sz w:val="24"/>
          <w:szCs w:val="24"/>
        </w:rPr>
        <w:t xml:space="preserve">Põllumajandusteaduse konkurentsivõime ja efektiivsuse tõstmiseks on vajalik kaasaegse </w:t>
      </w:r>
      <w:r w:rsidRPr="0024503A">
        <w:rPr>
          <w:rFonts w:ascii="Times New Roman" w:hAnsi="Times New Roman" w:cs="Times New Roman"/>
          <w:noProof/>
          <w:sz w:val="24"/>
          <w:szCs w:val="24"/>
        </w:rPr>
        <w:t>taristu</w:t>
      </w:r>
      <w:r w:rsidRPr="0024503A">
        <w:rPr>
          <w:rFonts w:ascii="Times New Roman" w:hAnsi="Times New Roman" w:cs="Times New Roman"/>
          <w:sz w:val="24"/>
          <w:szCs w:val="24"/>
        </w:rPr>
        <w:t xml:space="preserve"> ja materiaal-tehnilise baasi olemasolu. Innovatsiooni ja teadmistebaasi arengule aitavad kaasa mitmed ülikoolid (Eesti Maaülikool, Tallinna Tehnikaülikool, Tartu Ülikool) ja teadusasutuste (Eesti Taimekasvatuse Instituut) juures asuvad keskused, katsejaamad ja -farmid.</w:t>
      </w:r>
      <w:r w:rsidRPr="0024503A">
        <w:rPr>
          <w:rFonts w:ascii="Times New Roman" w:hAnsi="Times New Roman" w:cs="Times New Roman"/>
          <w:bCs/>
          <w:color w:val="000000"/>
          <w:sz w:val="24"/>
          <w:szCs w:val="24"/>
        </w:rPr>
        <w:t xml:space="preserve"> Taimekasvatuse alane teaduslik ekspertiis on oluliseks toeks nõuandesüsteemile, õigusloomele ja riiklikule järelevalvele. </w:t>
      </w:r>
    </w:p>
    <w:p w:rsidR="00186EAB" w:rsidRPr="0024503A" w:rsidRDefault="00186EAB" w:rsidP="00186EAB">
      <w:pPr>
        <w:spacing w:line="276" w:lineRule="auto"/>
        <w:jc w:val="both"/>
        <w:rPr>
          <w:rFonts w:ascii="Times New Roman" w:hAnsi="Times New Roman" w:cs="Times New Roman"/>
          <w:bCs/>
          <w:color w:val="000000"/>
          <w:sz w:val="24"/>
          <w:szCs w:val="24"/>
        </w:rPr>
      </w:pPr>
    </w:p>
    <w:p w:rsidR="00186EAB" w:rsidRDefault="00186EAB" w:rsidP="00186EAB">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 xml:space="preserve">2011. aastal toimus esmakordselt põllumajandusvaldkonna taime- ja mullateaduse </w:t>
      </w:r>
      <w:r w:rsidRPr="0024503A">
        <w:rPr>
          <w:rFonts w:ascii="Times New Roman" w:hAnsi="Times New Roman" w:cs="Times New Roman"/>
          <w:noProof/>
          <w:sz w:val="24"/>
          <w:szCs w:val="24"/>
        </w:rPr>
        <w:t>sihtevalveerimine</w:t>
      </w:r>
      <w:r w:rsidRPr="0024503A">
        <w:rPr>
          <w:rStyle w:val="FootnoteReference"/>
          <w:rFonts w:ascii="Times New Roman" w:hAnsi="Times New Roman" w:cs="Times New Roman"/>
          <w:sz w:val="24"/>
          <w:szCs w:val="24"/>
        </w:rPr>
        <w:footnoteReference w:id="21"/>
      </w:r>
      <w:r w:rsidRPr="0024503A">
        <w:rPr>
          <w:rFonts w:ascii="Times New Roman" w:hAnsi="Times New Roman" w:cs="Times New Roman"/>
          <w:sz w:val="24"/>
          <w:szCs w:val="24"/>
        </w:rPr>
        <w:t>, mille eesmärgiks oli saada teavet nimetatud teadusvaldkonna taseme, tulemuslikkuse ja mõju kohta. Aruandes rõhutati põllumajandusteadusele senisest selgemate ülesannete esitamise vajadust. Lisaks toodi puudusena välja teadus- ja arendusasutuste vähene baasfinantseerimine, huvirühmade vähene kaasatus ning nõuandesüsteemi vähene panustamine ja kaasamine teadustulemuste avalikustamisse.</w:t>
      </w:r>
      <w:r w:rsidRPr="0024503A">
        <w:rPr>
          <w:rFonts w:ascii="Times New Roman" w:hAnsi="Times New Roman" w:cs="Times New Roman"/>
          <w:sz w:val="24"/>
          <w:szCs w:val="24"/>
        </w:rPr>
        <w:softHyphen/>
      </w:r>
    </w:p>
    <w:p w:rsidR="00186EAB" w:rsidRPr="0024503A" w:rsidRDefault="00186EAB" w:rsidP="00186EAB">
      <w:pPr>
        <w:spacing w:line="276" w:lineRule="auto"/>
        <w:jc w:val="both"/>
        <w:rPr>
          <w:rFonts w:ascii="Times New Roman" w:hAnsi="Times New Roman" w:cs="Times New Roman"/>
          <w:bCs/>
          <w:color w:val="000000"/>
          <w:sz w:val="24"/>
          <w:szCs w:val="24"/>
        </w:rPr>
      </w:pPr>
    </w:p>
    <w:p w:rsidR="00B05105" w:rsidRPr="00F15556" w:rsidRDefault="00186EAB" w:rsidP="00186EAB">
      <w:pPr>
        <w:spacing w:line="276" w:lineRule="auto"/>
        <w:jc w:val="both"/>
        <w:rPr>
          <w:rStyle w:val="BookTitle"/>
          <w:rFonts w:ascii="Times New Roman" w:hAnsi="Times New Roman" w:cs="Times New Roman"/>
          <w:i w:val="0"/>
          <w:sz w:val="24"/>
          <w:szCs w:val="24"/>
        </w:rPr>
      </w:pPr>
      <w:r w:rsidRPr="0024503A">
        <w:rPr>
          <w:rStyle w:val="BookTitle"/>
          <w:rFonts w:ascii="Times New Roman" w:hAnsi="Times New Roman" w:cs="Times New Roman"/>
          <w:i w:val="0"/>
          <w:sz w:val="24"/>
          <w:szCs w:val="24"/>
        </w:rPr>
        <w:t>Teadusuuringud</w:t>
      </w:r>
    </w:p>
    <w:p w:rsidR="00186EAB" w:rsidRDefault="00186EAB" w:rsidP="00186EAB">
      <w:pPr>
        <w:spacing w:line="276" w:lineRule="auto"/>
        <w:jc w:val="both"/>
        <w:rPr>
          <w:rFonts w:ascii="Times New Roman" w:hAnsi="Times New Roman" w:cs="Times New Roman"/>
          <w:color w:val="000000"/>
          <w:sz w:val="24"/>
          <w:szCs w:val="24"/>
        </w:rPr>
      </w:pPr>
      <w:r w:rsidRPr="0024503A">
        <w:rPr>
          <w:rFonts w:ascii="Times New Roman" w:hAnsi="Times New Roman" w:cs="Times New Roman"/>
          <w:sz w:val="24"/>
          <w:szCs w:val="24"/>
        </w:rPr>
        <w:lastRenderedPageBreak/>
        <w:t xml:space="preserve">Arengukava </w:t>
      </w:r>
      <w:r w:rsidR="00595BDE" w:rsidRPr="00595BDE">
        <w:rPr>
          <w:rFonts w:ascii="Times New Roman" w:hAnsi="Times New Roman" w:cs="Times New Roman"/>
          <w:bCs/>
          <w:sz w:val="24"/>
          <w:szCs w:val="24"/>
        </w:rPr>
        <w:t>„</w:t>
      </w:r>
      <w:r w:rsidRPr="0024503A">
        <w:rPr>
          <w:rFonts w:ascii="Times New Roman" w:hAnsi="Times New Roman" w:cs="Times New Roman"/>
          <w:sz w:val="24"/>
          <w:szCs w:val="24"/>
        </w:rPr>
        <w:t>Põllumajanduskultuuride geneetilise ressursi kogumine ja säilitamine aastateks 2007</w:t>
      </w:r>
      <w:r w:rsidRPr="0024503A">
        <w:rPr>
          <w:rFonts w:ascii="Times New Roman" w:hAnsi="Times New Roman" w:cs="Times New Roman"/>
          <w:bCs/>
          <w:color w:val="000000"/>
          <w:sz w:val="24"/>
          <w:szCs w:val="24"/>
        </w:rPr>
        <w:t>–</w:t>
      </w:r>
      <w:r w:rsidRPr="0024503A">
        <w:rPr>
          <w:rFonts w:ascii="Times New Roman" w:hAnsi="Times New Roman" w:cs="Times New Roman"/>
          <w:sz w:val="24"/>
          <w:szCs w:val="24"/>
        </w:rPr>
        <w:t>2013”</w:t>
      </w:r>
      <w:r w:rsidRPr="0024503A">
        <w:rPr>
          <w:rFonts w:ascii="Times New Roman" w:hAnsi="Times New Roman" w:cs="Times New Roman"/>
          <w:b/>
          <w:sz w:val="24"/>
          <w:szCs w:val="24"/>
        </w:rPr>
        <w:t xml:space="preserve"> </w:t>
      </w:r>
      <w:r w:rsidRPr="0024503A">
        <w:rPr>
          <w:rFonts w:ascii="Times New Roman" w:hAnsi="Times New Roman" w:cs="Times New Roman"/>
          <w:sz w:val="24"/>
          <w:szCs w:val="24"/>
        </w:rPr>
        <w:t xml:space="preserve">raames oli 01. juuli 2013. aasta </w:t>
      </w:r>
      <w:r w:rsidRPr="0024503A">
        <w:rPr>
          <w:rFonts w:ascii="Times New Roman" w:hAnsi="Times New Roman" w:cs="Times New Roman"/>
          <w:noProof/>
          <w:sz w:val="24"/>
          <w:szCs w:val="24"/>
        </w:rPr>
        <w:t xml:space="preserve">seisuga </w:t>
      </w:r>
      <w:r w:rsidRPr="0024503A">
        <w:rPr>
          <w:rFonts w:ascii="Times New Roman" w:hAnsi="Times New Roman" w:cs="Times New Roman"/>
          <w:i/>
          <w:iCs/>
          <w:noProof/>
          <w:sz w:val="24"/>
          <w:szCs w:val="24"/>
        </w:rPr>
        <w:t>ex situ</w:t>
      </w:r>
      <w:r w:rsidRPr="0024503A">
        <w:rPr>
          <w:rFonts w:ascii="Times New Roman" w:hAnsi="Times New Roman" w:cs="Times New Roman"/>
          <w:noProof/>
          <w:sz w:val="24"/>
          <w:szCs w:val="24"/>
        </w:rPr>
        <w:t xml:space="preserve"> geenipangas</w:t>
      </w:r>
      <w:r w:rsidRPr="0024503A">
        <w:rPr>
          <w:rFonts w:ascii="Times New Roman" w:hAnsi="Times New Roman" w:cs="Times New Roman"/>
          <w:sz w:val="24"/>
          <w:szCs w:val="24"/>
        </w:rPr>
        <w:t xml:space="preserve"> pikaajalisel säilimisel 2788 säilikust 922 teravilja ning 444 õlikultuuride säilikut. Lisaks </w:t>
      </w:r>
      <w:r w:rsidRPr="0024503A">
        <w:rPr>
          <w:rFonts w:ascii="Times New Roman" w:hAnsi="Times New Roman" w:cs="Times New Roman"/>
          <w:color w:val="000000"/>
          <w:sz w:val="24"/>
          <w:szCs w:val="24"/>
        </w:rPr>
        <w:t xml:space="preserve">osaleb Eesti taimede geneetiliste ressursside Euroopa koostööprogrammi </w:t>
      </w:r>
      <w:r w:rsidRPr="0024503A">
        <w:rPr>
          <w:rFonts w:ascii="Times New Roman" w:hAnsi="Times New Roman" w:cs="Times New Roman"/>
          <w:sz w:val="24"/>
          <w:szCs w:val="24"/>
        </w:rPr>
        <w:t>ECPGR</w:t>
      </w:r>
      <w:r w:rsidRPr="0024503A">
        <w:rPr>
          <w:rFonts w:ascii="Times New Roman" w:hAnsi="Times New Roman" w:cs="Times New Roman"/>
          <w:color w:val="000000"/>
          <w:sz w:val="24"/>
          <w:szCs w:val="24"/>
        </w:rPr>
        <w:t xml:space="preserve"> (</w:t>
      </w:r>
      <w:proofErr w:type="spellStart"/>
      <w:r w:rsidRPr="0024503A">
        <w:rPr>
          <w:rFonts w:ascii="Times New Roman" w:hAnsi="Times New Roman" w:cs="Times New Roman"/>
          <w:noProof/>
          <w:color w:val="000000"/>
          <w:sz w:val="24"/>
          <w:szCs w:val="24"/>
        </w:rPr>
        <w:t>European</w:t>
      </w:r>
      <w:proofErr w:type="spellEnd"/>
      <w:r w:rsidRPr="0024503A">
        <w:rPr>
          <w:rFonts w:ascii="Times New Roman" w:hAnsi="Times New Roman" w:cs="Times New Roman"/>
          <w:noProof/>
          <w:color w:val="000000"/>
          <w:sz w:val="24"/>
          <w:szCs w:val="24"/>
        </w:rPr>
        <w:t xml:space="preserve"> Cooperative Programme for Plant</w:t>
      </w:r>
      <w:r w:rsidRPr="0024503A">
        <w:rPr>
          <w:rFonts w:ascii="Times New Roman" w:hAnsi="Times New Roman" w:cs="Times New Roman"/>
          <w:color w:val="000000"/>
          <w:sz w:val="24"/>
          <w:szCs w:val="24"/>
        </w:rPr>
        <w:t xml:space="preserve"> </w:t>
      </w:r>
      <w:r w:rsidRPr="0024503A">
        <w:rPr>
          <w:rFonts w:ascii="Times New Roman" w:hAnsi="Times New Roman" w:cs="Times New Roman"/>
          <w:noProof/>
          <w:color w:val="000000"/>
          <w:sz w:val="24"/>
          <w:szCs w:val="24"/>
        </w:rPr>
        <w:t>Genetic Resources</w:t>
      </w:r>
      <w:r w:rsidRPr="0024503A">
        <w:rPr>
          <w:rFonts w:ascii="Times New Roman" w:hAnsi="Times New Roman" w:cs="Times New Roman"/>
          <w:color w:val="000000"/>
          <w:sz w:val="24"/>
          <w:szCs w:val="24"/>
        </w:rPr>
        <w:t xml:space="preserve">) üheksas temaatilise võrgustiku töögrupis ja juhtkomitees (eraldi on loodud odra, nisu ja kaera töögrupid). </w:t>
      </w:r>
    </w:p>
    <w:p w:rsidR="00DA0D0E" w:rsidRPr="005B6C4E" w:rsidRDefault="00DA0D0E" w:rsidP="00186EAB">
      <w:pPr>
        <w:spacing w:line="276" w:lineRule="auto"/>
        <w:jc w:val="both"/>
        <w:rPr>
          <w:rFonts w:ascii="Times New Roman" w:hAnsi="Times New Roman" w:cs="Times New Roman"/>
          <w:bCs/>
          <w:color w:val="000000"/>
          <w:sz w:val="24"/>
          <w:szCs w:val="24"/>
        </w:rPr>
      </w:pPr>
    </w:p>
    <w:p w:rsidR="00186EAB" w:rsidRPr="0024503A" w:rsidRDefault="00186EAB" w:rsidP="00186EAB">
      <w:pPr>
        <w:spacing w:line="276" w:lineRule="auto"/>
        <w:jc w:val="both"/>
        <w:rPr>
          <w:rFonts w:ascii="Times New Roman" w:hAnsi="Times New Roman" w:cs="Times New Roman"/>
          <w:sz w:val="24"/>
          <w:szCs w:val="24"/>
        </w:rPr>
      </w:pPr>
      <w:r w:rsidRPr="0024503A">
        <w:rPr>
          <w:rFonts w:ascii="Times New Roman" w:hAnsi="Times New Roman" w:cs="Times New Roman"/>
          <w:bCs/>
          <w:color w:val="000000"/>
          <w:sz w:val="24"/>
          <w:szCs w:val="24"/>
        </w:rPr>
        <w:t xml:space="preserve">Riiklikus programmis </w:t>
      </w:r>
      <w:r w:rsidR="007C7B05" w:rsidRPr="007C7B05">
        <w:rPr>
          <w:rFonts w:ascii="Times New Roman" w:hAnsi="Times New Roman" w:cs="Times New Roman"/>
          <w:bCs/>
          <w:sz w:val="24"/>
          <w:szCs w:val="24"/>
        </w:rPr>
        <w:t>„</w:t>
      </w:r>
      <w:r w:rsidRPr="0024503A">
        <w:rPr>
          <w:rFonts w:ascii="Times New Roman" w:hAnsi="Times New Roman" w:cs="Times New Roman"/>
          <w:bCs/>
          <w:color w:val="000000"/>
          <w:sz w:val="24"/>
          <w:szCs w:val="24"/>
        </w:rPr>
        <w:t>Sordiaretusprogramm aastatel 2009–2019</w:t>
      </w:r>
      <w:r w:rsidRPr="007C7B05">
        <w:rPr>
          <w:rFonts w:ascii="Times New Roman" w:hAnsi="Times New Roman" w:cs="Times New Roman"/>
          <w:sz w:val="24"/>
          <w:szCs w:val="24"/>
        </w:rPr>
        <w:t>”</w:t>
      </w:r>
      <w:r w:rsidRPr="0024503A">
        <w:rPr>
          <w:rFonts w:ascii="Times New Roman" w:hAnsi="Times New Roman" w:cs="Times New Roman"/>
          <w:sz w:val="24"/>
          <w:szCs w:val="24"/>
        </w:rPr>
        <w:t xml:space="preserve"> jätk</w:t>
      </w:r>
      <w:r w:rsidR="00E16817">
        <w:rPr>
          <w:rFonts w:ascii="Times New Roman" w:hAnsi="Times New Roman" w:cs="Times New Roman"/>
          <w:sz w:val="24"/>
          <w:szCs w:val="24"/>
        </w:rPr>
        <w:t>atakse</w:t>
      </w:r>
      <w:r w:rsidRPr="0024503A">
        <w:rPr>
          <w:rFonts w:ascii="Times New Roman" w:hAnsi="Times New Roman" w:cs="Times New Roman"/>
          <w:sz w:val="24"/>
          <w:szCs w:val="24"/>
        </w:rPr>
        <w:t xml:space="preserve"> kõigi enamlevinud teraviljade (oder, kaer, suvinisu, talinisu, talirukis, </w:t>
      </w:r>
      <w:proofErr w:type="spellStart"/>
      <w:r w:rsidRPr="0024503A">
        <w:rPr>
          <w:rFonts w:ascii="Times New Roman" w:hAnsi="Times New Roman" w:cs="Times New Roman"/>
          <w:sz w:val="24"/>
          <w:szCs w:val="24"/>
        </w:rPr>
        <w:t>talitritik</w:t>
      </w:r>
      <w:proofErr w:type="spellEnd"/>
      <w:r w:rsidRPr="0024503A">
        <w:rPr>
          <w:rFonts w:ascii="Times New Roman" w:hAnsi="Times New Roman" w:cs="Times New Roman"/>
          <w:sz w:val="24"/>
          <w:szCs w:val="24"/>
        </w:rPr>
        <w:t>) sordi- ja säilitusaretusega. Aastatel 2011–2013 on aretatud 5 uut teraviljasorti</w:t>
      </w:r>
      <w:r>
        <w:rPr>
          <w:rFonts w:ascii="Times New Roman" w:hAnsi="Times New Roman" w:cs="Times New Roman"/>
          <w:sz w:val="24"/>
          <w:szCs w:val="24"/>
        </w:rPr>
        <w:t>,</w:t>
      </w:r>
      <w:r w:rsidRPr="00561503">
        <w:rPr>
          <w:rFonts w:ascii="Times New Roman" w:hAnsi="Times New Roman" w:cs="Times New Roman"/>
          <w:sz w:val="24"/>
          <w:szCs w:val="24"/>
        </w:rPr>
        <w:t xml:space="preserve"> </w:t>
      </w:r>
      <w:r w:rsidRPr="0024503A">
        <w:rPr>
          <w:rFonts w:ascii="Times New Roman" w:hAnsi="Times New Roman" w:cs="Times New Roman"/>
          <w:sz w:val="24"/>
          <w:szCs w:val="24"/>
        </w:rPr>
        <w:t xml:space="preserve">sh talinisu Kallas </w:t>
      </w:r>
      <w:r w:rsidRPr="0024503A">
        <w:rPr>
          <w:rFonts w:ascii="Times New Roman" w:hAnsi="Times New Roman" w:cs="Times New Roman"/>
          <w:noProof/>
          <w:sz w:val="24"/>
          <w:szCs w:val="24"/>
        </w:rPr>
        <w:t>ja Nemunas.</w:t>
      </w:r>
      <w:r w:rsidR="00FC63CC">
        <w:rPr>
          <w:rFonts w:ascii="Times New Roman" w:hAnsi="Times New Roman" w:cs="Times New Roman"/>
          <w:sz w:val="24"/>
          <w:szCs w:val="24"/>
        </w:rPr>
        <w:t xml:space="preserve"> </w:t>
      </w:r>
      <w:r w:rsidRPr="0024503A">
        <w:rPr>
          <w:rFonts w:ascii="Times New Roman" w:hAnsi="Times New Roman" w:cs="Times New Roman"/>
          <w:sz w:val="24"/>
          <w:szCs w:val="24"/>
        </w:rPr>
        <w:t xml:space="preserve">Õlikultuuridel tegeletakse </w:t>
      </w:r>
      <w:proofErr w:type="spellStart"/>
      <w:r w:rsidRPr="0024503A">
        <w:rPr>
          <w:rFonts w:ascii="Times New Roman" w:hAnsi="Times New Roman" w:cs="Times New Roman"/>
          <w:sz w:val="24"/>
          <w:szCs w:val="24"/>
        </w:rPr>
        <w:t>talirüpsi</w:t>
      </w:r>
      <w:proofErr w:type="spellEnd"/>
      <w:r w:rsidRPr="0024503A">
        <w:rPr>
          <w:rFonts w:ascii="Times New Roman" w:hAnsi="Times New Roman" w:cs="Times New Roman"/>
          <w:sz w:val="24"/>
          <w:szCs w:val="24"/>
        </w:rPr>
        <w:t xml:space="preserve"> sordiaretusega, 2013. aastal läbis riiklikud majanduskatsed uus </w:t>
      </w:r>
      <w:proofErr w:type="spellStart"/>
      <w:r w:rsidRPr="0024503A">
        <w:rPr>
          <w:rFonts w:ascii="Times New Roman" w:hAnsi="Times New Roman" w:cs="Times New Roman"/>
          <w:sz w:val="24"/>
          <w:szCs w:val="24"/>
        </w:rPr>
        <w:t>talirüpsisort</w:t>
      </w:r>
      <w:proofErr w:type="spellEnd"/>
      <w:r w:rsidRPr="0024503A">
        <w:rPr>
          <w:rFonts w:ascii="Times New Roman" w:hAnsi="Times New Roman" w:cs="Times New Roman"/>
          <w:sz w:val="24"/>
          <w:szCs w:val="24"/>
        </w:rPr>
        <w:t xml:space="preserve"> Legato. Kaunviljadel piirdub tegevus olemasolevate sortide säilitusaretusega. Sordiaretusprogrammi raames uuritakse kõigil kultuuridel ka enamlevinud sortide agrotehnilisi ja kvaliteediomadusi.</w:t>
      </w:r>
    </w:p>
    <w:p w:rsidR="00186EAB" w:rsidRPr="0024503A" w:rsidRDefault="00186EAB" w:rsidP="00186EAB">
      <w:pPr>
        <w:spacing w:line="276" w:lineRule="auto"/>
        <w:jc w:val="both"/>
        <w:rPr>
          <w:rFonts w:ascii="Times New Roman" w:hAnsi="Times New Roman" w:cs="Times New Roman"/>
          <w:color w:val="444444"/>
          <w:sz w:val="24"/>
          <w:szCs w:val="24"/>
        </w:rPr>
      </w:pPr>
    </w:p>
    <w:p w:rsidR="00186EAB" w:rsidRPr="0024503A" w:rsidRDefault="00186EAB" w:rsidP="00186EAB">
      <w:pPr>
        <w:spacing w:line="276" w:lineRule="auto"/>
        <w:jc w:val="both"/>
        <w:rPr>
          <w:rFonts w:ascii="Times New Roman" w:hAnsi="Times New Roman" w:cs="Times New Roman"/>
          <w:sz w:val="24"/>
          <w:szCs w:val="24"/>
        </w:rPr>
      </w:pPr>
      <w:r w:rsidRPr="0024503A">
        <w:rPr>
          <w:rFonts w:ascii="Times New Roman" w:hAnsi="Times New Roman" w:cs="Times New Roman"/>
          <w:color w:val="000000"/>
          <w:sz w:val="24"/>
          <w:szCs w:val="24"/>
        </w:rPr>
        <w:t xml:space="preserve">Riikliku programmi </w:t>
      </w:r>
      <w:r w:rsidR="007C7B05" w:rsidRPr="007C7B05">
        <w:rPr>
          <w:rFonts w:ascii="Times New Roman" w:hAnsi="Times New Roman" w:cs="Times New Roman"/>
          <w:bCs/>
          <w:sz w:val="24"/>
          <w:szCs w:val="24"/>
        </w:rPr>
        <w:t>„</w:t>
      </w:r>
      <w:r w:rsidRPr="0024503A">
        <w:rPr>
          <w:rFonts w:ascii="Times New Roman" w:hAnsi="Times New Roman" w:cs="Times New Roman"/>
          <w:color w:val="000000"/>
          <w:sz w:val="24"/>
          <w:szCs w:val="24"/>
        </w:rPr>
        <w:t>Põllumajanduslikud rakendusuuringud ja arendustegevus aastatel 2009</w:t>
      </w:r>
      <w:r w:rsidRPr="0024503A">
        <w:rPr>
          <w:rFonts w:ascii="Times New Roman" w:hAnsi="Times New Roman" w:cs="Times New Roman"/>
          <w:bCs/>
          <w:color w:val="000000"/>
          <w:sz w:val="24"/>
          <w:szCs w:val="24"/>
        </w:rPr>
        <w:t>–</w:t>
      </w:r>
      <w:r w:rsidRPr="0024503A">
        <w:rPr>
          <w:rFonts w:ascii="Times New Roman" w:hAnsi="Times New Roman" w:cs="Times New Roman"/>
          <w:color w:val="000000"/>
          <w:sz w:val="24"/>
          <w:szCs w:val="24"/>
        </w:rPr>
        <w:t>2014” raames on aastatel 2011–2013 rahastatud 18 teraviljakasvat</w:t>
      </w:r>
      <w:r w:rsidR="00CE18C9">
        <w:rPr>
          <w:rFonts w:ascii="Times New Roman" w:hAnsi="Times New Roman" w:cs="Times New Roman"/>
          <w:color w:val="000000"/>
          <w:sz w:val="24"/>
          <w:szCs w:val="24"/>
        </w:rPr>
        <w:t>usega seotud projekti (vt lisa 3</w:t>
      </w:r>
      <w:r w:rsidRPr="0024503A">
        <w:rPr>
          <w:rFonts w:ascii="Times New Roman" w:hAnsi="Times New Roman" w:cs="Times New Roman"/>
          <w:color w:val="000000"/>
          <w:sz w:val="24"/>
          <w:szCs w:val="24"/>
        </w:rPr>
        <w:t xml:space="preserve">). </w:t>
      </w:r>
      <w:r w:rsidRPr="0024503A">
        <w:rPr>
          <w:rFonts w:ascii="Times New Roman" w:hAnsi="Times New Roman" w:cs="Times New Roman"/>
          <w:sz w:val="24"/>
          <w:szCs w:val="24"/>
        </w:rPr>
        <w:t xml:space="preserve">Projektide temaatika hõlmab mullateadust, agrokeemiat ja väetamist, viljelustehnoloogiaid ja agrotehnikat, taimetervist ja -kaitset, põllumajandustootmise ökonoomikat, taimekasvatussaaduste kvaliteeti ning agrometeoroloogiat. </w:t>
      </w:r>
    </w:p>
    <w:p w:rsidR="00186EAB" w:rsidRPr="0024503A" w:rsidRDefault="00186EAB" w:rsidP="00186EAB">
      <w:pPr>
        <w:spacing w:line="276" w:lineRule="auto"/>
        <w:jc w:val="both"/>
        <w:rPr>
          <w:rFonts w:ascii="Times New Roman" w:hAnsi="Times New Roman" w:cs="Times New Roman"/>
          <w:sz w:val="24"/>
          <w:szCs w:val="24"/>
        </w:rPr>
      </w:pPr>
    </w:p>
    <w:p w:rsidR="00186EAB" w:rsidRPr="0024503A" w:rsidRDefault="001B6AEF" w:rsidP="00186EAB">
      <w:pPr>
        <w:spacing w:line="276" w:lineRule="auto"/>
        <w:jc w:val="both"/>
        <w:rPr>
          <w:rFonts w:ascii="Times New Roman" w:hAnsi="Times New Roman" w:cs="Times New Roman"/>
          <w:sz w:val="24"/>
          <w:szCs w:val="24"/>
        </w:rPr>
      </w:pPr>
      <w:r>
        <w:rPr>
          <w:rFonts w:ascii="Times New Roman" w:hAnsi="Times New Roman" w:cs="Times New Roman"/>
          <w:sz w:val="24"/>
          <w:szCs w:val="24"/>
        </w:rPr>
        <w:t>Käesoleval ajal</w:t>
      </w:r>
      <w:r w:rsidRPr="0024503A">
        <w:rPr>
          <w:rFonts w:ascii="Times New Roman" w:hAnsi="Times New Roman" w:cs="Times New Roman"/>
          <w:sz w:val="24"/>
          <w:szCs w:val="24"/>
        </w:rPr>
        <w:t xml:space="preserve"> </w:t>
      </w:r>
      <w:r w:rsidR="00186EAB" w:rsidRPr="0024503A">
        <w:rPr>
          <w:rFonts w:ascii="Times New Roman" w:hAnsi="Times New Roman" w:cs="Times New Roman"/>
          <w:sz w:val="24"/>
          <w:szCs w:val="24"/>
        </w:rPr>
        <w:t>ei toimu uuringuid haljaväetis- ja vahekultuuridega, kuid keskkonnahoidliku majandamise seisukohalt oleks see vajalik. Arvestades teravilja ja õlikultuuride suurt kasvupinda Eestis</w:t>
      </w:r>
      <w:r w:rsidR="00355F7E">
        <w:rPr>
          <w:rFonts w:ascii="Times New Roman" w:hAnsi="Times New Roman" w:cs="Times New Roman"/>
          <w:sz w:val="24"/>
          <w:szCs w:val="24"/>
        </w:rPr>
        <w:t>,</w:t>
      </w:r>
      <w:r w:rsidR="00186EAB" w:rsidRPr="0024503A">
        <w:rPr>
          <w:rFonts w:ascii="Times New Roman" w:hAnsi="Times New Roman" w:cs="Times New Roman"/>
          <w:sz w:val="24"/>
          <w:szCs w:val="24"/>
        </w:rPr>
        <w:t xml:space="preserve"> oleks vaja läbi viia kultuuripõhiseid väetamise alaseid uuringuid. Seoses põhjavee ja siseveekogude seirest laekuva informatsiooniga on vaja teha taimetoitainete leostumise alaseid uuringuid. </w:t>
      </w:r>
    </w:p>
    <w:p w:rsidR="00186EAB" w:rsidRPr="0024503A" w:rsidRDefault="00186EAB" w:rsidP="00186EAB">
      <w:pPr>
        <w:spacing w:line="276" w:lineRule="auto"/>
        <w:jc w:val="both"/>
        <w:rPr>
          <w:rFonts w:ascii="Times New Roman" w:hAnsi="Times New Roman" w:cs="Times New Roman"/>
          <w:sz w:val="24"/>
          <w:szCs w:val="24"/>
        </w:rPr>
      </w:pPr>
    </w:p>
    <w:p w:rsidR="00186EAB" w:rsidRPr="0024503A" w:rsidRDefault="00186EAB" w:rsidP="00186EAB">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 xml:space="preserve">Mullastiku seisukohalt vajavad põhjalikumat uurimist väetamise, mullaharimistehnoloogiate ja külvikordade pikaajalised mõjud. Senistes uuringutes on liialt vähe tegeletud õlikultuuride agrotehnika küsimustega, pikka aega ei ole uuritud kaunviljade agrotehnikat (sh põlduba), katteta on </w:t>
      </w:r>
      <w:r w:rsidR="001B6AEF">
        <w:rPr>
          <w:rFonts w:ascii="Times New Roman" w:hAnsi="Times New Roman" w:cs="Times New Roman"/>
          <w:sz w:val="24"/>
          <w:szCs w:val="24"/>
        </w:rPr>
        <w:t xml:space="preserve">seni Eestis </w:t>
      </w:r>
      <w:r w:rsidRPr="0024503A">
        <w:rPr>
          <w:rFonts w:ascii="Times New Roman" w:hAnsi="Times New Roman" w:cs="Times New Roman"/>
          <w:sz w:val="24"/>
          <w:szCs w:val="24"/>
        </w:rPr>
        <w:t xml:space="preserve">vähelevinud kultuuride (nt mais, tatar, sojauba, kanep, </w:t>
      </w:r>
      <w:proofErr w:type="spellStart"/>
      <w:r w:rsidRPr="0024503A">
        <w:rPr>
          <w:rFonts w:ascii="Times New Roman" w:hAnsi="Times New Roman" w:cs="Times New Roman"/>
          <w:sz w:val="24"/>
          <w:szCs w:val="24"/>
        </w:rPr>
        <w:t>spel</w:t>
      </w:r>
      <w:r w:rsidR="00A3223F">
        <w:rPr>
          <w:rFonts w:ascii="Times New Roman" w:hAnsi="Times New Roman" w:cs="Times New Roman"/>
          <w:sz w:val="24"/>
          <w:szCs w:val="24"/>
        </w:rPr>
        <w:t>ta</w:t>
      </w:r>
      <w:proofErr w:type="spellEnd"/>
      <w:r w:rsidR="00A3223F">
        <w:rPr>
          <w:rFonts w:ascii="Times New Roman" w:hAnsi="Times New Roman" w:cs="Times New Roman"/>
          <w:sz w:val="24"/>
          <w:szCs w:val="24"/>
        </w:rPr>
        <w:t xml:space="preserve"> jt) viljelus- ja agrotehnika</w:t>
      </w:r>
      <w:r w:rsidRPr="0024503A">
        <w:rPr>
          <w:rFonts w:ascii="Times New Roman" w:hAnsi="Times New Roman" w:cs="Times New Roman"/>
          <w:sz w:val="24"/>
          <w:szCs w:val="24"/>
        </w:rPr>
        <w:t xml:space="preserve">alased uuringud. </w:t>
      </w:r>
    </w:p>
    <w:p w:rsidR="00186EAB" w:rsidRPr="0024503A" w:rsidRDefault="00186EAB" w:rsidP="00186EAB">
      <w:pPr>
        <w:spacing w:line="276" w:lineRule="auto"/>
        <w:jc w:val="both"/>
        <w:rPr>
          <w:rFonts w:ascii="Times New Roman" w:hAnsi="Times New Roman" w:cs="Times New Roman"/>
          <w:sz w:val="24"/>
          <w:szCs w:val="24"/>
        </w:rPr>
      </w:pPr>
    </w:p>
    <w:p w:rsidR="00186EAB" w:rsidRPr="0024503A" w:rsidRDefault="004C46F2" w:rsidP="00186EAB">
      <w:pPr>
        <w:spacing w:line="276" w:lineRule="auto"/>
        <w:jc w:val="both"/>
        <w:rPr>
          <w:rFonts w:ascii="Times New Roman" w:hAnsi="Times New Roman" w:cs="Times New Roman"/>
          <w:sz w:val="24"/>
          <w:szCs w:val="24"/>
        </w:rPr>
      </w:pPr>
      <w:r>
        <w:rPr>
          <w:rFonts w:ascii="Times New Roman" w:hAnsi="Times New Roman" w:cs="Times New Roman"/>
          <w:sz w:val="24"/>
          <w:szCs w:val="24"/>
        </w:rPr>
        <w:t>Taimetervise ja -</w:t>
      </w:r>
      <w:r w:rsidR="00186EAB" w:rsidRPr="0024503A">
        <w:rPr>
          <w:rFonts w:ascii="Times New Roman" w:hAnsi="Times New Roman" w:cs="Times New Roman"/>
          <w:sz w:val="24"/>
          <w:szCs w:val="24"/>
        </w:rPr>
        <w:t xml:space="preserve">kaitse valdkonnas ei ole senini teostatud taimekahjustajate leviku ning pestitsiidiresistentsuse esinemise alaseid uuringuid. Samuti puuduvad taimekaitsevahendite jääkide seirega seonduvad taimekaitse alased uuringud. Vajalik oleks jätkata veebipõhise taimekaitsealase nõustamissüsteemi täiustamist.   </w:t>
      </w:r>
    </w:p>
    <w:p w:rsidR="00186EAB" w:rsidRPr="0024503A" w:rsidRDefault="00186EAB" w:rsidP="00186EAB">
      <w:pPr>
        <w:spacing w:line="276" w:lineRule="auto"/>
        <w:jc w:val="both"/>
        <w:rPr>
          <w:rFonts w:ascii="Times New Roman" w:hAnsi="Times New Roman" w:cs="Times New Roman"/>
          <w:sz w:val="24"/>
          <w:szCs w:val="24"/>
        </w:rPr>
      </w:pPr>
    </w:p>
    <w:p w:rsidR="00186EAB" w:rsidRPr="0024503A" w:rsidRDefault="00186EAB" w:rsidP="00186EAB">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Erinevast kasutusotstarbest lähtuvalt on vaja kvaliteedi uuringuid teraviljale, rapsile ja alternatiivkultuuridele, et välja töötada sobiliku kvaliteedi saavutamiseks vajalike võtete kompleks (sordivalik, agrotehnika, väetamine, taimekaitse). Kõrgem kvaliteet on lisandväärtuse loomise aluseks</w:t>
      </w:r>
      <w:r w:rsidR="0034119F">
        <w:rPr>
          <w:rFonts w:ascii="Times New Roman" w:hAnsi="Times New Roman" w:cs="Times New Roman"/>
          <w:sz w:val="24"/>
          <w:szCs w:val="24"/>
        </w:rPr>
        <w:t>, kuna suuri</w:t>
      </w:r>
      <w:r w:rsidRPr="0024503A">
        <w:rPr>
          <w:rFonts w:ascii="Times New Roman" w:hAnsi="Times New Roman" w:cs="Times New Roman"/>
          <w:sz w:val="24"/>
          <w:szCs w:val="24"/>
        </w:rPr>
        <w:t xml:space="preserve">, ühtlaselt kõrge kvaliteediga partiisid on võimalik realiseerida kõrgema hinnaga või kasutada kohaliku töötlemise käivitamiseks. </w:t>
      </w:r>
    </w:p>
    <w:p w:rsidR="00B05105" w:rsidRPr="0024503A" w:rsidRDefault="00B05105" w:rsidP="00186EAB">
      <w:pPr>
        <w:spacing w:line="276" w:lineRule="auto"/>
        <w:jc w:val="both"/>
        <w:rPr>
          <w:rFonts w:ascii="Times New Roman" w:hAnsi="Times New Roman" w:cs="Times New Roman"/>
          <w:b/>
          <w:sz w:val="24"/>
          <w:szCs w:val="24"/>
          <w:u w:val="single"/>
        </w:rPr>
      </w:pPr>
    </w:p>
    <w:p w:rsidR="00B05105" w:rsidRPr="005865FF" w:rsidRDefault="00186EAB" w:rsidP="00186EAB">
      <w:pPr>
        <w:spacing w:line="276" w:lineRule="auto"/>
        <w:jc w:val="both"/>
        <w:rPr>
          <w:rStyle w:val="BookTitle"/>
          <w:rFonts w:ascii="Times New Roman" w:hAnsi="Times New Roman" w:cs="Times New Roman"/>
          <w:i w:val="0"/>
          <w:sz w:val="24"/>
          <w:szCs w:val="24"/>
        </w:rPr>
      </w:pPr>
      <w:r w:rsidRPr="0024503A">
        <w:rPr>
          <w:rStyle w:val="BookTitle"/>
          <w:rFonts w:ascii="Times New Roman" w:hAnsi="Times New Roman" w:cs="Times New Roman"/>
          <w:i w:val="0"/>
          <w:sz w:val="24"/>
          <w:szCs w:val="24"/>
        </w:rPr>
        <w:t>Katsejaamade võrgustik</w:t>
      </w:r>
    </w:p>
    <w:p w:rsidR="00186EAB" w:rsidRDefault="00186EAB" w:rsidP="00186EAB">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lastRenderedPageBreak/>
        <w:t xml:space="preserve">Praegu toimub taimekasvatuslik katsetegevus Eestis nelja asutuse koosseisu kuuluvas 8 </w:t>
      </w:r>
      <w:r w:rsidR="005F2B30">
        <w:rPr>
          <w:rFonts w:ascii="Times New Roman" w:hAnsi="Times New Roman" w:cs="Times New Roman"/>
          <w:sz w:val="24"/>
          <w:szCs w:val="24"/>
        </w:rPr>
        <w:t>katsepunktis</w:t>
      </w:r>
      <w:r w:rsidRPr="0024503A">
        <w:rPr>
          <w:rFonts w:ascii="Times New Roman" w:hAnsi="Times New Roman" w:cs="Times New Roman"/>
          <w:sz w:val="24"/>
          <w:szCs w:val="24"/>
        </w:rPr>
        <w:t xml:space="preserve">. ETKI – Jõgeva, Saku ja Sangaste (viimases ainult Sangaste säilitusaretus), PMK – Viljandi, Kuusiku ja </w:t>
      </w:r>
      <w:proofErr w:type="spellStart"/>
      <w:r w:rsidRPr="0024503A">
        <w:rPr>
          <w:rFonts w:ascii="Times New Roman" w:hAnsi="Times New Roman" w:cs="Times New Roman"/>
          <w:sz w:val="24"/>
          <w:szCs w:val="24"/>
        </w:rPr>
        <w:t>Väimela</w:t>
      </w:r>
      <w:proofErr w:type="spellEnd"/>
      <w:r w:rsidRPr="0024503A">
        <w:rPr>
          <w:rFonts w:ascii="Times New Roman" w:hAnsi="Times New Roman" w:cs="Times New Roman"/>
          <w:sz w:val="24"/>
          <w:szCs w:val="24"/>
        </w:rPr>
        <w:t xml:space="preserve">, EMÜ – Rõhu (sh Eerika), arvestatavas mahus põldkatseid tehakse ka Olustveres. Arvestades Eesti mullastiku ja agroklimaatilisi regioone ning erinevate kultuuride kasvatamise põhilisi piirkondi on katsejaamadega hästi kaetud Lõuna-Eesti. Katsejaamadega katmata on Kesk- ja Põhja-Eesti põhiline taimekasvatuspiirkond (Järvamaa, Lääne-Virumaa (samas ka nitraaditundlik ala) ning Saaremaa). </w:t>
      </w:r>
    </w:p>
    <w:p w:rsidR="002E1294" w:rsidRPr="0024503A" w:rsidRDefault="002E1294" w:rsidP="00186EAB">
      <w:pPr>
        <w:spacing w:line="276" w:lineRule="auto"/>
        <w:jc w:val="both"/>
        <w:rPr>
          <w:rFonts w:ascii="Times New Roman" w:hAnsi="Times New Roman" w:cs="Times New Roman"/>
          <w:sz w:val="24"/>
          <w:szCs w:val="24"/>
        </w:rPr>
      </w:pPr>
    </w:p>
    <w:p w:rsidR="00186EAB" w:rsidRDefault="00186EAB" w:rsidP="00A868E6">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ETKI Saku katsejaam asub teravilja- ja rapsikasvatuse piirialal ega ole suuremale piirkonnale representatiivne. Kogu Eestile rakendatavate tulemuste saamiseks on oluline taimekasvatuslike uuringute läbiviimine erinevaid mullastik-klimaatilisi piir</w:t>
      </w:r>
      <w:r w:rsidR="00FC63CC">
        <w:rPr>
          <w:rFonts w:ascii="Times New Roman" w:hAnsi="Times New Roman" w:cs="Times New Roman"/>
          <w:sz w:val="24"/>
          <w:szCs w:val="24"/>
        </w:rPr>
        <w:t>k</w:t>
      </w:r>
      <w:r w:rsidRPr="0024503A">
        <w:rPr>
          <w:rFonts w:ascii="Times New Roman" w:hAnsi="Times New Roman" w:cs="Times New Roman"/>
          <w:sz w:val="24"/>
          <w:szCs w:val="24"/>
        </w:rPr>
        <w:t>ondi katvas katsejaamade võrgustikus. Laialdase katsevõrgustiku kasutamine on esmavajalik optimaalsete ja efektiivsete agrotehnoloogiate, väetus</w:t>
      </w:r>
      <w:r w:rsidR="00FC63CC">
        <w:rPr>
          <w:rFonts w:ascii="Times New Roman" w:hAnsi="Times New Roman" w:cs="Times New Roman"/>
          <w:sz w:val="24"/>
          <w:szCs w:val="24"/>
        </w:rPr>
        <w:t>-</w:t>
      </w:r>
      <w:r w:rsidRPr="0024503A">
        <w:rPr>
          <w:rFonts w:ascii="Times New Roman" w:hAnsi="Times New Roman" w:cs="Times New Roman"/>
          <w:sz w:val="24"/>
          <w:szCs w:val="24"/>
        </w:rPr>
        <w:t xml:space="preserve"> ja taimekaitserežiimide väljatöötamiseks ning taimekahjustajate monitooringuks. Eraldi võiks märkida maheviljelust, kus põhiline tootmine on koondunud Lõuna- ja Lääne-Eestisse ja saartele, suuremad katsed toimuvad aga Jõgeval ja Tartumaal (Eerika eriviljelusviiside võrdluskatse). Siin oleks otstarbekas suurema katsetegevuse korraldamine </w:t>
      </w:r>
      <w:proofErr w:type="spellStart"/>
      <w:r w:rsidRPr="0024503A">
        <w:rPr>
          <w:rFonts w:ascii="Times New Roman" w:hAnsi="Times New Roman" w:cs="Times New Roman"/>
          <w:sz w:val="24"/>
          <w:szCs w:val="24"/>
        </w:rPr>
        <w:t>Väimela</w:t>
      </w:r>
      <w:proofErr w:type="spellEnd"/>
      <w:r w:rsidRPr="0024503A">
        <w:rPr>
          <w:rFonts w:ascii="Times New Roman" w:hAnsi="Times New Roman" w:cs="Times New Roman"/>
          <w:sz w:val="24"/>
          <w:szCs w:val="24"/>
        </w:rPr>
        <w:t>, Olustvere-Viljandi ja Kuusiku-Saku katsejaamades ning katsevõimaluste leidmine Saaremaal.</w:t>
      </w:r>
    </w:p>
    <w:p w:rsidR="00186EAB" w:rsidRDefault="00186EAB" w:rsidP="00186EAB">
      <w:pPr>
        <w:rPr>
          <w:rFonts w:ascii="Times New Roman" w:hAnsi="Times New Roman" w:cs="Times New Roman"/>
          <w:b/>
          <w:sz w:val="24"/>
          <w:szCs w:val="24"/>
        </w:rPr>
      </w:pPr>
    </w:p>
    <w:p w:rsidR="00186EAB" w:rsidRDefault="00186EAB" w:rsidP="00186EAB">
      <w:pPr>
        <w:rPr>
          <w:rFonts w:ascii="Times New Roman" w:hAnsi="Times New Roman" w:cs="Times New Roman"/>
          <w:b/>
          <w:sz w:val="24"/>
          <w:szCs w:val="24"/>
        </w:rPr>
      </w:pPr>
      <w:r w:rsidRPr="0024503A">
        <w:rPr>
          <w:rFonts w:ascii="Times New Roman" w:hAnsi="Times New Roman" w:cs="Times New Roman"/>
          <w:b/>
          <w:sz w:val="24"/>
          <w:szCs w:val="24"/>
        </w:rPr>
        <w:t>Riiklik seire</w:t>
      </w:r>
    </w:p>
    <w:p w:rsidR="00186EAB" w:rsidRPr="0024503A" w:rsidRDefault="00186EAB" w:rsidP="00186EAB">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Riikliku keskkonnaseire programm</w:t>
      </w:r>
      <w:r>
        <w:rPr>
          <w:rFonts w:ascii="Times New Roman" w:hAnsi="Times New Roman" w:cs="Times New Roman"/>
          <w:sz w:val="24"/>
          <w:szCs w:val="24"/>
        </w:rPr>
        <w:t>i raames tehtavatest seiretest teostatakse põllumajandusega seoses</w:t>
      </w:r>
      <w:r w:rsidRPr="0024503A">
        <w:rPr>
          <w:rFonts w:ascii="Times New Roman" w:hAnsi="Times New Roman" w:cs="Times New Roman"/>
          <w:sz w:val="24"/>
          <w:szCs w:val="24"/>
        </w:rPr>
        <w:t xml:space="preserve"> mulla-, põhjavee-, siseveekogude-</w:t>
      </w:r>
      <w:r>
        <w:rPr>
          <w:rFonts w:ascii="Times New Roman" w:hAnsi="Times New Roman" w:cs="Times New Roman"/>
          <w:sz w:val="24"/>
          <w:szCs w:val="24"/>
        </w:rPr>
        <w:t xml:space="preserve"> ja meteoroloogilist</w:t>
      </w:r>
      <w:r w:rsidRPr="0024503A">
        <w:rPr>
          <w:rFonts w:ascii="Times New Roman" w:hAnsi="Times New Roman" w:cs="Times New Roman"/>
          <w:sz w:val="24"/>
          <w:szCs w:val="24"/>
        </w:rPr>
        <w:t xml:space="preserve"> seire</w:t>
      </w:r>
      <w:r>
        <w:rPr>
          <w:rFonts w:ascii="Times New Roman" w:hAnsi="Times New Roman" w:cs="Times New Roman"/>
          <w:sz w:val="24"/>
          <w:szCs w:val="24"/>
        </w:rPr>
        <w:t>t</w:t>
      </w:r>
      <w:r w:rsidRPr="0024503A">
        <w:rPr>
          <w:rFonts w:ascii="Times New Roman" w:hAnsi="Times New Roman" w:cs="Times New Roman"/>
          <w:sz w:val="24"/>
          <w:szCs w:val="24"/>
        </w:rPr>
        <w:t>. Mullaseire eesmärgiks on muldade seisundi hindamine mullaviljakuse seisukohalt. Saadud andmetest lähtutakse muldade kasutamise ning mullaomaduste parandamise planeerimisel. Seire raames jälgitakse mulla orgaaniliste ühendite ja toiteelementide dünaamikat.</w:t>
      </w:r>
    </w:p>
    <w:p w:rsidR="00186EAB" w:rsidRPr="0024503A" w:rsidRDefault="00186EAB" w:rsidP="00186EAB">
      <w:pPr>
        <w:spacing w:line="276" w:lineRule="auto"/>
        <w:jc w:val="both"/>
        <w:rPr>
          <w:rFonts w:ascii="Times New Roman" w:hAnsi="Times New Roman" w:cs="Times New Roman"/>
          <w:b/>
          <w:color w:val="444444"/>
          <w:sz w:val="24"/>
          <w:szCs w:val="24"/>
          <w:shd w:val="clear" w:color="auto" w:fill="FFFFFF"/>
        </w:rPr>
      </w:pPr>
    </w:p>
    <w:p w:rsidR="00186EAB" w:rsidRDefault="00186EAB" w:rsidP="00186EAB">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 xml:space="preserve">Põhjavee riiklik seire on ellu kutsutud Eesti põhjaveevarude määramiseks ning põhjavee kvaliteedi hindamiseks. Seire raames jälgitakse taimetoitainete ja pestitsiidijääkide esinemist põhjavees ja mullas. Seire raames tuvastatud negatiivne P või vaid vähesel määral positiivne N toitainete bilanss osutab toitainetevaru vähenemisele mullas, mida on põhjustanud ja põhjustab klassikaliste külvikordade puudumine, monokultuuride kasvatamine ja tahke sõnniku kasutamise vähenemine. Oma roll on kindlasti ka puudulikul informatsioonil toitainete tasakaalu </w:t>
      </w:r>
      <w:r w:rsidR="00FC63CC">
        <w:rPr>
          <w:rFonts w:ascii="Times New Roman" w:hAnsi="Times New Roman" w:cs="Times New Roman"/>
          <w:sz w:val="24"/>
          <w:szCs w:val="24"/>
        </w:rPr>
        <w:t xml:space="preserve">ja </w:t>
      </w:r>
      <w:r w:rsidR="00FC63CC" w:rsidRPr="0024503A">
        <w:rPr>
          <w:rFonts w:ascii="Times New Roman" w:hAnsi="Times New Roman" w:cs="Times New Roman"/>
          <w:sz w:val="24"/>
          <w:szCs w:val="24"/>
        </w:rPr>
        <w:t xml:space="preserve">väetusplaanide </w:t>
      </w:r>
      <w:r w:rsidRPr="0024503A">
        <w:rPr>
          <w:rFonts w:ascii="Times New Roman" w:hAnsi="Times New Roman" w:cs="Times New Roman"/>
          <w:sz w:val="24"/>
          <w:szCs w:val="24"/>
        </w:rPr>
        <w:t>kohta</w:t>
      </w:r>
      <w:r w:rsidR="00FC63CC">
        <w:rPr>
          <w:rFonts w:ascii="Times New Roman" w:hAnsi="Times New Roman" w:cs="Times New Roman"/>
          <w:sz w:val="24"/>
          <w:szCs w:val="24"/>
        </w:rPr>
        <w:t>.</w:t>
      </w:r>
      <w:r w:rsidRPr="0024503A">
        <w:rPr>
          <w:rFonts w:ascii="Times New Roman" w:hAnsi="Times New Roman" w:cs="Times New Roman"/>
          <w:sz w:val="24"/>
          <w:szCs w:val="24"/>
        </w:rPr>
        <w:t xml:space="preserve"> </w:t>
      </w:r>
    </w:p>
    <w:p w:rsidR="00FC63CC" w:rsidRPr="0024503A" w:rsidRDefault="00FC63CC" w:rsidP="00186EAB">
      <w:pPr>
        <w:spacing w:line="276" w:lineRule="auto"/>
        <w:jc w:val="both"/>
        <w:rPr>
          <w:rFonts w:ascii="Times New Roman" w:hAnsi="Times New Roman" w:cs="Times New Roman"/>
          <w:sz w:val="24"/>
          <w:szCs w:val="24"/>
        </w:rPr>
      </w:pPr>
    </w:p>
    <w:p w:rsidR="00186EAB" w:rsidRPr="0024503A" w:rsidRDefault="00186EAB" w:rsidP="00186EAB">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Siseveekogude hüdroloogilise, hüdrokeemilise ja hüdrobioloogilise seire käigus kogutud andmestik võimaldab hinnata Eesti jõgede ja järvede seisundit, jälgida ja prognoosida toimuvaid muutusi ning analüüsida nende põhjuslikke seoseid inimtegevuse ja looduslike protsessidega. Seire raames jälgitakse taimetoitainete ja pestitsiidijääkide esinemist siseveekogudes.</w:t>
      </w:r>
    </w:p>
    <w:p w:rsidR="00186EAB" w:rsidRPr="0024503A" w:rsidRDefault="00186EAB" w:rsidP="00186EAB">
      <w:pPr>
        <w:spacing w:line="276" w:lineRule="auto"/>
        <w:jc w:val="both"/>
        <w:rPr>
          <w:rFonts w:ascii="Times New Roman" w:hAnsi="Times New Roman" w:cs="Times New Roman"/>
          <w:sz w:val="24"/>
          <w:szCs w:val="24"/>
        </w:rPr>
      </w:pPr>
    </w:p>
    <w:p w:rsidR="00186EAB" w:rsidRPr="0024503A" w:rsidRDefault="00186EAB" w:rsidP="00186EAB">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 xml:space="preserve">Meteoroloogilise seire eesmärkideks on meteoroloogiliste ja hüdroloogiliste vaatluste tegemine, asjaomaste andmete kogumine, töötlemine ja edastamine, sh prognooside koostamine; tarbijate varustamine meteoroloogilise ja hüdroloogilise informatsiooni, selle baasil töödeldud andmete, prognooside ja hoiatustega. Alates 2003. aastast lõpetati EMHIs agrometeoroloogia alaste kokkuvõtete ja prognooside koostamine. </w:t>
      </w:r>
      <w:r w:rsidR="00CE18C9" w:rsidRPr="00CE18C9">
        <w:rPr>
          <w:rFonts w:ascii="Times New Roman" w:hAnsi="Times New Roman" w:cs="Times New Roman"/>
          <w:sz w:val="24"/>
          <w:szCs w:val="24"/>
        </w:rPr>
        <w:t xml:space="preserve">Alates 2004. aastast koostatakse agrometeoroloogilisi prognoose ja kokkuvõtteid ETKIs. </w:t>
      </w:r>
      <w:r w:rsidRPr="0024503A">
        <w:rPr>
          <w:rFonts w:ascii="Times New Roman" w:hAnsi="Times New Roman" w:cs="Times New Roman"/>
          <w:sz w:val="24"/>
          <w:szCs w:val="24"/>
        </w:rPr>
        <w:t xml:space="preserve"> Kliimamuutustega seoses ja Euroopa kliimaprogrammi raames on vaja teavet agrometeoroloogilistest trendidest ning kliimamuutuste mõjust taimekasvatusele. </w:t>
      </w:r>
      <w:r w:rsidRPr="0024503A">
        <w:rPr>
          <w:rFonts w:ascii="Times New Roman" w:hAnsi="Times New Roman" w:cs="Times New Roman"/>
          <w:sz w:val="24"/>
          <w:szCs w:val="24"/>
        </w:rPr>
        <w:lastRenderedPageBreak/>
        <w:t xml:space="preserve">Agrometeoroloogiline informatsioon on oluline ka keskkonnasõbralike ja efektiivsete väetamis- ja taimekaitserežiimide koostamisel. </w:t>
      </w:r>
    </w:p>
    <w:p w:rsidR="00186EAB" w:rsidRPr="0024503A" w:rsidRDefault="00186EAB" w:rsidP="00186EAB">
      <w:pPr>
        <w:spacing w:line="276" w:lineRule="auto"/>
        <w:jc w:val="both"/>
        <w:rPr>
          <w:rFonts w:ascii="Times New Roman" w:hAnsi="Times New Roman" w:cs="Times New Roman"/>
          <w:sz w:val="24"/>
          <w:szCs w:val="24"/>
        </w:rPr>
      </w:pPr>
    </w:p>
    <w:p w:rsidR="009F78EE" w:rsidRPr="0024503A" w:rsidRDefault="00186EAB" w:rsidP="009F78EE">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 xml:space="preserve">Põllumajandusuuringute </w:t>
      </w:r>
      <w:r w:rsidR="001B6AEF">
        <w:rPr>
          <w:rFonts w:ascii="Times New Roman" w:hAnsi="Times New Roman" w:cs="Times New Roman"/>
          <w:sz w:val="24"/>
          <w:szCs w:val="24"/>
        </w:rPr>
        <w:t>K</w:t>
      </w:r>
      <w:r w:rsidRPr="0024503A">
        <w:rPr>
          <w:rFonts w:ascii="Times New Roman" w:hAnsi="Times New Roman" w:cs="Times New Roman"/>
          <w:sz w:val="24"/>
          <w:szCs w:val="24"/>
        </w:rPr>
        <w:t xml:space="preserve">eskus, Veterinaar- ja Toidulaboratoorium ning Terviseameti </w:t>
      </w:r>
      <w:r w:rsidR="00427B8F">
        <w:rPr>
          <w:rFonts w:ascii="Times New Roman" w:hAnsi="Times New Roman" w:cs="Times New Roman"/>
          <w:sz w:val="24"/>
          <w:szCs w:val="24"/>
        </w:rPr>
        <w:t xml:space="preserve">Tartu labor ja </w:t>
      </w:r>
      <w:r w:rsidRPr="0024503A">
        <w:rPr>
          <w:rFonts w:ascii="Times New Roman" w:hAnsi="Times New Roman" w:cs="Times New Roman"/>
          <w:sz w:val="24"/>
          <w:szCs w:val="24"/>
        </w:rPr>
        <w:t xml:space="preserve">kesklabor </w:t>
      </w:r>
      <w:r w:rsidR="0013396A">
        <w:rPr>
          <w:rFonts w:ascii="Times New Roman" w:hAnsi="Times New Roman" w:cs="Times New Roman"/>
          <w:sz w:val="24"/>
          <w:szCs w:val="24"/>
        </w:rPr>
        <w:t>teostavad</w:t>
      </w:r>
      <w:r w:rsidRPr="0024503A">
        <w:rPr>
          <w:rFonts w:ascii="Times New Roman" w:hAnsi="Times New Roman" w:cs="Times New Roman"/>
          <w:sz w:val="24"/>
          <w:szCs w:val="24"/>
        </w:rPr>
        <w:t xml:space="preserve"> p</w:t>
      </w:r>
      <w:r w:rsidR="00CB474A">
        <w:rPr>
          <w:rFonts w:ascii="Times New Roman" w:hAnsi="Times New Roman" w:cs="Times New Roman"/>
          <w:sz w:val="24"/>
          <w:szCs w:val="24"/>
        </w:rPr>
        <w:t>õllumajandussaaduste ning toidu</w:t>
      </w:r>
      <w:r w:rsidRPr="0024503A">
        <w:rPr>
          <w:rFonts w:ascii="Times New Roman" w:hAnsi="Times New Roman" w:cs="Times New Roman"/>
          <w:sz w:val="24"/>
          <w:szCs w:val="24"/>
        </w:rPr>
        <w:t>ainete taimekaitsevahendite jääkide, saast</w:t>
      </w:r>
      <w:r w:rsidR="0013396A">
        <w:rPr>
          <w:rFonts w:ascii="Times New Roman" w:hAnsi="Times New Roman" w:cs="Times New Roman"/>
          <w:sz w:val="24"/>
          <w:szCs w:val="24"/>
        </w:rPr>
        <w:t xml:space="preserve">eainete ja </w:t>
      </w:r>
      <w:proofErr w:type="spellStart"/>
      <w:r w:rsidR="0013396A">
        <w:rPr>
          <w:rFonts w:ascii="Times New Roman" w:hAnsi="Times New Roman" w:cs="Times New Roman"/>
          <w:sz w:val="24"/>
          <w:szCs w:val="24"/>
        </w:rPr>
        <w:t>mükotoksiinide</w:t>
      </w:r>
      <w:proofErr w:type="spellEnd"/>
      <w:r w:rsidR="0013396A">
        <w:rPr>
          <w:rFonts w:ascii="Times New Roman" w:hAnsi="Times New Roman" w:cs="Times New Roman"/>
          <w:sz w:val="24"/>
          <w:szCs w:val="24"/>
        </w:rPr>
        <w:t xml:space="preserve"> seiret</w:t>
      </w:r>
      <w:r w:rsidRPr="0024503A">
        <w:rPr>
          <w:rFonts w:ascii="Times New Roman" w:hAnsi="Times New Roman" w:cs="Times New Roman"/>
          <w:sz w:val="24"/>
          <w:szCs w:val="24"/>
        </w:rPr>
        <w:t xml:space="preserve">. Seire raames jälgitakse põllumajandussaaduste ja taimsete toodete vastavust toiduohutuse nõuetele. Kõigis seiretes on (v.a. väga üksikud erandid) taimekaitsevahendite jääkide, saasteainete ja </w:t>
      </w:r>
      <w:proofErr w:type="spellStart"/>
      <w:r w:rsidRPr="0024503A">
        <w:rPr>
          <w:rFonts w:ascii="Times New Roman" w:hAnsi="Times New Roman" w:cs="Times New Roman"/>
          <w:sz w:val="24"/>
          <w:szCs w:val="24"/>
        </w:rPr>
        <w:t>mükotoksiinide</w:t>
      </w:r>
      <w:proofErr w:type="spellEnd"/>
      <w:r w:rsidRPr="0024503A">
        <w:rPr>
          <w:rFonts w:ascii="Times New Roman" w:hAnsi="Times New Roman" w:cs="Times New Roman"/>
          <w:sz w:val="24"/>
          <w:szCs w:val="24"/>
        </w:rPr>
        <w:t xml:space="preserve"> sisaldused jäänud lubatud piiridesse või neid ei ole esinenud üldse. </w:t>
      </w:r>
      <w:r w:rsidR="009F78EE">
        <w:rPr>
          <w:rFonts w:ascii="Times New Roman" w:hAnsi="Times New Roman" w:cs="Times New Roman"/>
          <w:sz w:val="24"/>
          <w:szCs w:val="24"/>
        </w:rPr>
        <w:t xml:space="preserve">Samas on täheldatud </w:t>
      </w:r>
      <w:r w:rsidR="009F78EE" w:rsidRPr="0024503A">
        <w:rPr>
          <w:rFonts w:ascii="Times New Roman" w:hAnsi="Times New Roman" w:cs="Times New Roman"/>
          <w:sz w:val="24"/>
          <w:szCs w:val="24"/>
        </w:rPr>
        <w:t xml:space="preserve">põhjaveest ja siseveekogudest analüüsitud proovides taimetoitainete sisalduse </w:t>
      </w:r>
      <w:r w:rsidR="009F78EE">
        <w:rPr>
          <w:rFonts w:ascii="Times New Roman" w:hAnsi="Times New Roman" w:cs="Times New Roman"/>
          <w:sz w:val="24"/>
          <w:szCs w:val="24"/>
        </w:rPr>
        <w:t>suurenemist</w:t>
      </w:r>
      <w:r w:rsidR="009F78EE" w:rsidRPr="0024503A">
        <w:rPr>
          <w:rFonts w:ascii="Times New Roman" w:hAnsi="Times New Roman" w:cs="Times New Roman"/>
          <w:sz w:val="24"/>
          <w:szCs w:val="24"/>
        </w:rPr>
        <w:t xml:space="preserve">. </w:t>
      </w:r>
    </w:p>
    <w:p w:rsidR="00186EAB" w:rsidRPr="0024503A" w:rsidRDefault="00186EAB" w:rsidP="00186EAB">
      <w:pPr>
        <w:spacing w:line="276" w:lineRule="auto"/>
        <w:jc w:val="both"/>
        <w:rPr>
          <w:rFonts w:ascii="Times New Roman" w:hAnsi="Times New Roman" w:cs="Times New Roman"/>
          <w:sz w:val="24"/>
          <w:szCs w:val="24"/>
        </w:rPr>
      </w:pPr>
    </w:p>
    <w:p w:rsidR="00186EAB" w:rsidRPr="0024503A" w:rsidRDefault="00186EAB" w:rsidP="00186EAB">
      <w:pPr>
        <w:spacing w:line="276" w:lineRule="auto"/>
        <w:jc w:val="both"/>
        <w:rPr>
          <w:rFonts w:ascii="Times New Roman" w:hAnsi="Times New Roman" w:cs="Times New Roman"/>
          <w:color w:val="444444"/>
          <w:sz w:val="24"/>
          <w:szCs w:val="24"/>
        </w:rPr>
      </w:pPr>
      <w:r w:rsidRPr="0024503A">
        <w:rPr>
          <w:rFonts w:ascii="Times New Roman" w:hAnsi="Times New Roman" w:cs="Times New Roman"/>
          <w:sz w:val="24"/>
          <w:szCs w:val="24"/>
        </w:rPr>
        <w:t xml:space="preserve">Põllumajandusuuringute Keskuse taimse materjali labor on rea aastate jooksul tegelenud Eesti teraviljasaagi analüüsimisega, ning andnud välja temaatilisi infolehti. Uuringud on hõlmanud teravilja ja rapsi kvaliteedi analüüse kokkuostjate ja esmase töötlemise nõuetest lähtuvalt. </w:t>
      </w:r>
    </w:p>
    <w:p w:rsidR="00186EAB" w:rsidRPr="0024503A" w:rsidRDefault="00186EAB" w:rsidP="00186EAB">
      <w:pPr>
        <w:pStyle w:val="Heading3"/>
        <w:spacing w:line="276" w:lineRule="auto"/>
        <w:rPr>
          <w:rFonts w:ascii="Times New Roman" w:hAnsi="Times New Roman" w:cs="Times New Roman"/>
          <w:b w:val="0"/>
        </w:rPr>
      </w:pPr>
      <w:bookmarkStart w:id="717" w:name="_Toc385253774"/>
      <w:bookmarkStart w:id="718" w:name="_Toc385335146"/>
      <w:bookmarkStart w:id="719" w:name="_Toc389128815"/>
      <w:bookmarkStart w:id="720" w:name="_Toc389131362"/>
      <w:bookmarkStart w:id="721" w:name="_Toc389223897"/>
      <w:bookmarkStart w:id="722" w:name="_Toc389223959"/>
      <w:bookmarkStart w:id="723" w:name="_Toc391908891"/>
      <w:bookmarkStart w:id="724" w:name="_Toc391991825"/>
      <w:bookmarkStart w:id="725" w:name="_Toc397593045"/>
      <w:bookmarkStart w:id="726" w:name="_Toc398896340"/>
      <w:bookmarkStart w:id="727" w:name="_Toc398896480"/>
      <w:bookmarkStart w:id="728" w:name="_Toc400972852"/>
      <w:r w:rsidRPr="0024503A">
        <w:rPr>
          <w:rFonts w:ascii="Times New Roman" w:hAnsi="Times New Roman" w:cs="Times New Roman"/>
        </w:rPr>
        <w:t>Nõuandetegevus</w:t>
      </w:r>
      <w:bookmarkEnd w:id="717"/>
      <w:bookmarkEnd w:id="718"/>
      <w:bookmarkEnd w:id="719"/>
      <w:bookmarkEnd w:id="720"/>
      <w:bookmarkEnd w:id="721"/>
      <w:bookmarkEnd w:id="722"/>
      <w:bookmarkEnd w:id="723"/>
      <w:bookmarkEnd w:id="724"/>
      <w:bookmarkEnd w:id="725"/>
      <w:bookmarkEnd w:id="726"/>
      <w:bookmarkEnd w:id="727"/>
      <w:bookmarkEnd w:id="728"/>
    </w:p>
    <w:p w:rsidR="00186EAB" w:rsidRPr="0024503A" w:rsidRDefault="00186EAB" w:rsidP="00186EAB">
      <w:pPr>
        <w:adjustRightInd w:val="0"/>
        <w:spacing w:line="276" w:lineRule="auto"/>
        <w:jc w:val="both"/>
        <w:rPr>
          <w:rFonts w:ascii="Times New Roman" w:hAnsi="Times New Roman" w:cs="Times New Roman"/>
          <w:sz w:val="24"/>
          <w:szCs w:val="24"/>
        </w:rPr>
      </w:pPr>
    </w:p>
    <w:p w:rsidR="00186EAB" w:rsidRPr="0024503A" w:rsidRDefault="00186EAB" w:rsidP="00186EAB">
      <w:pPr>
        <w:adjustRightInd w:val="0"/>
        <w:spacing w:line="276" w:lineRule="auto"/>
        <w:jc w:val="both"/>
        <w:rPr>
          <w:rFonts w:ascii="Times New Roman" w:hAnsi="Times New Roman" w:cs="Times New Roman"/>
          <w:color w:val="000000"/>
          <w:sz w:val="24"/>
          <w:szCs w:val="24"/>
        </w:rPr>
      </w:pPr>
      <w:r w:rsidRPr="0024503A">
        <w:rPr>
          <w:rFonts w:ascii="Times New Roman" w:hAnsi="Times New Roman" w:cs="Times New Roman"/>
          <w:sz w:val="24"/>
          <w:szCs w:val="24"/>
        </w:rPr>
        <w:t>Eestis tegutseb mitmeid erinevaid nõuandeorganisatsioone ja võrgustikke, kusjuures igal neist on oma eripära ja pakutav nõuanne on sihtrühmale vajalik. Lisaks põllu- ja maamajanduslikule nõuandesüsteemile on loodud Ettevõtluse Arendamise Sihtasutuse maakondlike arenduskeskuste võrgustik. Siiski ei jõua m</w:t>
      </w:r>
      <w:r w:rsidRPr="0024503A">
        <w:rPr>
          <w:rFonts w:ascii="Times New Roman" w:hAnsi="Times New Roman" w:cs="Times New Roman"/>
          <w:color w:val="000000"/>
          <w:sz w:val="24"/>
          <w:szCs w:val="24"/>
        </w:rPr>
        <w:t xml:space="preserve">itmed tootjad, kes tegelikult vajaksid nõustamist, tihti nõustajate ega kutsetunnistusega konsulentideni. </w:t>
      </w:r>
    </w:p>
    <w:p w:rsidR="00186EAB" w:rsidRPr="0024503A" w:rsidRDefault="00186EAB" w:rsidP="00186EAB">
      <w:pPr>
        <w:adjustRightInd w:val="0"/>
        <w:spacing w:line="276" w:lineRule="auto"/>
        <w:jc w:val="both"/>
        <w:rPr>
          <w:rFonts w:ascii="Times New Roman" w:hAnsi="Times New Roman" w:cs="Times New Roman"/>
          <w:color w:val="000000"/>
          <w:sz w:val="24"/>
          <w:szCs w:val="24"/>
        </w:rPr>
      </w:pPr>
    </w:p>
    <w:p w:rsidR="00186EAB" w:rsidRPr="0024503A" w:rsidRDefault="00186EAB" w:rsidP="00186EAB">
      <w:pPr>
        <w:adjustRightInd w:val="0"/>
        <w:spacing w:line="276" w:lineRule="auto"/>
        <w:jc w:val="both"/>
        <w:rPr>
          <w:rFonts w:ascii="Times New Roman" w:hAnsi="Times New Roman" w:cs="Times New Roman"/>
          <w:color w:val="000000"/>
          <w:sz w:val="24"/>
          <w:szCs w:val="24"/>
        </w:rPr>
      </w:pPr>
      <w:r w:rsidRPr="0024503A">
        <w:rPr>
          <w:rFonts w:ascii="Times New Roman" w:hAnsi="Times New Roman" w:cs="Times New Roman"/>
          <w:sz w:val="24"/>
          <w:szCs w:val="24"/>
        </w:rPr>
        <w:t xml:space="preserve">Nõuandeteenuse mittekasutamise peamised põhjused on teenuse kallidus, nõuandetoetuse taotlemise keerukus ja ajanõudlikkus. Ehkki olemasolevate nõuandeteenuste kasutajate uuringud on näidanud kõrget rahulolu nõuandeteenuste kvaliteediga, on nõuandesüsteemis veel olulist arenguruumi. Selleks, et nõustaja saaks oma klientidele kasulik olla, peab ta reeglina omama märkimisväärset teadmiste ning pikaajaliste ja mitmekesiste praktiliste kogemuste pagasit. </w:t>
      </w:r>
      <w:r>
        <w:rPr>
          <w:rFonts w:ascii="Times New Roman" w:hAnsi="Times New Roman" w:cs="Times New Roman"/>
          <w:sz w:val="24"/>
          <w:szCs w:val="24"/>
        </w:rPr>
        <w:t xml:space="preserve">Enamik konsulente tegeleb keskmiste ja väikesemahuliste tootjate nõustamisega, suurema </w:t>
      </w:r>
      <w:r w:rsidR="001B6AEF">
        <w:rPr>
          <w:rFonts w:ascii="Times New Roman" w:hAnsi="Times New Roman" w:cs="Times New Roman"/>
          <w:sz w:val="24"/>
          <w:szCs w:val="24"/>
        </w:rPr>
        <w:t xml:space="preserve">saagiefektiivsusega </w:t>
      </w:r>
      <w:r>
        <w:rPr>
          <w:rFonts w:ascii="Times New Roman" w:hAnsi="Times New Roman" w:cs="Times New Roman"/>
          <w:sz w:val="24"/>
          <w:szCs w:val="24"/>
        </w:rPr>
        <w:t>tootjate jaoks</w:t>
      </w:r>
      <w:r w:rsidR="001B6AEF">
        <w:rPr>
          <w:rFonts w:ascii="Times New Roman" w:hAnsi="Times New Roman" w:cs="Times New Roman"/>
          <w:sz w:val="24"/>
          <w:szCs w:val="24"/>
        </w:rPr>
        <w:t xml:space="preserve"> kõrgteadmistega</w:t>
      </w:r>
      <w:r>
        <w:rPr>
          <w:rFonts w:ascii="Times New Roman" w:hAnsi="Times New Roman" w:cs="Times New Roman"/>
          <w:sz w:val="24"/>
          <w:szCs w:val="24"/>
        </w:rPr>
        <w:t xml:space="preserve"> spetsialiste napib. Konsulentide koolitamises keskendutakse Eestis toimuvate muudatustega kursis olekule, </w:t>
      </w:r>
      <w:r w:rsidR="0081665C">
        <w:rPr>
          <w:rFonts w:ascii="Times New Roman" w:hAnsi="Times New Roman" w:cs="Times New Roman"/>
          <w:sz w:val="24"/>
          <w:szCs w:val="24"/>
        </w:rPr>
        <w:t xml:space="preserve"> kuid on ka </w:t>
      </w:r>
      <w:r>
        <w:rPr>
          <w:rFonts w:ascii="Times New Roman" w:hAnsi="Times New Roman" w:cs="Times New Roman"/>
          <w:sz w:val="24"/>
          <w:szCs w:val="24"/>
        </w:rPr>
        <w:t>konsulent</w:t>
      </w:r>
      <w:r w:rsidR="0081665C">
        <w:rPr>
          <w:rFonts w:ascii="Times New Roman" w:hAnsi="Times New Roman" w:cs="Times New Roman"/>
          <w:sz w:val="24"/>
          <w:szCs w:val="24"/>
        </w:rPr>
        <w:t>e, kellel</w:t>
      </w:r>
      <w:r>
        <w:rPr>
          <w:rFonts w:ascii="Times New Roman" w:hAnsi="Times New Roman" w:cs="Times New Roman"/>
          <w:sz w:val="24"/>
          <w:szCs w:val="24"/>
        </w:rPr>
        <w:t xml:space="preserve"> puudub harjumus Eesti ja välisriikide teadustöö ning innovatsiooni lahendustega tutvumiseks. </w:t>
      </w:r>
      <w:r w:rsidRPr="0024503A">
        <w:rPr>
          <w:rFonts w:ascii="Times New Roman" w:hAnsi="Times New Roman" w:cs="Times New Roman"/>
          <w:color w:val="000000"/>
          <w:sz w:val="24"/>
          <w:szCs w:val="24"/>
        </w:rPr>
        <w:t>Ka tuleks nõustamisel arvestada, et kuna paljud tootjad on nii taime- (teravilja) kui loomakasvatajad, siis tihti ühest nõustajast ei piisa, väga oluline on põllumajanduse ja kogu majanduse tervikprotsesside mõistmine.</w:t>
      </w:r>
      <w:r>
        <w:rPr>
          <w:rFonts w:ascii="Times New Roman" w:hAnsi="Times New Roman" w:cs="Times New Roman"/>
          <w:color w:val="000000"/>
          <w:sz w:val="24"/>
          <w:szCs w:val="24"/>
        </w:rPr>
        <w:t xml:space="preserve"> Soodustada tuleb nii kompleksnõustamist kui konsulentide kaasamist teadlaste ja põllumajandustootjate õppereisidele</w:t>
      </w:r>
      <w:r w:rsidR="002A03D3">
        <w:rPr>
          <w:rFonts w:ascii="Times New Roman" w:hAnsi="Times New Roman" w:cs="Times New Roman"/>
          <w:color w:val="000000"/>
          <w:sz w:val="24"/>
          <w:szCs w:val="24"/>
        </w:rPr>
        <w:t xml:space="preserve">, teaduskonverentsidele, </w:t>
      </w:r>
      <w:r w:rsidR="00FF3395">
        <w:rPr>
          <w:rFonts w:ascii="Times New Roman" w:hAnsi="Times New Roman" w:cs="Times New Roman"/>
          <w:color w:val="000000"/>
          <w:sz w:val="24"/>
          <w:szCs w:val="24"/>
        </w:rPr>
        <w:t>teadustööde tulemuste avalikustamisse jne</w:t>
      </w:r>
      <w:r>
        <w:rPr>
          <w:rFonts w:ascii="Times New Roman" w:hAnsi="Times New Roman" w:cs="Times New Roman"/>
          <w:color w:val="000000"/>
          <w:sz w:val="24"/>
          <w:szCs w:val="24"/>
        </w:rPr>
        <w:t>. S</w:t>
      </w:r>
      <w:r w:rsidRPr="0024503A">
        <w:rPr>
          <w:rFonts w:ascii="Times New Roman" w:hAnsi="Times New Roman" w:cs="Times New Roman"/>
          <w:color w:val="000000"/>
          <w:sz w:val="24"/>
          <w:szCs w:val="24"/>
        </w:rPr>
        <w:t>amuti tuleb julgustada nõustajaid olema ise aktiivsed ja paremini kättesaadavad</w:t>
      </w:r>
      <w:r>
        <w:rPr>
          <w:rFonts w:ascii="Times New Roman" w:hAnsi="Times New Roman" w:cs="Times New Roman"/>
          <w:color w:val="000000"/>
          <w:sz w:val="24"/>
          <w:szCs w:val="24"/>
        </w:rPr>
        <w:t>.</w:t>
      </w:r>
    </w:p>
    <w:p w:rsidR="007C52C4" w:rsidRPr="0024503A" w:rsidRDefault="007C52C4" w:rsidP="00186EAB">
      <w:pPr>
        <w:adjustRightInd w:val="0"/>
        <w:spacing w:line="276" w:lineRule="auto"/>
        <w:jc w:val="both"/>
        <w:rPr>
          <w:rFonts w:ascii="Times New Roman" w:hAnsi="Times New Roman" w:cs="Times New Roman"/>
          <w:color w:val="000000"/>
          <w:sz w:val="24"/>
          <w:szCs w:val="24"/>
        </w:rPr>
      </w:pPr>
    </w:p>
    <w:p w:rsidR="00186EAB" w:rsidRPr="0024503A" w:rsidRDefault="00186EAB" w:rsidP="00186EAB">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 xml:space="preserve">Maamajandusliku nõuandesüsteemi arendamisel tuleb silmas pidada, et </w:t>
      </w:r>
      <w:r w:rsidR="00917534">
        <w:rPr>
          <w:rFonts w:ascii="Times New Roman" w:hAnsi="Times New Roman" w:cs="Times New Roman"/>
          <w:sz w:val="24"/>
          <w:szCs w:val="24"/>
        </w:rPr>
        <w:t xml:space="preserve">nõuandeorganisatsioonid </w:t>
      </w:r>
      <w:r w:rsidRPr="0024503A">
        <w:rPr>
          <w:rFonts w:ascii="Times New Roman" w:hAnsi="Times New Roman" w:cs="Times New Roman"/>
          <w:sz w:val="24"/>
          <w:szCs w:val="24"/>
        </w:rPr>
        <w:t xml:space="preserve"> te</w:t>
      </w:r>
      <w:r w:rsidR="00D5232F">
        <w:rPr>
          <w:rFonts w:ascii="Times New Roman" w:hAnsi="Times New Roman" w:cs="Times New Roman"/>
          <w:sz w:val="24"/>
          <w:szCs w:val="24"/>
        </w:rPr>
        <w:t>eksid koostööd nii omavahel kui</w:t>
      </w:r>
      <w:r w:rsidRPr="0024503A">
        <w:rPr>
          <w:rFonts w:ascii="Times New Roman" w:hAnsi="Times New Roman" w:cs="Times New Roman"/>
          <w:sz w:val="24"/>
          <w:szCs w:val="24"/>
        </w:rPr>
        <w:t xml:space="preserve"> teadus- ja arendusasutuste ning erinevate erialaliitudega. Jätkata tuleb tegevusi uute, aktiivselt tegutsevate konsulentide leidmiseks ning konsulentide koolitamiseks, sh uutes valdkondades nagu kliimamuutustega kohanemine või </w:t>
      </w:r>
      <w:r>
        <w:rPr>
          <w:rFonts w:ascii="Times New Roman" w:hAnsi="Times New Roman" w:cs="Times New Roman"/>
          <w:sz w:val="24"/>
          <w:szCs w:val="24"/>
        </w:rPr>
        <w:t>lühikesed tarneahelad</w:t>
      </w:r>
      <w:r w:rsidRPr="0024503A">
        <w:rPr>
          <w:rFonts w:ascii="Times New Roman" w:hAnsi="Times New Roman" w:cs="Times New Roman"/>
          <w:sz w:val="24"/>
          <w:szCs w:val="24"/>
        </w:rPr>
        <w:t>.</w:t>
      </w:r>
    </w:p>
    <w:p w:rsidR="00186EAB" w:rsidRDefault="00186EAB" w:rsidP="00186EAB">
      <w:pPr>
        <w:rPr>
          <w:rFonts w:ascii="Times New Roman" w:hAnsi="Times New Roman" w:cs="Times New Roman"/>
          <w:b/>
          <w:sz w:val="24"/>
          <w:szCs w:val="24"/>
        </w:rPr>
      </w:pPr>
    </w:p>
    <w:p w:rsidR="00D25510" w:rsidRPr="0024503A" w:rsidRDefault="00AA2996" w:rsidP="00AA2996">
      <w:pPr>
        <w:pStyle w:val="Heading2"/>
        <w:spacing w:line="276" w:lineRule="auto"/>
        <w:rPr>
          <w:rFonts w:ascii="Times New Roman" w:hAnsi="Times New Roman" w:cs="Times New Roman"/>
          <w:b/>
          <w:sz w:val="28"/>
          <w:szCs w:val="28"/>
        </w:rPr>
      </w:pPr>
      <w:bookmarkStart w:id="729" w:name="_Toc378697829"/>
      <w:bookmarkStart w:id="730" w:name="_Toc378773275"/>
      <w:bookmarkStart w:id="731" w:name="_Toc379197459"/>
      <w:bookmarkStart w:id="732" w:name="_Toc379205496"/>
      <w:bookmarkStart w:id="733" w:name="_Toc379268192"/>
      <w:bookmarkStart w:id="734" w:name="_Toc379296766"/>
      <w:bookmarkStart w:id="735" w:name="_Toc379373475"/>
      <w:bookmarkStart w:id="736" w:name="_Toc379799860"/>
      <w:bookmarkStart w:id="737" w:name="_Toc381633602"/>
      <w:bookmarkStart w:id="738" w:name="_Toc381633747"/>
      <w:bookmarkStart w:id="739" w:name="_Toc384050915"/>
      <w:bookmarkStart w:id="740" w:name="_Toc384052619"/>
      <w:bookmarkStart w:id="741" w:name="_Toc384283962"/>
      <w:bookmarkStart w:id="742" w:name="_Toc384284073"/>
      <w:bookmarkStart w:id="743" w:name="_Toc384386266"/>
      <w:bookmarkStart w:id="744" w:name="_Toc384386478"/>
      <w:bookmarkStart w:id="745" w:name="_Toc384392344"/>
      <w:bookmarkStart w:id="746" w:name="_Toc385253775"/>
      <w:bookmarkStart w:id="747" w:name="_Toc385335147"/>
      <w:bookmarkStart w:id="748" w:name="_Toc389128816"/>
      <w:bookmarkStart w:id="749" w:name="_Toc389131363"/>
      <w:bookmarkStart w:id="750" w:name="_Toc389223898"/>
      <w:bookmarkStart w:id="751" w:name="_Toc389223960"/>
      <w:bookmarkStart w:id="752" w:name="_Toc391908892"/>
      <w:bookmarkStart w:id="753" w:name="_Toc391991826"/>
      <w:bookmarkStart w:id="754" w:name="_Toc397593046"/>
      <w:bookmarkStart w:id="755" w:name="_Toc398896341"/>
      <w:bookmarkStart w:id="756" w:name="_Toc398896481"/>
      <w:bookmarkStart w:id="757" w:name="_Toc400972853"/>
      <w:r>
        <w:rPr>
          <w:rFonts w:ascii="Times New Roman" w:hAnsi="Times New Roman" w:cs="Times New Roman"/>
          <w:b/>
          <w:sz w:val="28"/>
          <w:szCs w:val="28"/>
        </w:rPr>
        <w:t xml:space="preserve">7.7. </w:t>
      </w:r>
      <w:r w:rsidR="00D25510" w:rsidRPr="0024503A">
        <w:rPr>
          <w:rFonts w:ascii="Times New Roman" w:hAnsi="Times New Roman" w:cs="Times New Roman"/>
          <w:b/>
          <w:sz w:val="28"/>
          <w:szCs w:val="28"/>
        </w:rPr>
        <w:t>Poliitiline raamistik</w:t>
      </w:r>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p>
    <w:p w:rsidR="00E810BD" w:rsidRPr="0024503A" w:rsidRDefault="00E810BD" w:rsidP="00617526">
      <w:pPr>
        <w:spacing w:line="276" w:lineRule="auto"/>
        <w:jc w:val="both"/>
        <w:rPr>
          <w:rFonts w:ascii="Times New Roman" w:hAnsi="Times New Roman" w:cs="Times New Roman"/>
          <w:sz w:val="24"/>
          <w:szCs w:val="24"/>
        </w:rPr>
      </w:pPr>
    </w:p>
    <w:p w:rsidR="00D25510" w:rsidRPr="0024503A" w:rsidRDefault="00D25510" w:rsidP="00617526">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ÜPP</w:t>
      </w:r>
      <w:r w:rsidR="00821DC7">
        <w:rPr>
          <w:rFonts w:ascii="Times New Roman" w:hAnsi="Times New Roman" w:cs="Times New Roman"/>
          <w:sz w:val="24"/>
          <w:szCs w:val="24"/>
        </w:rPr>
        <w:t>d</w:t>
      </w:r>
      <w:r w:rsidRPr="0024503A">
        <w:rPr>
          <w:rFonts w:ascii="Times New Roman" w:hAnsi="Times New Roman" w:cs="Times New Roman"/>
          <w:sz w:val="24"/>
          <w:szCs w:val="24"/>
        </w:rPr>
        <w:t xml:space="preserve"> on selle rakendamise algusest aegade jooksul oluliselt reformitud ning järgmine reform rakendub täielikult alates 2015. aastast, kui </w:t>
      </w:r>
      <w:r w:rsidR="004B72D6" w:rsidRPr="0024503A">
        <w:rPr>
          <w:rFonts w:ascii="Times New Roman" w:hAnsi="Times New Roman" w:cs="Times New Roman"/>
          <w:sz w:val="24"/>
          <w:szCs w:val="24"/>
        </w:rPr>
        <w:t xml:space="preserve">on </w:t>
      </w:r>
      <w:r w:rsidRPr="0024503A">
        <w:rPr>
          <w:rFonts w:ascii="Times New Roman" w:hAnsi="Times New Roman" w:cs="Times New Roman"/>
          <w:sz w:val="24"/>
          <w:szCs w:val="24"/>
        </w:rPr>
        <w:t>läbitud ka otsetoetuste süsteemi puudutav nn üleminekuaasta. Kui algusaastatel oli ÜPP eesmärk eelkõige sõjajärgse Euroopa toiduga varustatuse tagamine, siis nüüdseks on peamisteks eesmärkideks saanud stabiilse siseturu ja põllumajandustootjate sissetuleku tagamine.</w:t>
      </w:r>
    </w:p>
    <w:p w:rsidR="00D25510" w:rsidRPr="0024503A" w:rsidRDefault="00D25510" w:rsidP="00617526">
      <w:pPr>
        <w:spacing w:line="276" w:lineRule="auto"/>
        <w:jc w:val="both"/>
        <w:rPr>
          <w:rFonts w:ascii="Times New Roman" w:hAnsi="Times New Roman" w:cs="Times New Roman"/>
          <w:sz w:val="24"/>
          <w:szCs w:val="24"/>
        </w:rPr>
      </w:pPr>
    </w:p>
    <w:p w:rsidR="007C0279" w:rsidRPr="007C0279" w:rsidRDefault="007C0279" w:rsidP="007C0279">
      <w:pPr>
        <w:spacing w:line="276" w:lineRule="auto"/>
        <w:jc w:val="both"/>
        <w:rPr>
          <w:rFonts w:ascii="Times New Roman" w:hAnsi="Times New Roman"/>
          <w:sz w:val="24"/>
          <w:szCs w:val="24"/>
        </w:rPr>
      </w:pPr>
      <w:r w:rsidRPr="007C0279">
        <w:rPr>
          <w:rFonts w:ascii="Times New Roman" w:hAnsi="Times New Roman"/>
          <w:sz w:val="24"/>
          <w:szCs w:val="24"/>
        </w:rPr>
        <w:t>2015. aastast muutub otsetoetuste struktuur oluliselt. Põhiline rõhk muutuste rakendamisel on suunatud keskkonnasõbralikele tootmisviisidele ja põlvkondade vahetuse soodustamisele põllumajanduses. Kuigi põhiosa Eestile eraldatud otsetoetuste summast läheb jätkuvalt ühtse pindalatoetuse kaudu maksmisele, on lisandunud uue kohustusliku elemendina kliima- ja keskkonnatoetus – toetus kliimat ja keskkonda säästvate põllumajandustavade rakendamise eest (30% otse</w:t>
      </w:r>
      <w:r w:rsidR="009C1CC9">
        <w:rPr>
          <w:rFonts w:ascii="Times New Roman" w:hAnsi="Times New Roman"/>
          <w:sz w:val="24"/>
          <w:szCs w:val="24"/>
        </w:rPr>
        <w:t>toetuste aastasest summast). See</w:t>
      </w:r>
      <w:r w:rsidRPr="007C0279">
        <w:rPr>
          <w:rFonts w:ascii="Times New Roman" w:hAnsi="Times New Roman"/>
          <w:sz w:val="24"/>
          <w:szCs w:val="24"/>
        </w:rPr>
        <w:t xml:space="preserve"> hõlmab endas nõudeid põllumajanduskultuuride mitmekesistamiseks, püsirohumaade säilitamiseks ja ökoloogilise kasutuseesmärgiga alade määramiseks </w:t>
      </w:r>
      <w:r w:rsidRPr="007C0279">
        <w:rPr>
          <w:rStyle w:val="CommentReference"/>
        </w:rPr>
        <w:t>  </w:t>
      </w:r>
      <w:r w:rsidRPr="007C0279">
        <w:rPr>
          <w:rFonts w:ascii="Times New Roman" w:hAnsi="Times New Roman"/>
          <w:sz w:val="24"/>
          <w:szCs w:val="24"/>
        </w:rPr>
        <w:t>ja toetus kuni 40-aastastele alustavatele põllumajandustootjatele (kuni 2% otsetoetuste aastasest summast). Riigieelarvest üleminekutoetuse maksmisel on otsustava tähtsusega eelarvelised võimalused, mille avanemisel saaks jätkata põllumajanduskultuuri üleminekutoetuse maksmist. Selle aluseks oleks 2013. aastal kehtinud toetuste nõuded ja tingimused, mille tulemusena võimalik toetuste kogusumma väheneb 5%-lise sammuga kuni 50% tasemeni 2020. aastaks.</w:t>
      </w:r>
    </w:p>
    <w:p w:rsidR="00D25510" w:rsidRPr="0024503A" w:rsidRDefault="00D25510" w:rsidP="00617526">
      <w:pPr>
        <w:spacing w:line="276" w:lineRule="auto"/>
        <w:jc w:val="both"/>
        <w:rPr>
          <w:rFonts w:ascii="Times New Roman" w:hAnsi="Times New Roman" w:cs="Times New Roman"/>
          <w:sz w:val="24"/>
          <w:szCs w:val="24"/>
        </w:rPr>
      </w:pPr>
    </w:p>
    <w:p w:rsidR="00D25510" w:rsidRPr="0024503A" w:rsidRDefault="00D25510" w:rsidP="00617526">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Euroopa Liit on põllumajandusturgude reguleerimiseks kehtestanud ühised eeskirjad. Need eeskirjad puudutavad ennekõike avalikku sekkumist turgudel ja toetuskavasid, turustamis- ja tootmisstandardeid ning kaubandust kolmandate riikidega. Järjest suurema turule orienteerituse tõttu on turumeetmed, mis olid enne ühise põllumajanduspoliitika põhivahendiks, jäänud praegu üksnes turvaabinõuks, mida kasutatakse märkimisväärsete hinnalanguste korral.</w:t>
      </w:r>
    </w:p>
    <w:p w:rsidR="00D25510" w:rsidRPr="0024503A" w:rsidRDefault="00D25510" w:rsidP="00617526">
      <w:pPr>
        <w:spacing w:line="276" w:lineRule="auto"/>
        <w:jc w:val="both"/>
        <w:rPr>
          <w:rStyle w:val="hps"/>
          <w:rFonts w:ascii="Times New Roman" w:hAnsi="Times New Roman" w:cs="Times New Roman"/>
          <w:sz w:val="24"/>
          <w:szCs w:val="24"/>
        </w:rPr>
      </w:pPr>
    </w:p>
    <w:p w:rsidR="00D25510" w:rsidRPr="0024503A" w:rsidRDefault="00D25510" w:rsidP="00617526">
      <w:pPr>
        <w:spacing w:line="276" w:lineRule="auto"/>
        <w:jc w:val="both"/>
        <w:rPr>
          <w:rStyle w:val="hps"/>
          <w:rFonts w:ascii="Times New Roman" w:hAnsi="Times New Roman" w:cs="Times New Roman"/>
          <w:sz w:val="24"/>
          <w:szCs w:val="24"/>
        </w:rPr>
      </w:pPr>
      <w:r w:rsidRPr="0024503A">
        <w:rPr>
          <w:rStyle w:val="hps"/>
          <w:rFonts w:ascii="Times New Roman" w:hAnsi="Times New Roman" w:cs="Times New Roman"/>
          <w:sz w:val="24"/>
          <w:szCs w:val="24"/>
        </w:rPr>
        <w:t>ÜTK mõistes uus eelarveperiood (2014–2020) drastilisi muutusi kaasa ei too. Küll aga täiendatakse ÜTK osa ÜPPs teatavate uuendustega, et tugevdada siseturgu turvameetmete abil ja tulla toime maailmaturul järjest tiheneva konkurentsiga. Sarnaselt praegusele raamistikule säilib teravilja sekkumiskokkuostu meede, millega tagatakse turuhinna langedes tootjatele teatav hinnatase. Eestis on teravilja sekkumiskokkuostu rakendatud viiel aastal ning kokku on ostetud üle 120 tuhande tonni teravilja, peamiselt otra. Eriti vajalikuks osutus see meede 2009/2010</w:t>
      </w:r>
      <w:r w:rsidR="002A1FCE">
        <w:rPr>
          <w:rStyle w:val="hps"/>
          <w:rFonts w:ascii="Times New Roman" w:hAnsi="Times New Roman" w:cs="Times New Roman"/>
          <w:sz w:val="24"/>
          <w:szCs w:val="24"/>
        </w:rPr>
        <w:t>.</w:t>
      </w:r>
      <w:r w:rsidRPr="0024503A">
        <w:rPr>
          <w:rStyle w:val="hps"/>
          <w:rFonts w:ascii="Times New Roman" w:hAnsi="Times New Roman" w:cs="Times New Roman"/>
          <w:sz w:val="24"/>
          <w:szCs w:val="24"/>
        </w:rPr>
        <w:t xml:space="preserve"> turustussaastal, kui riikliku sekkumiskokkuostu raames osteti madala turuhinna tõttu teraviljakasvatajatelt kokku ligi 75 tuhat tonni otra, mis moodustas antud aastal 20% Eesti odra toodangust.</w:t>
      </w:r>
    </w:p>
    <w:p w:rsidR="00D25510" w:rsidRPr="0024503A" w:rsidRDefault="00D25510" w:rsidP="00617526">
      <w:pPr>
        <w:spacing w:line="276" w:lineRule="auto"/>
        <w:jc w:val="both"/>
        <w:rPr>
          <w:rFonts w:ascii="Times New Roman" w:hAnsi="Times New Roman" w:cs="Times New Roman"/>
          <w:sz w:val="24"/>
          <w:szCs w:val="24"/>
        </w:rPr>
      </w:pPr>
    </w:p>
    <w:p w:rsidR="00D25510" w:rsidRPr="0024503A" w:rsidRDefault="00D25510" w:rsidP="00617526">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 xml:space="preserve">Lisaks antakse </w:t>
      </w:r>
      <w:r w:rsidR="004B72D6" w:rsidRPr="0024503A">
        <w:rPr>
          <w:rFonts w:ascii="Times New Roman" w:hAnsi="Times New Roman" w:cs="Times New Roman"/>
          <w:sz w:val="24"/>
          <w:szCs w:val="24"/>
        </w:rPr>
        <w:t xml:space="preserve">reformi tulemusel </w:t>
      </w:r>
      <w:r w:rsidR="001B6AEF">
        <w:rPr>
          <w:rFonts w:ascii="Times New Roman" w:hAnsi="Times New Roman" w:cs="Times New Roman"/>
          <w:sz w:val="24"/>
          <w:szCs w:val="24"/>
        </w:rPr>
        <w:t>Euroopa K</w:t>
      </w:r>
      <w:r w:rsidRPr="0024503A">
        <w:rPr>
          <w:rFonts w:ascii="Times New Roman" w:hAnsi="Times New Roman" w:cs="Times New Roman"/>
          <w:sz w:val="24"/>
          <w:szCs w:val="24"/>
        </w:rPr>
        <w:t>omisjonile õigus kasutada vahendeid moodustatavast kriisireservist ja rakendada erakorralisi meetmeid turutõrgetega toimetulekuks. Selleks, et parandada põllumajandustootjate läbirääkimispositsiooni toiduainete tarneahelas on komisjoni algatusel tehtud mõned erandid ka ELi konkurentsiõigusest ja loodud eeskirjad, mis käsitlevad tootjaorganisatsioonide ja tootmisharudevaheliste organisatsioonide tunnustamist ka teravilja sektoris. T</w:t>
      </w:r>
      <w:r w:rsidR="004B72D6" w:rsidRPr="0024503A">
        <w:rPr>
          <w:rFonts w:ascii="Times New Roman" w:hAnsi="Times New Roman" w:cs="Times New Roman"/>
          <w:sz w:val="24"/>
          <w:szCs w:val="24"/>
        </w:rPr>
        <w:t>ootjaorganisatsioonide t</w:t>
      </w:r>
      <w:r w:rsidRPr="0024503A">
        <w:rPr>
          <w:rFonts w:ascii="Times New Roman" w:hAnsi="Times New Roman" w:cs="Times New Roman"/>
          <w:sz w:val="24"/>
          <w:szCs w:val="24"/>
        </w:rPr>
        <w:t xml:space="preserve">unnustamisega võetakse kasutusele teatud erisused EL konkurentsieeskirjadest, mille tulemusena võivad eelpool nimetatud organisatsioonid pidada läbirääkimisi liikmete nimel müügilepingute üle. See aitab suurendada tootjate vastutust ning tõsta </w:t>
      </w:r>
      <w:r w:rsidRPr="0024503A">
        <w:rPr>
          <w:rFonts w:ascii="Times New Roman" w:hAnsi="Times New Roman" w:cs="Times New Roman"/>
          <w:sz w:val="24"/>
          <w:szCs w:val="24"/>
        </w:rPr>
        <w:lastRenderedPageBreak/>
        <w:t>nende teadlikkust vajadusest võtta rohkem arvesse turusignaale, parandada hindade ülekandumist ja kohandada pakkumist nõudlusega, ning aidata ära hoida</w:t>
      </w:r>
      <w:r w:rsidR="009C1CC9">
        <w:rPr>
          <w:rFonts w:ascii="Times New Roman" w:hAnsi="Times New Roman" w:cs="Times New Roman"/>
          <w:sz w:val="24"/>
          <w:szCs w:val="24"/>
        </w:rPr>
        <w:t xml:space="preserve"> ebaõiglast</w:t>
      </w:r>
      <w:r w:rsidRPr="0024503A">
        <w:rPr>
          <w:rFonts w:ascii="Times New Roman" w:hAnsi="Times New Roman" w:cs="Times New Roman"/>
          <w:sz w:val="24"/>
          <w:szCs w:val="24"/>
        </w:rPr>
        <w:t xml:space="preserve"> kaubandust. </w:t>
      </w:r>
    </w:p>
    <w:p w:rsidR="00D25510" w:rsidRPr="0024503A" w:rsidRDefault="00D25510" w:rsidP="00617526">
      <w:pPr>
        <w:spacing w:line="276" w:lineRule="auto"/>
        <w:jc w:val="both"/>
        <w:rPr>
          <w:rFonts w:ascii="Times New Roman" w:hAnsi="Times New Roman" w:cs="Times New Roman"/>
          <w:sz w:val="24"/>
          <w:szCs w:val="24"/>
        </w:rPr>
      </w:pPr>
    </w:p>
    <w:p w:rsidR="00EA061E" w:rsidRPr="0024503A" w:rsidRDefault="00D25510" w:rsidP="00617526">
      <w:pPr>
        <w:pStyle w:val="NoSpacing"/>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 xml:space="preserve">Maaelu arengu poliitika on osa Euroopa Liidu ühisest põllumajanduspoliitikast </w:t>
      </w:r>
      <w:r w:rsidR="00C12FB4">
        <w:rPr>
          <w:rFonts w:ascii="Times New Roman" w:hAnsi="Times New Roman" w:cs="Times New Roman"/>
          <w:sz w:val="24"/>
          <w:szCs w:val="24"/>
        </w:rPr>
        <w:t>ja</w:t>
      </w:r>
      <w:r w:rsidRPr="0024503A">
        <w:rPr>
          <w:rFonts w:ascii="Times New Roman" w:hAnsi="Times New Roman" w:cs="Times New Roman"/>
          <w:sz w:val="24"/>
          <w:szCs w:val="24"/>
        </w:rPr>
        <w:t xml:space="preserve"> seda rahastatakse EAFRD</w:t>
      </w:r>
      <w:r w:rsidR="00C12FB4">
        <w:rPr>
          <w:rFonts w:ascii="Times New Roman" w:hAnsi="Times New Roman" w:cs="Times New Roman"/>
          <w:sz w:val="24"/>
          <w:szCs w:val="24"/>
        </w:rPr>
        <w:t>st</w:t>
      </w:r>
      <w:r w:rsidRPr="0024503A">
        <w:rPr>
          <w:rFonts w:ascii="Times New Roman" w:hAnsi="Times New Roman" w:cs="Times New Roman"/>
          <w:sz w:val="24"/>
          <w:szCs w:val="24"/>
        </w:rPr>
        <w:t xml:space="preserve">. </w:t>
      </w:r>
      <w:r w:rsidRPr="0024503A">
        <w:rPr>
          <w:rStyle w:val="hps"/>
          <w:rFonts w:ascii="Times New Roman" w:hAnsi="Times New Roman" w:cs="Times New Roman"/>
          <w:color w:val="222222"/>
          <w:sz w:val="24"/>
          <w:szCs w:val="24"/>
        </w:rPr>
        <w:t>Maaelu arengu poliitika</w:t>
      </w:r>
      <w:r w:rsidRPr="0024503A">
        <w:rPr>
          <w:rFonts w:ascii="Times New Roman" w:hAnsi="Times New Roman" w:cs="Times New Roman"/>
          <w:color w:val="222222"/>
          <w:sz w:val="24"/>
          <w:szCs w:val="24"/>
        </w:rPr>
        <w:t xml:space="preserve">s säilib praegune raamistik ehk iga liikmesriik </w:t>
      </w:r>
      <w:r w:rsidR="00C47DF1">
        <w:rPr>
          <w:rFonts w:ascii="Times New Roman" w:hAnsi="Times New Roman" w:cs="Times New Roman"/>
          <w:color w:val="222222"/>
          <w:sz w:val="24"/>
          <w:szCs w:val="24"/>
        </w:rPr>
        <w:t>koostab</w:t>
      </w:r>
      <w:r w:rsidRPr="0024503A">
        <w:rPr>
          <w:rFonts w:ascii="Times New Roman" w:hAnsi="Times New Roman" w:cs="Times New Roman"/>
          <w:color w:val="222222"/>
          <w:sz w:val="24"/>
          <w:szCs w:val="24"/>
        </w:rPr>
        <w:t xml:space="preserve"> </w:t>
      </w:r>
      <w:r w:rsidR="00C47DF1">
        <w:rPr>
          <w:rFonts w:ascii="Times New Roman" w:hAnsi="Times New Roman" w:cs="Times New Roman"/>
          <w:color w:val="222222"/>
          <w:sz w:val="24"/>
          <w:szCs w:val="24"/>
        </w:rPr>
        <w:t>oma</w:t>
      </w:r>
      <w:r w:rsidRPr="0024503A">
        <w:rPr>
          <w:rFonts w:ascii="Times New Roman" w:hAnsi="Times New Roman" w:cs="Times New Roman"/>
          <w:color w:val="222222"/>
          <w:sz w:val="24"/>
          <w:szCs w:val="24"/>
        </w:rPr>
        <w:t xml:space="preserve"> vajadus</w:t>
      </w:r>
      <w:r w:rsidR="00C47DF1">
        <w:rPr>
          <w:rFonts w:ascii="Times New Roman" w:hAnsi="Times New Roman" w:cs="Times New Roman"/>
          <w:color w:val="222222"/>
          <w:sz w:val="24"/>
          <w:szCs w:val="24"/>
        </w:rPr>
        <w:t>t</w:t>
      </w:r>
      <w:r w:rsidRPr="0024503A">
        <w:rPr>
          <w:rFonts w:ascii="Times New Roman" w:hAnsi="Times New Roman" w:cs="Times New Roman"/>
          <w:color w:val="222222"/>
          <w:sz w:val="24"/>
          <w:szCs w:val="24"/>
        </w:rPr>
        <w:t>ele</w:t>
      </w:r>
      <w:r w:rsidR="00C47DF1">
        <w:rPr>
          <w:rFonts w:ascii="Times New Roman" w:hAnsi="Times New Roman" w:cs="Times New Roman"/>
          <w:color w:val="222222"/>
          <w:sz w:val="24"/>
          <w:szCs w:val="24"/>
        </w:rPr>
        <w:t xml:space="preserve"> vastava maaelu arengu programmi koos asjakohaste </w:t>
      </w:r>
      <w:r w:rsidRPr="0024503A">
        <w:rPr>
          <w:rFonts w:ascii="Times New Roman" w:hAnsi="Times New Roman" w:cs="Times New Roman"/>
          <w:color w:val="222222"/>
          <w:sz w:val="24"/>
          <w:szCs w:val="24"/>
        </w:rPr>
        <w:t>meetmete</w:t>
      </w:r>
      <w:r w:rsidR="00C47DF1">
        <w:rPr>
          <w:rFonts w:ascii="Times New Roman" w:hAnsi="Times New Roman" w:cs="Times New Roman"/>
          <w:color w:val="222222"/>
          <w:sz w:val="24"/>
          <w:szCs w:val="24"/>
        </w:rPr>
        <w:t>ga</w:t>
      </w:r>
      <w:r w:rsidRPr="0024503A">
        <w:rPr>
          <w:rFonts w:ascii="Times New Roman" w:hAnsi="Times New Roman" w:cs="Times New Roman"/>
          <w:color w:val="222222"/>
          <w:sz w:val="24"/>
          <w:szCs w:val="24"/>
        </w:rPr>
        <w:t xml:space="preserve">. </w:t>
      </w:r>
      <w:r w:rsidRPr="0024503A">
        <w:rPr>
          <w:rFonts w:ascii="Times New Roman" w:hAnsi="Times New Roman" w:cs="Times New Roman"/>
          <w:sz w:val="24"/>
          <w:szCs w:val="24"/>
        </w:rPr>
        <w:t>Arvestades põllumajanduse ja maapiirkondad</w:t>
      </w:r>
      <w:r w:rsidR="00C47DF1">
        <w:rPr>
          <w:rFonts w:ascii="Times New Roman" w:hAnsi="Times New Roman" w:cs="Times New Roman"/>
          <w:sz w:val="24"/>
          <w:szCs w:val="24"/>
        </w:rPr>
        <w:t xml:space="preserve">e eesseisvaid väljakutseid, on </w:t>
      </w:r>
      <w:r w:rsidR="00493D77">
        <w:rPr>
          <w:rFonts w:ascii="Times New Roman" w:hAnsi="Times New Roman" w:cs="Times New Roman"/>
          <w:sz w:val="24"/>
          <w:szCs w:val="24"/>
        </w:rPr>
        <w:t>MAKi</w:t>
      </w:r>
      <w:r w:rsidRPr="0024503A">
        <w:rPr>
          <w:rFonts w:ascii="Times New Roman" w:hAnsi="Times New Roman" w:cs="Times New Roman"/>
          <w:sz w:val="24"/>
          <w:szCs w:val="24"/>
        </w:rPr>
        <w:t xml:space="preserve"> raames kavas keskenduda järgmistele valdkondadele – teadmussiire, </w:t>
      </w:r>
      <w:r w:rsidR="00743557">
        <w:rPr>
          <w:rFonts w:ascii="Times New Roman" w:hAnsi="Times New Roman" w:cs="Times New Roman"/>
          <w:sz w:val="24"/>
          <w:szCs w:val="24"/>
        </w:rPr>
        <w:t xml:space="preserve">koostöö, </w:t>
      </w:r>
      <w:r w:rsidRPr="0024503A">
        <w:rPr>
          <w:rFonts w:ascii="Times New Roman" w:hAnsi="Times New Roman" w:cs="Times New Roman"/>
          <w:sz w:val="24"/>
          <w:szCs w:val="24"/>
        </w:rPr>
        <w:t>konkurentsivõime, toidutarneahela toimimine, keskkond ning maaettevõtlus ja kohalik algatus. Teraviljasektorile on olulisemad meetmed, mis on suunatud teadmussiirde ja teave levikule ning nõuandeteenuse</w:t>
      </w:r>
      <w:r w:rsidR="00C47DF1">
        <w:rPr>
          <w:rFonts w:ascii="Times New Roman" w:hAnsi="Times New Roman" w:cs="Times New Roman"/>
          <w:sz w:val="24"/>
          <w:szCs w:val="24"/>
        </w:rPr>
        <w:t>, s</w:t>
      </w:r>
      <w:r w:rsidRPr="0024503A">
        <w:rPr>
          <w:rFonts w:ascii="Times New Roman" w:hAnsi="Times New Roman" w:cs="Times New Roman"/>
          <w:sz w:val="24"/>
          <w:szCs w:val="24"/>
        </w:rPr>
        <w:t>amuti investeeringute toetamiseks põllumajandusettevõtete tulemuslikkuse parandamiseks ja põllumajandustoodete töötlemiseks ning turustamiseks</w:t>
      </w:r>
      <w:r w:rsidR="00C47DF1">
        <w:rPr>
          <w:rFonts w:ascii="Times New Roman" w:hAnsi="Times New Roman" w:cs="Times New Roman"/>
          <w:sz w:val="24"/>
          <w:szCs w:val="24"/>
        </w:rPr>
        <w:t xml:space="preserve"> ja keskkonnasõbralikuks majandamiseks</w:t>
      </w:r>
      <w:r w:rsidRPr="0024503A">
        <w:rPr>
          <w:rFonts w:ascii="Times New Roman" w:hAnsi="Times New Roman" w:cs="Times New Roman"/>
          <w:sz w:val="24"/>
          <w:szCs w:val="24"/>
        </w:rPr>
        <w:t xml:space="preserve">. Sektori arenguks on jätkuvalt olulised ka toetused </w:t>
      </w:r>
      <w:r w:rsidRPr="0024503A">
        <w:rPr>
          <w:rFonts w:ascii="Times New Roman" w:hAnsi="Times New Roman" w:cs="Times New Roman"/>
          <w:noProof/>
          <w:sz w:val="24"/>
          <w:szCs w:val="24"/>
        </w:rPr>
        <w:t>põllumajandustaristu</w:t>
      </w:r>
      <w:r w:rsidRPr="0024503A">
        <w:rPr>
          <w:rFonts w:ascii="Times New Roman" w:hAnsi="Times New Roman" w:cs="Times New Roman"/>
          <w:sz w:val="24"/>
          <w:szCs w:val="24"/>
        </w:rPr>
        <w:t xml:space="preserve"> arendamiseks ja hoidmiseks, noortalunike tegevuse alustamiseks ning tootjarühmade loomiseks.</w:t>
      </w:r>
    </w:p>
    <w:p w:rsidR="0095169D" w:rsidRPr="0024503A" w:rsidRDefault="0095169D" w:rsidP="00617526">
      <w:pPr>
        <w:pStyle w:val="NoSpacing"/>
        <w:spacing w:line="276" w:lineRule="auto"/>
        <w:jc w:val="both"/>
        <w:rPr>
          <w:rFonts w:ascii="Times New Roman" w:hAnsi="Times New Roman" w:cs="Times New Roman"/>
          <w:sz w:val="24"/>
          <w:szCs w:val="24"/>
        </w:rPr>
      </w:pPr>
    </w:p>
    <w:p w:rsidR="00D25510" w:rsidRPr="0024503A" w:rsidRDefault="00B615EA" w:rsidP="00B615EA">
      <w:pPr>
        <w:pStyle w:val="Heading2"/>
        <w:spacing w:line="276" w:lineRule="auto"/>
        <w:rPr>
          <w:rFonts w:ascii="Times New Roman" w:hAnsi="Times New Roman" w:cs="Times New Roman"/>
          <w:b/>
          <w:sz w:val="28"/>
          <w:szCs w:val="28"/>
        </w:rPr>
      </w:pPr>
      <w:bookmarkStart w:id="758" w:name="_Toc378697830"/>
      <w:bookmarkStart w:id="759" w:name="_Toc378773276"/>
      <w:bookmarkStart w:id="760" w:name="_Toc379197460"/>
      <w:bookmarkStart w:id="761" w:name="_Toc379205497"/>
      <w:bookmarkStart w:id="762" w:name="_Toc379268193"/>
      <w:bookmarkStart w:id="763" w:name="_Toc379296767"/>
      <w:bookmarkStart w:id="764" w:name="_Toc379373476"/>
      <w:bookmarkStart w:id="765" w:name="_Toc379799861"/>
      <w:bookmarkStart w:id="766" w:name="_Toc381633603"/>
      <w:bookmarkStart w:id="767" w:name="_Toc381633748"/>
      <w:bookmarkStart w:id="768" w:name="_Toc384050916"/>
      <w:bookmarkStart w:id="769" w:name="_Toc384052620"/>
      <w:bookmarkStart w:id="770" w:name="_Toc384283963"/>
      <w:bookmarkStart w:id="771" w:name="_Toc384284074"/>
      <w:bookmarkStart w:id="772" w:name="_Toc384386267"/>
      <w:bookmarkStart w:id="773" w:name="_Toc384386479"/>
      <w:bookmarkStart w:id="774" w:name="_Toc384392345"/>
      <w:bookmarkStart w:id="775" w:name="_Toc385253776"/>
      <w:bookmarkStart w:id="776" w:name="_Toc385335148"/>
      <w:bookmarkStart w:id="777" w:name="_Toc389128817"/>
      <w:bookmarkStart w:id="778" w:name="_Toc389131364"/>
      <w:bookmarkStart w:id="779" w:name="_Toc389223899"/>
      <w:bookmarkStart w:id="780" w:name="_Toc389223961"/>
      <w:bookmarkStart w:id="781" w:name="_Toc391908893"/>
      <w:bookmarkStart w:id="782" w:name="_Toc391991827"/>
      <w:bookmarkStart w:id="783" w:name="_Toc397593047"/>
      <w:bookmarkStart w:id="784" w:name="_Toc398896342"/>
      <w:bookmarkStart w:id="785" w:name="_Toc398896482"/>
      <w:bookmarkStart w:id="786" w:name="_Toc400972854"/>
      <w:r>
        <w:rPr>
          <w:rFonts w:ascii="Times New Roman" w:hAnsi="Times New Roman" w:cs="Times New Roman"/>
          <w:b/>
          <w:sz w:val="28"/>
          <w:szCs w:val="28"/>
        </w:rPr>
        <w:t xml:space="preserve">7.8. </w:t>
      </w:r>
      <w:r w:rsidR="00D25510" w:rsidRPr="0024503A">
        <w:rPr>
          <w:rFonts w:ascii="Times New Roman" w:hAnsi="Times New Roman" w:cs="Times New Roman"/>
          <w:b/>
          <w:sz w:val="28"/>
          <w:szCs w:val="28"/>
        </w:rPr>
        <w:t>Majandusnäitajate analüüs</w:t>
      </w:r>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p>
    <w:p w:rsidR="000D17E8" w:rsidRPr="0024503A" w:rsidRDefault="000D17E8" w:rsidP="00617526">
      <w:pPr>
        <w:spacing w:line="276" w:lineRule="auto"/>
        <w:jc w:val="both"/>
        <w:rPr>
          <w:rFonts w:ascii="Times New Roman" w:hAnsi="Times New Roman" w:cs="Times New Roman"/>
          <w:sz w:val="24"/>
          <w:szCs w:val="24"/>
        </w:rPr>
      </w:pPr>
    </w:p>
    <w:p w:rsidR="00D22CEF" w:rsidRPr="00E958CE" w:rsidRDefault="000D17E8" w:rsidP="00D22CEF">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Euroopa Liiduga liitumise järgsel perioodil on põllumajandussektori k.a</w:t>
      </w:r>
      <w:r w:rsidR="00EC496F">
        <w:rPr>
          <w:rFonts w:ascii="Times New Roman" w:hAnsi="Times New Roman" w:cs="Times New Roman"/>
          <w:sz w:val="24"/>
          <w:szCs w:val="24"/>
        </w:rPr>
        <w:t>.</w:t>
      </w:r>
      <w:r w:rsidRPr="0024503A">
        <w:rPr>
          <w:rFonts w:ascii="Times New Roman" w:hAnsi="Times New Roman" w:cs="Times New Roman"/>
          <w:sz w:val="24"/>
          <w:szCs w:val="24"/>
        </w:rPr>
        <w:t xml:space="preserve"> teraviljatootmise majandustulemuste</w:t>
      </w:r>
      <w:r w:rsidRPr="0024503A">
        <w:rPr>
          <w:rStyle w:val="FootnoteReference"/>
          <w:rFonts w:ascii="Times New Roman" w:hAnsi="Times New Roman" w:cs="Times New Roman"/>
          <w:sz w:val="24"/>
          <w:szCs w:val="24"/>
        </w:rPr>
        <w:footnoteReference w:id="22"/>
      </w:r>
      <w:r w:rsidRPr="0024503A">
        <w:rPr>
          <w:rFonts w:ascii="Times New Roman" w:hAnsi="Times New Roman" w:cs="Times New Roman"/>
          <w:sz w:val="24"/>
          <w:szCs w:val="24"/>
        </w:rPr>
        <w:t xml:space="preserve"> arengus toimunud märkimisväärsed muutused. Muutused on eelkõige seotud põllumajandustootjatele makstavate toetuste suurenemise ning põllumajandussaaduste ja tootmiseks vajalike sisendite kokkuostuhindade hinnatõusuga.</w:t>
      </w:r>
      <w:r w:rsidR="00D22CEF">
        <w:rPr>
          <w:rFonts w:ascii="Times New Roman" w:hAnsi="Times New Roman" w:cs="Times New Roman"/>
          <w:sz w:val="24"/>
          <w:szCs w:val="24"/>
        </w:rPr>
        <w:t xml:space="preserve"> </w:t>
      </w:r>
      <w:r w:rsidR="00D22CEF" w:rsidRPr="00E958CE">
        <w:rPr>
          <w:rFonts w:ascii="Times New Roman" w:hAnsi="Times New Roman" w:cs="Times New Roman"/>
          <w:sz w:val="24"/>
          <w:szCs w:val="24"/>
        </w:rPr>
        <w:t>Euroopa Liiduga liitumise järgset aega iseloomustab kiirenenud majanduskasv, mis saavutas tipu aastal 2006. aastal. Maailmamajandust tabanud kriis ja sisenõudluse vähenemine viisid 2008. aastal Eesti majand</w:t>
      </w:r>
      <w:r w:rsidR="00D22CEF">
        <w:rPr>
          <w:rFonts w:ascii="Times New Roman" w:hAnsi="Times New Roman" w:cs="Times New Roman"/>
          <w:sz w:val="24"/>
          <w:szCs w:val="24"/>
        </w:rPr>
        <w:t>use kaheks aastaks langusesse, kuid a</w:t>
      </w:r>
      <w:r w:rsidR="00D22CEF" w:rsidRPr="00E958CE">
        <w:rPr>
          <w:rFonts w:ascii="Times New Roman" w:hAnsi="Times New Roman" w:cs="Times New Roman"/>
          <w:sz w:val="24"/>
          <w:szCs w:val="24"/>
        </w:rPr>
        <w:t>lates 2011. aastast on majandus taas tõusuteel.</w:t>
      </w:r>
    </w:p>
    <w:p w:rsidR="0048224D" w:rsidRPr="0024503A" w:rsidRDefault="0048224D" w:rsidP="00617526">
      <w:pPr>
        <w:spacing w:line="276" w:lineRule="auto"/>
        <w:jc w:val="both"/>
        <w:rPr>
          <w:rFonts w:ascii="Times New Roman" w:hAnsi="Times New Roman" w:cs="Times New Roman"/>
          <w:sz w:val="24"/>
          <w:szCs w:val="24"/>
        </w:rPr>
      </w:pPr>
    </w:p>
    <w:p w:rsidR="0095169D" w:rsidRPr="00F347C6" w:rsidRDefault="0095169D" w:rsidP="00F347C6">
      <w:pPr>
        <w:pStyle w:val="IntenseQuote"/>
        <w:spacing w:line="276" w:lineRule="auto"/>
        <w:ind w:left="0" w:right="-2"/>
        <w:rPr>
          <w:rStyle w:val="IntenseReference"/>
          <w:rFonts w:ascii="Times New Roman" w:hAnsi="Times New Roman" w:cs="Times New Roman"/>
          <w:sz w:val="24"/>
          <w:szCs w:val="24"/>
        </w:rPr>
      </w:pPr>
      <w:r w:rsidRPr="00F347C6">
        <w:rPr>
          <w:rStyle w:val="IntenseReference"/>
          <w:rFonts w:ascii="Times New Roman" w:hAnsi="Times New Roman" w:cs="Times New Roman"/>
          <w:sz w:val="24"/>
          <w:szCs w:val="24"/>
        </w:rPr>
        <w:t xml:space="preserve">Põllumajandustootmisel on peamiseks probleemiks suured tootmiskulud, mis </w:t>
      </w:r>
      <w:r w:rsidR="00B33410">
        <w:rPr>
          <w:rStyle w:val="IntenseReference"/>
          <w:rFonts w:ascii="Times New Roman" w:hAnsi="Times New Roman" w:cs="Times New Roman"/>
          <w:sz w:val="24"/>
          <w:szCs w:val="24"/>
        </w:rPr>
        <w:t>madala</w:t>
      </w:r>
      <w:r w:rsidRPr="00F347C6">
        <w:rPr>
          <w:rStyle w:val="IntenseReference"/>
          <w:rFonts w:ascii="Times New Roman" w:hAnsi="Times New Roman" w:cs="Times New Roman"/>
          <w:sz w:val="24"/>
          <w:szCs w:val="24"/>
        </w:rPr>
        <w:t xml:space="preserve"> saagitaseme juures ületavad realiseerimishinda. Sellest tulenevalt ei jätku </w:t>
      </w:r>
      <w:r w:rsidR="00B33410">
        <w:rPr>
          <w:rStyle w:val="IntenseReference"/>
          <w:rFonts w:ascii="Times New Roman" w:hAnsi="Times New Roman" w:cs="Times New Roman"/>
          <w:sz w:val="24"/>
          <w:szCs w:val="24"/>
        </w:rPr>
        <w:t>mitmetel</w:t>
      </w:r>
      <w:r w:rsidRPr="00F347C6">
        <w:rPr>
          <w:rStyle w:val="IntenseReference"/>
          <w:rFonts w:ascii="Times New Roman" w:hAnsi="Times New Roman" w:cs="Times New Roman"/>
          <w:sz w:val="24"/>
          <w:szCs w:val="24"/>
        </w:rPr>
        <w:t xml:space="preserve"> põllumajandustootjatel piisavalt vahendeid investeeringute tegemiseks.</w:t>
      </w:r>
    </w:p>
    <w:p w:rsidR="00D25510" w:rsidRPr="0024503A" w:rsidRDefault="00D25510" w:rsidP="00617526">
      <w:pPr>
        <w:pStyle w:val="Heading3"/>
        <w:spacing w:line="276" w:lineRule="auto"/>
        <w:rPr>
          <w:rFonts w:ascii="Times New Roman" w:hAnsi="Times New Roman" w:cs="Times New Roman"/>
          <w:b w:val="0"/>
        </w:rPr>
      </w:pPr>
      <w:bookmarkStart w:id="787" w:name="_Toc378697831"/>
      <w:bookmarkStart w:id="788" w:name="_Toc378773277"/>
      <w:bookmarkStart w:id="789" w:name="_Toc379197461"/>
      <w:bookmarkStart w:id="790" w:name="_Toc379205498"/>
      <w:bookmarkStart w:id="791" w:name="_Toc379268194"/>
      <w:bookmarkStart w:id="792" w:name="_Toc379296768"/>
      <w:bookmarkStart w:id="793" w:name="_Toc379373477"/>
      <w:bookmarkStart w:id="794" w:name="_Toc379799862"/>
      <w:bookmarkStart w:id="795" w:name="_Toc381633604"/>
      <w:bookmarkStart w:id="796" w:name="_Toc381633749"/>
      <w:bookmarkStart w:id="797" w:name="_Toc384050917"/>
      <w:bookmarkStart w:id="798" w:name="_Toc384052621"/>
      <w:bookmarkStart w:id="799" w:name="_Toc384283964"/>
      <w:bookmarkStart w:id="800" w:name="_Toc384284075"/>
      <w:bookmarkStart w:id="801" w:name="_Toc384386268"/>
      <w:bookmarkStart w:id="802" w:name="_Toc384386480"/>
      <w:bookmarkStart w:id="803" w:name="_Toc384392346"/>
      <w:bookmarkStart w:id="804" w:name="_Toc385253777"/>
      <w:bookmarkStart w:id="805" w:name="_Toc385335149"/>
      <w:bookmarkStart w:id="806" w:name="_Toc389128818"/>
      <w:bookmarkStart w:id="807" w:name="_Toc389131365"/>
      <w:bookmarkStart w:id="808" w:name="_Toc389223900"/>
      <w:bookmarkStart w:id="809" w:name="_Toc389223962"/>
      <w:bookmarkStart w:id="810" w:name="_Toc391908894"/>
      <w:bookmarkStart w:id="811" w:name="_Toc391991828"/>
      <w:bookmarkStart w:id="812" w:name="_Toc397593048"/>
      <w:bookmarkStart w:id="813" w:name="_Toc398896343"/>
      <w:bookmarkStart w:id="814" w:name="_Toc398896483"/>
      <w:bookmarkStart w:id="815" w:name="_Toc400972855"/>
      <w:r w:rsidRPr="0024503A">
        <w:rPr>
          <w:rFonts w:ascii="Times New Roman" w:hAnsi="Times New Roman" w:cs="Times New Roman"/>
        </w:rPr>
        <w:t>Teravilja</w:t>
      </w:r>
      <w:r w:rsidR="00820EB7" w:rsidRPr="0024503A">
        <w:rPr>
          <w:rFonts w:ascii="Times New Roman" w:hAnsi="Times New Roman" w:cs="Times New Roman"/>
        </w:rPr>
        <w:t xml:space="preserve"> tootmise</w:t>
      </w:r>
      <w:r w:rsidRPr="0024503A">
        <w:rPr>
          <w:rFonts w:ascii="Times New Roman" w:hAnsi="Times New Roman" w:cs="Times New Roman"/>
        </w:rPr>
        <w:t xml:space="preserve"> majanduslik ülevaade</w:t>
      </w:r>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
    <w:p w:rsidR="00137792" w:rsidRPr="0024503A" w:rsidRDefault="00137792" w:rsidP="00617526">
      <w:pPr>
        <w:spacing w:line="276" w:lineRule="auto"/>
        <w:jc w:val="both"/>
        <w:rPr>
          <w:rFonts w:ascii="Times New Roman" w:hAnsi="Times New Roman" w:cs="Times New Roman"/>
          <w:sz w:val="24"/>
          <w:szCs w:val="24"/>
        </w:rPr>
      </w:pPr>
    </w:p>
    <w:p w:rsidR="00D25510" w:rsidRPr="0024503A" w:rsidRDefault="00D25510" w:rsidP="00617526">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 xml:space="preserve">Aastatel 2004–2007 toimus põllumajandussektoris peamiste majandusnäitajate (majandusharu toodangu, brutolisandväärtuse ja faktortulu) kiire kasv, millele järgnes 2008. ja 2009. aastal järsk langus ning alates 2010. aastast hakkas olukord taas paranema. Aastatel 2011 ja 2012 tõus jätkus ning põllumajandussektori majandustulemused ületasid isegi kriisieelse </w:t>
      </w:r>
      <w:r w:rsidRPr="001521B7">
        <w:rPr>
          <w:rFonts w:ascii="Times New Roman" w:hAnsi="Times New Roman" w:cs="Times New Roman"/>
          <w:sz w:val="24"/>
          <w:szCs w:val="24"/>
        </w:rPr>
        <w:t xml:space="preserve">taseme. 2012. aastaks oli </w:t>
      </w:r>
      <w:r w:rsidRPr="001521B7">
        <w:rPr>
          <w:rFonts w:ascii="Times New Roman" w:hAnsi="Times New Roman" w:cs="Times New Roman"/>
          <w:sz w:val="24"/>
          <w:szCs w:val="24"/>
        </w:rPr>
        <w:lastRenderedPageBreak/>
        <w:t xml:space="preserve">majandusharu toodang </w:t>
      </w:r>
      <w:r w:rsidR="001521B7" w:rsidRPr="001521B7">
        <w:rPr>
          <w:rFonts w:ascii="Times New Roman" w:hAnsi="Times New Roman" w:cs="Times New Roman"/>
          <w:sz w:val="24"/>
          <w:szCs w:val="24"/>
        </w:rPr>
        <w:t xml:space="preserve">võrreldes 2004. aastaga </w:t>
      </w:r>
      <w:r w:rsidRPr="001521B7">
        <w:rPr>
          <w:rFonts w:ascii="Times New Roman" w:hAnsi="Times New Roman" w:cs="Times New Roman"/>
          <w:sz w:val="24"/>
          <w:szCs w:val="24"/>
        </w:rPr>
        <w:t>suurenenud 1,8 korda ning faktortulu</w:t>
      </w:r>
      <w:r w:rsidRPr="001521B7">
        <w:rPr>
          <w:rStyle w:val="FootnoteReference"/>
          <w:rFonts w:ascii="Times New Roman" w:hAnsi="Times New Roman" w:cs="Times New Roman"/>
          <w:sz w:val="24"/>
          <w:szCs w:val="24"/>
        </w:rPr>
        <w:footnoteReference w:id="23"/>
      </w:r>
      <w:r w:rsidRPr="001521B7">
        <w:rPr>
          <w:rFonts w:ascii="Times New Roman" w:hAnsi="Times New Roman" w:cs="Times New Roman"/>
          <w:sz w:val="24"/>
          <w:szCs w:val="24"/>
        </w:rPr>
        <w:t xml:space="preserve"> veidi üle </w:t>
      </w:r>
      <w:r w:rsidR="004B7023">
        <w:rPr>
          <w:rFonts w:ascii="Times New Roman" w:hAnsi="Times New Roman" w:cs="Times New Roman"/>
          <w:sz w:val="24"/>
          <w:szCs w:val="24"/>
        </w:rPr>
        <w:t>kahe</w:t>
      </w:r>
      <w:r w:rsidRPr="001521B7">
        <w:rPr>
          <w:rFonts w:ascii="Times New Roman" w:hAnsi="Times New Roman" w:cs="Times New Roman"/>
          <w:sz w:val="24"/>
          <w:szCs w:val="24"/>
        </w:rPr>
        <w:t xml:space="preserve"> korra</w:t>
      </w:r>
      <w:r w:rsidR="0073061A" w:rsidRPr="001521B7">
        <w:rPr>
          <w:rFonts w:ascii="Times New Roman" w:hAnsi="Times New Roman" w:cs="Times New Roman"/>
          <w:sz w:val="24"/>
          <w:szCs w:val="24"/>
        </w:rPr>
        <w:t>.</w:t>
      </w:r>
    </w:p>
    <w:p w:rsidR="00D25510" w:rsidRPr="0024503A" w:rsidRDefault="00D25510" w:rsidP="00617526">
      <w:pPr>
        <w:spacing w:line="276" w:lineRule="auto"/>
        <w:jc w:val="both"/>
        <w:rPr>
          <w:rFonts w:ascii="Times New Roman" w:hAnsi="Times New Roman" w:cs="Times New Roman"/>
          <w:sz w:val="24"/>
          <w:szCs w:val="24"/>
        </w:rPr>
      </w:pPr>
    </w:p>
    <w:p w:rsidR="00D25510" w:rsidRPr="0024503A" w:rsidRDefault="00D25510" w:rsidP="00617526">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2005. ja 2006. aastal suurenes netolisandväärtus faktorhinnas ca 10% aastas. Mõlemal aastal tõusid kiiresti ka sisendite hinnad, eelkõige kütuse ja elektrienergia hinnad, mis suurendasid ka teravilja kasvatamiseks tehtavaid kulusid. Samas suurenes ka toetuste maht, mis tagas lisandväärtuse suurenemise. Teraviljatoodangu väärtus (sh 5–9% tootetoetuste osa) moodustas neil aastail taimekasvatustoodangust ca 40% ja majandusharutoodangust 14–15%. Tähtsaimateks teraviljakultuurideks olid oder ja nisu, andes taimekasvatustoodangu väärtusest kokku ca 35%.</w:t>
      </w:r>
    </w:p>
    <w:p w:rsidR="00D25510" w:rsidRPr="0024503A" w:rsidRDefault="00D25510" w:rsidP="00617526">
      <w:pPr>
        <w:spacing w:line="276" w:lineRule="auto"/>
        <w:jc w:val="both"/>
        <w:rPr>
          <w:rFonts w:ascii="Times New Roman" w:hAnsi="Times New Roman" w:cs="Times New Roman"/>
          <w:sz w:val="24"/>
          <w:szCs w:val="24"/>
        </w:rPr>
      </w:pPr>
    </w:p>
    <w:p w:rsidR="00D25510" w:rsidRPr="0024503A" w:rsidRDefault="00D25510" w:rsidP="00617526">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2007. aastal suurenes netolisandväärtus faktorhinnas taimekasvatustoodangu suurenemise ja põllumajandustoodete tootjahindade tõusu (13%) tõttu enam kui kolmandiku võrra. Teravilja</w:t>
      </w:r>
      <w:r w:rsidR="00EC496F">
        <w:rPr>
          <w:rFonts w:ascii="Times New Roman" w:hAnsi="Times New Roman" w:cs="Times New Roman"/>
          <w:sz w:val="24"/>
          <w:szCs w:val="24"/>
        </w:rPr>
        <w:t xml:space="preserve"> </w:t>
      </w:r>
      <w:r w:rsidRPr="0024503A">
        <w:rPr>
          <w:rFonts w:ascii="Times New Roman" w:hAnsi="Times New Roman" w:cs="Times New Roman"/>
          <w:sz w:val="24"/>
          <w:szCs w:val="24"/>
        </w:rPr>
        <w:t>kokkuostuhinnad tõusid enam kui tootmiseks kasutatud s</w:t>
      </w:r>
      <w:r w:rsidR="00EC496F">
        <w:rPr>
          <w:rFonts w:ascii="Times New Roman" w:hAnsi="Times New Roman" w:cs="Times New Roman"/>
          <w:sz w:val="24"/>
          <w:szCs w:val="24"/>
        </w:rPr>
        <w:t>isendite hinnad. Selle tulemusena</w:t>
      </w:r>
      <w:r w:rsidRPr="0024503A">
        <w:rPr>
          <w:rFonts w:ascii="Times New Roman" w:hAnsi="Times New Roman" w:cs="Times New Roman"/>
          <w:sz w:val="24"/>
          <w:szCs w:val="24"/>
        </w:rPr>
        <w:t xml:space="preserve"> saavutati Eesti põllumajandussektoris kogu EL</w:t>
      </w:r>
      <w:r w:rsidR="00D50DE1">
        <w:rPr>
          <w:rFonts w:ascii="Times New Roman" w:hAnsi="Times New Roman" w:cs="Times New Roman"/>
          <w:sz w:val="24"/>
          <w:szCs w:val="24"/>
        </w:rPr>
        <w:t>i liitumisjärgse perioodi (2004–</w:t>
      </w:r>
      <w:r w:rsidRPr="0024503A">
        <w:rPr>
          <w:rFonts w:ascii="Times New Roman" w:hAnsi="Times New Roman" w:cs="Times New Roman"/>
          <w:sz w:val="24"/>
          <w:szCs w:val="24"/>
        </w:rPr>
        <w:t xml:space="preserve">2007) tulukusenäitajate kõrgeim tase. Teravilja toodangu väärtus moodustas seejuures poole taimekasvatustoodangust, milles tootetoetuste osa oli vaid 4,1%. </w:t>
      </w:r>
    </w:p>
    <w:p w:rsidR="00D25510" w:rsidRPr="0024503A" w:rsidRDefault="00D25510" w:rsidP="00617526">
      <w:pPr>
        <w:spacing w:line="276" w:lineRule="auto"/>
        <w:jc w:val="both"/>
        <w:rPr>
          <w:rFonts w:ascii="Times New Roman" w:hAnsi="Times New Roman" w:cs="Times New Roman"/>
          <w:sz w:val="24"/>
          <w:szCs w:val="24"/>
        </w:rPr>
      </w:pPr>
    </w:p>
    <w:p w:rsidR="00D25510" w:rsidRPr="0024503A" w:rsidRDefault="00D25510" w:rsidP="00617526">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2008. aastal alanud ja 2009. aastal süvenenud majanduskriis mõjutas põllumajandustoodangu hindu. Samal ajal jätkus sisendite hinnatõus (keskmiselt 13%</w:t>
      </w:r>
      <w:r w:rsidR="00A6746C">
        <w:rPr>
          <w:rFonts w:ascii="Times New Roman" w:hAnsi="Times New Roman" w:cs="Times New Roman"/>
          <w:sz w:val="24"/>
          <w:szCs w:val="24"/>
        </w:rPr>
        <w:t xml:space="preserve"> aastas</w:t>
      </w:r>
      <w:r w:rsidRPr="0024503A">
        <w:rPr>
          <w:rFonts w:ascii="Times New Roman" w:hAnsi="Times New Roman" w:cs="Times New Roman"/>
          <w:sz w:val="24"/>
          <w:szCs w:val="24"/>
        </w:rPr>
        <w:t xml:space="preserve">) ning teravilja koristusperioodil lisandusid ka ebasoodsad ilmastikutingimused. Põllumajanduse majandusharu toodangu väärtus suurenes, kuid tulukusenäitajad langesid oluliselt. Teravilja </w:t>
      </w:r>
      <w:r w:rsidR="00A6746C">
        <w:rPr>
          <w:rFonts w:ascii="Times New Roman" w:hAnsi="Times New Roman" w:cs="Times New Roman"/>
          <w:sz w:val="24"/>
          <w:szCs w:val="24"/>
        </w:rPr>
        <w:t>kogu</w:t>
      </w:r>
      <w:r w:rsidRPr="0024503A">
        <w:rPr>
          <w:rFonts w:ascii="Times New Roman" w:hAnsi="Times New Roman" w:cs="Times New Roman"/>
          <w:sz w:val="24"/>
          <w:szCs w:val="24"/>
        </w:rPr>
        <w:t>toodangu väärtus vähenes poole võrra.</w:t>
      </w:r>
    </w:p>
    <w:p w:rsidR="00D25510" w:rsidRPr="0024503A" w:rsidRDefault="00D25510" w:rsidP="00617526">
      <w:pPr>
        <w:spacing w:line="276" w:lineRule="auto"/>
        <w:jc w:val="both"/>
        <w:rPr>
          <w:rFonts w:ascii="Times New Roman" w:hAnsi="Times New Roman" w:cs="Times New Roman"/>
          <w:sz w:val="24"/>
          <w:szCs w:val="24"/>
        </w:rPr>
      </w:pPr>
    </w:p>
    <w:p w:rsidR="00D25510" w:rsidRPr="0024503A" w:rsidRDefault="00D25510" w:rsidP="00617526">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Põllumajandussektori majanduslik olukord hakkas paranema 2010. aastal. Ilmastikutingimused vähendasid küll teravilja toodangu mahtu, kuid II poolaasta hinnatõus suurendas toodangu väärtust (sh tootetoetuste osa vaid 0,4%) kolmandiku võrra. 2011. aasta oli soodne ja nii suurenes teraviljatoodangu maht 14% ja kasvasid kokkuostuhinnad. 2012. aastal jätkus teraviljatoodangu väärtuse kasv, jõudes 3 korda kõrgemale tasemele, kui 2004. aastal</w:t>
      </w:r>
      <w:r w:rsidR="006E4858" w:rsidRPr="0024503A">
        <w:rPr>
          <w:rFonts w:ascii="Times New Roman" w:hAnsi="Times New Roman" w:cs="Times New Roman"/>
          <w:sz w:val="24"/>
          <w:szCs w:val="24"/>
        </w:rPr>
        <w:t xml:space="preserve"> (joonis 26</w:t>
      </w:r>
      <w:r w:rsidR="00114E19" w:rsidRPr="0024503A">
        <w:rPr>
          <w:rFonts w:ascii="Times New Roman" w:hAnsi="Times New Roman" w:cs="Times New Roman"/>
          <w:sz w:val="24"/>
          <w:szCs w:val="24"/>
        </w:rPr>
        <w:t>)</w:t>
      </w:r>
      <w:r w:rsidRPr="0024503A">
        <w:rPr>
          <w:rFonts w:ascii="Times New Roman" w:hAnsi="Times New Roman" w:cs="Times New Roman"/>
          <w:sz w:val="24"/>
          <w:szCs w:val="24"/>
        </w:rPr>
        <w:t>. Tõusid ka tootmissisendite hinnad, kuid vähem kui turult saadav tulu. Taimekasvatusele, mis moodustas 48% majandusharutoodangust, enam tootetoetuseid ei maksta, need on asendatud tootmisest lahtiseotud toetustega. Teraviljatoodangu osatähtsus on 2007. aastaga sarnasel tasemel, seejuures veerandi andis nisu (väärtus 4,7 korda suurem kui 2004. a), millele järgnes oder (16%).</w:t>
      </w:r>
    </w:p>
    <w:p w:rsidR="007D7499" w:rsidRPr="0095169D" w:rsidRDefault="009A2330" w:rsidP="00617526">
      <w:pPr>
        <w:spacing w:line="276" w:lineRule="auto"/>
        <w:jc w:val="both"/>
        <w:rPr>
          <w:sz w:val="24"/>
          <w:szCs w:val="24"/>
        </w:rPr>
      </w:pPr>
      <w:r w:rsidRPr="0094348E">
        <w:rPr>
          <w:noProof/>
        </w:rPr>
        <w:lastRenderedPageBreak/>
        <w:drawing>
          <wp:inline distT="0" distB="0" distL="0" distR="0" wp14:anchorId="12F3C675" wp14:editId="2D1123D6">
            <wp:extent cx="6067425" cy="201930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D25510" w:rsidRPr="0095169D">
        <w:rPr>
          <w:sz w:val="24"/>
          <w:szCs w:val="24"/>
        </w:rPr>
        <w:t xml:space="preserve"> </w:t>
      </w:r>
    </w:p>
    <w:p w:rsidR="007D7499" w:rsidRPr="009A2330" w:rsidRDefault="007D7499" w:rsidP="00617526">
      <w:pPr>
        <w:tabs>
          <w:tab w:val="center" w:pos="4536"/>
          <w:tab w:val="right" w:pos="9072"/>
        </w:tabs>
        <w:spacing w:line="276" w:lineRule="auto"/>
        <w:jc w:val="both"/>
        <w:rPr>
          <w:rFonts w:ascii="Arial" w:hAnsi="Arial" w:cs="Arial"/>
          <w:kern w:val="56"/>
        </w:rPr>
      </w:pPr>
      <w:r w:rsidRPr="009A2330">
        <w:rPr>
          <w:rFonts w:ascii="Arial" w:hAnsi="Arial" w:cs="Arial"/>
          <w:kern w:val="56"/>
        </w:rPr>
        <w:t>Allikas: SA</w:t>
      </w:r>
    </w:p>
    <w:p w:rsidR="00D25510" w:rsidRPr="0024503A" w:rsidRDefault="00D25510" w:rsidP="00617526">
      <w:pPr>
        <w:spacing w:line="276" w:lineRule="auto"/>
        <w:jc w:val="both"/>
        <w:rPr>
          <w:rFonts w:ascii="Times New Roman" w:hAnsi="Times New Roman" w:cs="Times New Roman"/>
          <w:sz w:val="24"/>
          <w:szCs w:val="24"/>
        </w:rPr>
      </w:pPr>
      <w:r w:rsidRPr="0024503A">
        <w:rPr>
          <w:rFonts w:ascii="Times New Roman" w:hAnsi="Times New Roman" w:cs="Times New Roman"/>
          <w:b/>
          <w:sz w:val="24"/>
          <w:szCs w:val="24"/>
        </w:rPr>
        <w:t>Joonis 2</w:t>
      </w:r>
      <w:r w:rsidR="006E4858" w:rsidRPr="0024503A">
        <w:rPr>
          <w:rFonts w:ascii="Times New Roman" w:hAnsi="Times New Roman" w:cs="Times New Roman"/>
          <w:b/>
          <w:sz w:val="24"/>
          <w:szCs w:val="24"/>
        </w:rPr>
        <w:t>6</w:t>
      </w:r>
      <w:r w:rsidRPr="0024503A">
        <w:rPr>
          <w:rFonts w:ascii="Times New Roman" w:hAnsi="Times New Roman" w:cs="Times New Roman"/>
          <w:b/>
          <w:sz w:val="24"/>
          <w:szCs w:val="24"/>
        </w:rPr>
        <w:t xml:space="preserve">. Teravilja </w:t>
      </w:r>
      <w:r w:rsidR="00D50DE1">
        <w:rPr>
          <w:rFonts w:ascii="Times New Roman" w:hAnsi="Times New Roman" w:cs="Times New Roman"/>
          <w:b/>
          <w:sz w:val="24"/>
          <w:szCs w:val="24"/>
        </w:rPr>
        <w:t>toodangu väärtus aastatel 2004–</w:t>
      </w:r>
      <w:r w:rsidRPr="0024503A">
        <w:rPr>
          <w:rFonts w:ascii="Times New Roman" w:hAnsi="Times New Roman" w:cs="Times New Roman"/>
          <w:b/>
          <w:sz w:val="24"/>
          <w:szCs w:val="24"/>
        </w:rPr>
        <w:t>2012</w:t>
      </w:r>
    </w:p>
    <w:p w:rsidR="00D25510" w:rsidRPr="0024503A" w:rsidRDefault="00D25510" w:rsidP="00617526">
      <w:pPr>
        <w:spacing w:line="276" w:lineRule="auto"/>
        <w:jc w:val="both"/>
        <w:rPr>
          <w:rFonts w:ascii="Times New Roman" w:hAnsi="Times New Roman" w:cs="Times New Roman"/>
          <w:sz w:val="24"/>
          <w:szCs w:val="24"/>
        </w:rPr>
      </w:pPr>
    </w:p>
    <w:p w:rsidR="00D25510" w:rsidRPr="0024503A" w:rsidRDefault="00D25510" w:rsidP="00617526">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Teravilja kõrval on perioodi jooksul oluliselt suurenenud rapsi toodangu väärtus (4,5 korda) ja osatähtsus põllumajanduse majandusharu kogutoodangu (3</w:t>
      </w:r>
      <w:r w:rsidR="0027307C">
        <w:rPr>
          <w:rFonts w:ascii="Times New Roman" w:hAnsi="Times New Roman" w:cs="Times New Roman"/>
          <w:sz w:val="24"/>
          <w:szCs w:val="24"/>
        </w:rPr>
        <w:t>-</w:t>
      </w:r>
      <w:r w:rsidRPr="0024503A">
        <w:rPr>
          <w:rFonts w:ascii="Times New Roman" w:hAnsi="Times New Roman" w:cs="Times New Roman"/>
          <w:sz w:val="24"/>
          <w:szCs w:val="24"/>
        </w:rPr>
        <w:t>lt 8</w:t>
      </w:r>
      <w:r w:rsidR="0027307C">
        <w:rPr>
          <w:rFonts w:ascii="Times New Roman" w:hAnsi="Times New Roman" w:cs="Times New Roman"/>
          <w:sz w:val="24"/>
          <w:szCs w:val="24"/>
        </w:rPr>
        <w:t>-</w:t>
      </w:r>
      <w:r w:rsidRPr="0024503A">
        <w:rPr>
          <w:rFonts w:ascii="Times New Roman" w:hAnsi="Times New Roman" w:cs="Times New Roman"/>
          <w:sz w:val="24"/>
          <w:szCs w:val="24"/>
        </w:rPr>
        <w:t>le %) ja taimekasvatustoodangu väärtuses (10</w:t>
      </w:r>
      <w:r w:rsidR="0027307C">
        <w:rPr>
          <w:rFonts w:ascii="Times New Roman" w:hAnsi="Times New Roman" w:cs="Times New Roman"/>
          <w:sz w:val="24"/>
          <w:szCs w:val="24"/>
        </w:rPr>
        <w:t>-</w:t>
      </w:r>
      <w:r w:rsidRPr="0024503A">
        <w:rPr>
          <w:rFonts w:ascii="Times New Roman" w:hAnsi="Times New Roman" w:cs="Times New Roman"/>
          <w:sz w:val="24"/>
          <w:szCs w:val="24"/>
        </w:rPr>
        <w:t>lt 18</w:t>
      </w:r>
      <w:r w:rsidR="0027307C">
        <w:rPr>
          <w:rFonts w:ascii="Times New Roman" w:hAnsi="Times New Roman" w:cs="Times New Roman"/>
          <w:sz w:val="24"/>
          <w:szCs w:val="24"/>
        </w:rPr>
        <w:t>-</w:t>
      </w:r>
      <w:r w:rsidRPr="0024503A">
        <w:rPr>
          <w:rFonts w:ascii="Times New Roman" w:hAnsi="Times New Roman" w:cs="Times New Roman"/>
          <w:sz w:val="24"/>
          <w:szCs w:val="24"/>
        </w:rPr>
        <w:t xml:space="preserve">le %). </w:t>
      </w:r>
    </w:p>
    <w:p w:rsidR="00D25510" w:rsidRPr="0024503A" w:rsidRDefault="00D25510" w:rsidP="00617526">
      <w:pPr>
        <w:spacing w:line="276" w:lineRule="auto"/>
        <w:rPr>
          <w:rFonts w:ascii="Times New Roman" w:hAnsi="Times New Roman" w:cs="Times New Roman"/>
          <w:sz w:val="24"/>
          <w:szCs w:val="24"/>
        </w:rPr>
      </w:pPr>
    </w:p>
    <w:p w:rsidR="00D25510" w:rsidRPr="0024503A" w:rsidRDefault="00D25510" w:rsidP="00617526">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Teraviljatoo</w:t>
      </w:r>
      <w:r w:rsidR="00583E4E">
        <w:rPr>
          <w:rFonts w:ascii="Times New Roman" w:hAnsi="Times New Roman" w:cs="Times New Roman"/>
          <w:sz w:val="24"/>
          <w:szCs w:val="24"/>
        </w:rPr>
        <w:t>t</w:t>
      </w:r>
      <w:r w:rsidRPr="0024503A">
        <w:rPr>
          <w:rFonts w:ascii="Times New Roman" w:hAnsi="Times New Roman" w:cs="Times New Roman"/>
          <w:sz w:val="24"/>
          <w:szCs w:val="24"/>
        </w:rPr>
        <w:t>jate majandustulemuste analüüsimiseks on kasutatud põllumajandusliku raamatupidamise andmebaasi andmeid</w:t>
      </w:r>
      <w:r w:rsidRPr="0024503A">
        <w:rPr>
          <w:rStyle w:val="FootnoteReference"/>
          <w:rFonts w:ascii="Times New Roman" w:hAnsi="Times New Roman" w:cs="Times New Roman"/>
          <w:sz w:val="24"/>
          <w:szCs w:val="24"/>
        </w:rPr>
        <w:footnoteReference w:id="24"/>
      </w:r>
      <w:r w:rsidRPr="0024503A">
        <w:rPr>
          <w:rFonts w:ascii="Times New Roman" w:hAnsi="Times New Roman" w:cs="Times New Roman"/>
          <w:sz w:val="24"/>
          <w:szCs w:val="24"/>
        </w:rPr>
        <w:t xml:space="preserve"> 2006–2012 aastate kohta. Analüüsimise aluseks olid teravilja, õli- ja valgukultuuride kasvatamisele spetsialiseerunud ettevõtted (edaspidi teraviljatootjad). Teraviljatootjaid oli põllumajandustootjate üldkogumis 1978 (25% üldkogumist), keda esindas 2012. aasta valimis 162 ettevõtet.</w:t>
      </w:r>
      <w:r w:rsidR="006E4858" w:rsidRPr="0024503A">
        <w:rPr>
          <w:rFonts w:ascii="Times New Roman" w:hAnsi="Times New Roman" w:cs="Times New Roman"/>
          <w:sz w:val="24"/>
          <w:szCs w:val="24"/>
        </w:rPr>
        <w:t xml:space="preserve"> </w:t>
      </w:r>
      <w:r w:rsidRPr="0024503A">
        <w:rPr>
          <w:rFonts w:ascii="Times New Roman" w:hAnsi="Times New Roman" w:cs="Times New Roman"/>
          <w:sz w:val="24"/>
          <w:szCs w:val="24"/>
        </w:rPr>
        <w:t>Üldkogumisse kuuluvad teraviljatootjad võib majandusliku suuruse alusel tinglikult jagada kolme gruppi: väiketootjad (st</w:t>
      </w:r>
      <w:r w:rsidR="0027443A" w:rsidRPr="0024503A">
        <w:rPr>
          <w:rFonts w:ascii="Times New Roman" w:hAnsi="Times New Roman" w:cs="Times New Roman"/>
          <w:sz w:val="24"/>
          <w:szCs w:val="24"/>
        </w:rPr>
        <w:t>andardkogutoodangu väärtus 4</w:t>
      </w:r>
      <w:r w:rsidRPr="0024503A">
        <w:rPr>
          <w:rFonts w:ascii="Times New Roman" w:hAnsi="Times New Roman" w:cs="Times New Roman"/>
          <w:sz w:val="24"/>
          <w:szCs w:val="24"/>
        </w:rPr>
        <w:t>–25</w:t>
      </w:r>
      <w:r w:rsidR="0027443A" w:rsidRPr="0024503A">
        <w:rPr>
          <w:rFonts w:ascii="Times New Roman" w:hAnsi="Times New Roman" w:cs="Times New Roman"/>
          <w:sz w:val="24"/>
          <w:szCs w:val="24"/>
        </w:rPr>
        <w:t xml:space="preserve"> tuhat </w:t>
      </w:r>
      <w:r w:rsidR="00BE5A5F" w:rsidRPr="0024503A">
        <w:rPr>
          <w:rFonts w:ascii="Times New Roman" w:hAnsi="Times New Roman" w:cs="Times New Roman"/>
          <w:sz w:val="24"/>
          <w:szCs w:val="24"/>
        </w:rPr>
        <w:t>eurot</w:t>
      </w:r>
      <w:r w:rsidRPr="0024503A">
        <w:rPr>
          <w:rFonts w:ascii="Times New Roman" w:hAnsi="Times New Roman" w:cs="Times New Roman"/>
          <w:sz w:val="24"/>
          <w:szCs w:val="24"/>
        </w:rPr>
        <w:t>), keskmise suurusega tootjad (standardkogut</w:t>
      </w:r>
      <w:r w:rsidR="0027443A" w:rsidRPr="0024503A">
        <w:rPr>
          <w:rFonts w:ascii="Times New Roman" w:hAnsi="Times New Roman" w:cs="Times New Roman"/>
          <w:sz w:val="24"/>
          <w:szCs w:val="24"/>
        </w:rPr>
        <w:t>oodangu väärtus 25–100 tuhat</w:t>
      </w:r>
      <w:r w:rsidR="00BE5A5F" w:rsidRPr="0024503A">
        <w:rPr>
          <w:rFonts w:ascii="Times New Roman" w:hAnsi="Times New Roman" w:cs="Times New Roman"/>
          <w:sz w:val="24"/>
          <w:szCs w:val="24"/>
        </w:rPr>
        <w:t xml:space="preserve"> eurot</w:t>
      </w:r>
      <w:r w:rsidRPr="0024503A">
        <w:rPr>
          <w:rFonts w:ascii="Times New Roman" w:hAnsi="Times New Roman" w:cs="Times New Roman"/>
          <w:sz w:val="24"/>
          <w:szCs w:val="24"/>
        </w:rPr>
        <w:t>) ning suurtoojad (standardkogutoo</w:t>
      </w:r>
      <w:r w:rsidR="0027443A" w:rsidRPr="0024503A">
        <w:rPr>
          <w:rFonts w:ascii="Times New Roman" w:hAnsi="Times New Roman" w:cs="Times New Roman"/>
          <w:sz w:val="24"/>
          <w:szCs w:val="24"/>
        </w:rPr>
        <w:t>dangu väärtus suurem kui 100 tuhat</w:t>
      </w:r>
      <w:r w:rsidR="00BE5A5F" w:rsidRPr="0024503A">
        <w:rPr>
          <w:rFonts w:ascii="Times New Roman" w:hAnsi="Times New Roman" w:cs="Times New Roman"/>
          <w:sz w:val="24"/>
          <w:szCs w:val="24"/>
        </w:rPr>
        <w:t xml:space="preserve"> eurot</w:t>
      </w:r>
      <w:r w:rsidRPr="0024503A">
        <w:rPr>
          <w:rFonts w:ascii="Times New Roman" w:hAnsi="Times New Roman" w:cs="Times New Roman"/>
          <w:sz w:val="24"/>
          <w:szCs w:val="24"/>
        </w:rPr>
        <w:t>).</w:t>
      </w:r>
    </w:p>
    <w:p w:rsidR="00D25510" w:rsidRPr="0024503A" w:rsidRDefault="00D25510" w:rsidP="00617526">
      <w:pPr>
        <w:spacing w:line="276" w:lineRule="auto"/>
        <w:jc w:val="both"/>
        <w:rPr>
          <w:rFonts w:ascii="Times New Roman" w:hAnsi="Times New Roman" w:cs="Times New Roman"/>
          <w:sz w:val="24"/>
          <w:szCs w:val="24"/>
        </w:rPr>
      </w:pPr>
    </w:p>
    <w:p w:rsidR="00D25510" w:rsidRPr="0024503A" w:rsidRDefault="00D25510" w:rsidP="00617526">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Teraviljatootmisele spetsialiseerunud põllumajanduslikus majapidamises oli 2012. aastal keskmiselt kasutuses 188 h</w:t>
      </w:r>
      <w:r w:rsidR="00EC496F">
        <w:rPr>
          <w:rFonts w:ascii="Times New Roman" w:hAnsi="Times New Roman" w:cs="Times New Roman"/>
          <w:sz w:val="24"/>
          <w:szCs w:val="24"/>
        </w:rPr>
        <w:t>ektar</w:t>
      </w:r>
      <w:r w:rsidR="00365C45">
        <w:rPr>
          <w:rFonts w:ascii="Times New Roman" w:hAnsi="Times New Roman" w:cs="Times New Roman"/>
          <w:sz w:val="24"/>
          <w:szCs w:val="24"/>
        </w:rPr>
        <w:t>it</w:t>
      </w:r>
      <w:r w:rsidRPr="0024503A">
        <w:rPr>
          <w:rFonts w:ascii="Times New Roman" w:hAnsi="Times New Roman" w:cs="Times New Roman"/>
          <w:sz w:val="24"/>
          <w:szCs w:val="24"/>
        </w:rPr>
        <w:t xml:space="preserve"> põllumajanduslikku maad, millest 64% oli renditud või muudel alustel kasutada võetud. Üle poole </w:t>
      </w:r>
      <w:r w:rsidR="00A6746C">
        <w:rPr>
          <w:rFonts w:ascii="Times New Roman" w:hAnsi="Times New Roman" w:cs="Times New Roman"/>
          <w:sz w:val="24"/>
          <w:szCs w:val="24"/>
        </w:rPr>
        <w:t>põllu</w:t>
      </w:r>
      <w:r w:rsidRPr="0024503A">
        <w:rPr>
          <w:rFonts w:ascii="Times New Roman" w:hAnsi="Times New Roman" w:cs="Times New Roman"/>
          <w:sz w:val="24"/>
          <w:szCs w:val="24"/>
        </w:rPr>
        <w:t>maast (58%) oli teravilja all, ülejäänul kasvatati sööda- ja muid kultuure. Viiendik (18%) kasutatavast põllumajandusmaast oli tootmisest kõrvale jäetud maa, millest 39% oli kesa ja 61% toetusõigusl</w:t>
      </w:r>
      <w:r w:rsidR="00BE1E1C">
        <w:rPr>
          <w:rFonts w:ascii="Times New Roman" w:hAnsi="Times New Roman" w:cs="Times New Roman"/>
          <w:sz w:val="24"/>
          <w:szCs w:val="24"/>
        </w:rPr>
        <w:t>ik püsirohumaa, mida enam põllu</w:t>
      </w:r>
      <w:r w:rsidRPr="0024503A">
        <w:rPr>
          <w:rFonts w:ascii="Times New Roman" w:hAnsi="Times New Roman" w:cs="Times New Roman"/>
          <w:sz w:val="24"/>
          <w:szCs w:val="24"/>
        </w:rPr>
        <w:t>majanduslikuks tootmiseks ei kasutata.</w:t>
      </w:r>
    </w:p>
    <w:p w:rsidR="00D25510" w:rsidRPr="0024503A" w:rsidRDefault="00D25510" w:rsidP="00617526">
      <w:pPr>
        <w:spacing w:line="276" w:lineRule="auto"/>
        <w:jc w:val="both"/>
        <w:rPr>
          <w:rFonts w:ascii="Times New Roman" w:hAnsi="Times New Roman" w:cs="Times New Roman"/>
          <w:sz w:val="24"/>
          <w:szCs w:val="24"/>
        </w:rPr>
      </w:pPr>
    </w:p>
    <w:p w:rsidR="00D25510" w:rsidRPr="0024503A" w:rsidRDefault="00D25510" w:rsidP="00617526">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Võrreldes 2006. aastaga on teraviljatootjate keskmine maakasutus jäänud enam-vähem samale tasemele, samas maakasutuse struktuuris on teravilja</w:t>
      </w:r>
      <w:r w:rsidR="00A6746C">
        <w:rPr>
          <w:rFonts w:ascii="Times New Roman" w:hAnsi="Times New Roman" w:cs="Times New Roman"/>
          <w:sz w:val="24"/>
          <w:szCs w:val="24"/>
        </w:rPr>
        <w:t xml:space="preserve"> kasvupinna</w:t>
      </w:r>
      <w:r w:rsidRPr="0024503A">
        <w:rPr>
          <w:rFonts w:ascii="Times New Roman" w:hAnsi="Times New Roman" w:cs="Times New Roman"/>
          <w:sz w:val="24"/>
          <w:szCs w:val="24"/>
        </w:rPr>
        <w:t xml:space="preserve"> osatähtsus vähenenud ja juurde on tulnud toetusõiguslik kasutamata püsirohumaa. </w:t>
      </w:r>
    </w:p>
    <w:p w:rsidR="00D25510" w:rsidRPr="0024503A" w:rsidRDefault="00D25510" w:rsidP="00617526">
      <w:pPr>
        <w:spacing w:line="276" w:lineRule="auto"/>
        <w:jc w:val="both"/>
        <w:rPr>
          <w:rFonts w:ascii="Times New Roman" w:hAnsi="Times New Roman" w:cs="Times New Roman"/>
          <w:sz w:val="24"/>
          <w:szCs w:val="24"/>
        </w:rPr>
      </w:pPr>
    </w:p>
    <w:p w:rsidR="00D25510" w:rsidRPr="0024503A" w:rsidRDefault="00D25510" w:rsidP="00617526">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Tööjõu kasutamise intensiivsus erines oluliselt suurusgruppide lõikes</w:t>
      </w:r>
      <w:r w:rsidR="006E4858" w:rsidRPr="0024503A">
        <w:rPr>
          <w:rFonts w:ascii="Times New Roman" w:hAnsi="Times New Roman" w:cs="Times New Roman"/>
          <w:sz w:val="24"/>
          <w:szCs w:val="24"/>
        </w:rPr>
        <w:t xml:space="preserve"> (joonis 27</w:t>
      </w:r>
      <w:r w:rsidR="00114E19" w:rsidRPr="0024503A">
        <w:rPr>
          <w:rFonts w:ascii="Times New Roman" w:hAnsi="Times New Roman" w:cs="Times New Roman"/>
          <w:sz w:val="24"/>
          <w:szCs w:val="24"/>
        </w:rPr>
        <w:t>)</w:t>
      </w:r>
      <w:r w:rsidRPr="0024503A">
        <w:rPr>
          <w:rFonts w:ascii="Times New Roman" w:hAnsi="Times New Roman" w:cs="Times New Roman"/>
          <w:sz w:val="24"/>
          <w:szCs w:val="24"/>
        </w:rPr>
        <w:t xml:space="preserve">. Kõige intensiivsemalt kasutasid tööjõudu suurtootjad, kus 2012. aastal tuli ühe tööjõu aastaühiku kohta keskmiselt 171 hektarit põllumajanduslikku maad, mis on 2006. aastaga võrreldes 28% rohkem. Keskmise suurusega teraviljatootjatel tuli ühe tööjõu aastaühiku kohta keskmiselt 162 hektarit põllumajanduslikku maad, mis on 2006. aastaga võrreldes 46% rohkem. Väiketootjatel on </w:t>
      </w:r>
      <w:r w:rsidRPr="0024503A">
        <w:rPr>
          <w:rFonts w:ascii="Times New Roman" w:hAnsi="Times New Roman" w:cs="Times New Roman"/>
          <w:sz w:val="24"/>
          <w:szCs w:val="24"/>
        </w:rPr>
        <w:lastRenderedPageBreak/>
        <w:t>põllumajandusmaa kasutamine tööjõu aastaühiku kohta jäänud enam-vähem samale tasemele,</w:t>
      </w:r>
      <w:r w:rsidR="00560D87" w:rsidRPr="0024503A">
        <w:rPr>
          <w:rFonts w:ascii="Times New Roman" w:hAnsi="Times New Roman" w:cs="Times New Roman"/>
          <w:sz w:val="24"/>
          <w:szCs w:val="24"/>
        </w:rPr>
        <w:t xml:space="preserve"> </w:t>
      </w:r>
      <w:r w:rsidRPr="0024503A">
        <w:rPr>
          <w:rFonts w:ascii="Times New Roman" w:hAnsi="Times New Roman" w:cs="Times New Roman"/>
          <w:sz w:val="24"/>
          <w:szCs w:val="24"/>
        </w:rPr>
        <w:t>olles erinev</w:t>
      </w:r>
      <w:r w:rsidR="00FB648A" w:rsidRPr="0024503A">
        <w:rPr>
          <w:rFonts w:ascii="Times New Roman" w:hAnsi="Times New Roman" w:cs="Times New Roman"/>
          <w:sz w:val="24"/>
          <w:szCs w:val="24"/>
        </w:rPr>
        <w:t>atel aastatel vahemikus 64–79 hektarit</w:t>
      </w:r>
      <w:r w:rsidRPr="0024503A">
        <w:rPr>
          <w:rFonts w:ascii="Times New Roman" w:hAnsi="Times New Roman" w:cs="Times New Roman"/>
          <w:sz w:val="24"/>
          <w:szCs w:val="24"/>
        </w:rPr>
        <w:t xml:space="preserve">. </w:t>
      </w:r>
    </w:p>
    <w:p w:rsidR="00D25510" w:rsidRPr="0095169D" w:rsidRDefault="009A2330" w:rsidP="00617526">
      <w:pPr>
        <w:spacing w:before="120" w:line="276" w:lineRule="auto"/>
        <w:jc w:val="both"/>
        <w:rPr>
          <w:sz w:val="24"/>
          <w:szCs w:val="24"/>
        </w:rPr>
      </w:pPr>
      <w:r>
        <w:rPr>
          <w:noProof/>
        </w:rPr>
        <w:drawing>
          <wp:inline distT="0" distB="0" distL="0" distR="0" wp14:anchorId="05989E77" wp14:editId="4B03E6EA">
            <wp:extent cx="6067425" cy="1895475"/>
            <wp:effectExtent l="0" t="0" r="9525" b="952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25510" w:rsidRPr="009A2330" w:rsidRDefault="00D25510" w:rsidP="00617526">
      <w:pPr>
        <w:spacing w:line="276" w:lineRule="auto"/>
        <w:rPr>
          <w:rFonts w:ascii="Arial" w:hAnsi="Arial" w:cs="Arial"/>
        </w:rPr>
      </w:pPr>
      <w:r w:rsidRPr="009A2330">
        <w:rPr>
          <w:rFonts w:ascii="Arial" w:hAnsi="Arial" w:cs="Arial"/>
        </w:rPr>
        <w:t>Allikas: FADN</w:t>
      </w:r>
    </w:p>
    <w:p w:rsidR="00D25510" w:rsidRDefault="006E4858" w:rsidP="00617526">
      <w:pPr>
        <w:spacing w:line="276" w:lineRule="auto"/>
        <w:jc w:val="both"/>
        <w:rPr>
          <w:rFonts w:ascii="Times New Roman" w:hAnsi="Times New Roman" w:cs="Times New Roman"/>
          <w:b/>
          <w:sz w:val="24"/>
          <w:szCs w:val="24"/>
        </w:rPr>
      </w:pPr>
      <w:r w:rsidRPr="0024503A">
        <w:rPr>
          <w:rFonts w:ascii="Times New Roman" w:hAnsi="Times New Roman" w:cs="Times New Roman"/>
          <w:b/>
          <w:sz w:val="24"/>
          <w:szCs w:val="24"/>
        </w:rPr>
        <w:t>Joonis 27</w:t>
      </w:r>
      <w:r w:rsidR="00D25510" w:rsidRPr="0024503A">
        <w:rPr>
          <w:rFonts w:ascii="Times New Roman" w:hAnsi="Times New Roman" w:cs="Times New Roman"/>
          <w:b/>
          <w:sz w:val="24"/>
          <w:szCs w:val="24"/>
        </w:rPr>
        <w:t>. Põllumajandusmaa kasutamine tööjõu aastaühiku kohta majandusliku suurus</w:t>
      </w:r>
      <w:r w:rsidR="005347A0">
        <w:rPr>
          <w:rFonts w:ascii="Times New Roman" w:hAnsi="Times New Roman" w:cs="Times New Roman"/>
          <w:b/>
          <w:sz w:val="24"/>
          <w:szCs w:val="24"/>
        </w:rPr>
        <w:t>e gruppide lõikes aastatel 2006–</w:t>
      </w:r>
      <w:r w:rsidR="00D25510" w:rsidRPr="0024503A">
        <w:rPr>
          <w:rFonts w:ascii="Times New Roman" w:hAnsi="Times New Roman" w:cs="Times New Roman"/>
          <w:b/>
          <w:sz w:val="24"/>
          <w:szCs w:val="24"/>
        </w:rPr>
        <w:t>2012</w:t>
      </w:r>
    </w:p>
    <w:p w:rsidR="005B6C4E" w:rsidRPr="0024503A" w:rsidRDefault="005B6C4E" w:rsidP="00617526">
      <w:pPr>
        <w:spacing w:line="276" w:lineRule="auto"/>
        <w:jc w:val="both"/>
        <w:rPr>
          <w:rFonts w:ascii="Times New Roman" w:hAnsi="Times New Roman" w:cs="Times New Roman"/>
          <w:b/>
          <w:sz w:val="24"/>
          <w:szCs w:val="24"/>
        </w:rPr>
      </w:pPr>
    </w:p>
    <w:p w:rsidR="00D25510" w:rsidRPr="0024503A" w:rsidRDefault="00A6746C" w:rsidP="00617526">
      <w:pPr>
        <w:spacing w:line="276" w:lineRule="auto"/>
        <w:jc w:val="both"/>
        <w:rPr>
          <w:rFonts w:ascii="Times New Roman" w:hAnsi="Times New Roman" w:cs="Times New Roman"/>
          <w:sz w:val="24"/>
          <w:szCs w:val="24"/>
        </w:rPr>
      </w:pPr>
      <w:r>
        <w:rPr>
          <w:rFonts w:ascii="Times New Roman" w:hAnsi="Times New Roman" w:cs="Times New Roman"/>
          <w:sz w:val="24"/>
          <w:szCs w:val="24"/>
        </w:rPr>
        <w:t>2012. aastal kasutati t</w:t>
      </w:r>
      <w:r w:rsidR="00D25510" w:rsidRPr="0024503A">
        <w:rPr>
          <w:rFonts w:ascii="Times New Roman" w:hAnsi="Times New Roman" w:cs="Times New Roman"/>
          <w:sz w:val="24"/>
          <w:szCs w:val="24"/>
        </w:rPr>
        <w:t xml:space="preserve">ööjõudu keskmiselt 1,3 aastaühikut, sellest 48% oli tasustatud tööjõud. Tasustatud töötajate töötasu (k.a sotsiaalmaks) oli keskmiselt 5,43 eurot tunnis, mis on üle kahe korra rohkem kui 2006. aastal. </w:t>
      </w:r>
    </w:p>
    <w:p w:rsidR="00D25510" w:rsidRPr="0024503A" w:rsidRDefault="00D25510" w:rsidP="00617526">
      <w:pPr>
        <w:spacing w:line="276" w:lineRule="auto"/>
        <w:jc w:val="both"/>
        <w:rPr>
          <w:rFonts w:ascii="Times New Roman" w:hAnsi="Times New Roman" w:cs="Times New Roman"/>
          <w:sz w:val="24"/>
          <w:szCs w:val="24"/>
        </w:rPr>
      </w:pPr>
    </w:p>
    <w:p w:rsidR="00D25510" w:rsidRPr="0024503A" w:rsidRDefault="00D25510" w:rsidP="00617526">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Teraviljatootjatel oli kogutoo</w:t>
      </w:r>
      <w:r w:rsidR="00FB648A" w:rsidRPr="0024503A">
        <w:rPr>
          <w:rFonts w:ascii="Times New Roman" w:hAnsi="Times New Roman" w:cs="Times New Roman"/>
          <w:sz w:val="24"/>
          <w:szCs w:val="24"/>
        </w:rPr>
        <w:t>dangu väärtus keskmiselt 121,8 tuhat</w:t>
      </w:r>
      <w:r w:rsidRPr="0024503A">
        <w:rPr>
          <w:rFonts w:ascii="Times New Roman" w:hAnsi="Times New Roman" w:cs="Times New Roman"/>
          <w:sz w:val="24"/>
          <w:szCs w:val="24"/>
        </w:rPr>
        <w:t xml:space="preserve"> eurot, toetusi (v.a investeeringutoetused) saadi 33</w:t>
      </w:r>
      <w:r w:rsidR="004B72D6" w:rsidRPr="0024503A">
        <w:rPr>
          <w:rFonts w:ascii="Times New Roman" w:hAnsi="Times New Roman" w:cs="Times New Roman"/>
          <w:sz w:val="24"/>
          <w:szCs w:val="24"/>
        </w:rPr>
        <w:t>,4 tuhat</w:t>
      </w:r>
      <w:r w:rsidRPr="0024503A">
        <w:rPr>
          <w:rFonts w:ascii="Times New Roman" w:hAnsi="Times New Roman" w:cs="Times New Roman"/>
          <w:sz w:val="24"/>
          <w:szCs w:val="24"/>
        </w:rPr>
        <w:t xml:space="preserve"> eurot ettevõtte kohta, sh üle po</w:t>
      </w:r>
      <w:r w:rsidR="00FB648A" w:rsidRPr="0024503A">
        <w:rPr>
          <w:rFonts w:ascii="Times New Roman" w:hAnsi="Times New Roman" w:cs="Times New Roman"/>
          <w:sz w:val="24"/>
          <w:szCs w:val="24"/>
        </w:rPr>
        <w:t>ole toetuste kogusummast (18 tuhat</w:t>
      </w:r>
      <w:r w:rsidRPr="0024503A">
        <w:rPr>
          <w:rFonts w:ascii="Times New Roman" w:hAnsi="Times New Roman" w:cs="Times New Roman"/>
          <w:sz w:val="24"/>
          <w:szCs w:val="24"/>
        </w:rPr>
        <w:t xml:space="preserve"> eurot) moodustas ühtne pindalatoetus. Enamuse kogutoodangu väärtusest (71%) moodustas taimekasvatustoodang, toetuste (v.a investeeringutoetused) osa oli 22%, muud sissetulekud moodustasid 6% ning loomakasvatustoodang 1%.</w:t>
      </w:r>
    </w:p>
    <w:p w:rsidR="00D25510" w:rsidRPr="0024503A" w:rsidRDefault="00D25510" w:rsidP="00617526">
      <w:pPr>
        <w:spacing w:line="276" w:lineRule="auto"/>
        <w:jc w:val="both"/>
        <w:rPr>
          <w:rFonts w:ascii="Times New Roman" w:hAnsi="Times New Roman" w:cs="Times New Roman"/>
          <w:sz w:val="24"/>
          <w:szCs w:val="24"/>
        </w:rPr>
      </w:pPr>
    </w:p>
    <w:p w:rsidR="00D25510" w:rsidRPr="0024503A" w:rsidRDefault="00D25510" w:rsidP="00617526">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Kogukulu</w:t>
      </w:r>
      <w:r w:rsidR="00FB648A" w:rsidRPr="0024503A">
        <w:rPr>
          <w:rFonts w:ascii="Times New Roman" w:hAnsi="Times New Roman" w:cs="Times New Roman"/>
          <w:sz w:val="24"/>
          <w:szCs w:val="24"/>
        </w:rPr>
        <w:t xml:space="preserve">d moodustasid </w:t>
      </w:r>
      <w:r w:rsidR="00D6772A">
        <w:rPr>
          <w:rFonts w:ascii="Times New Roman" w:hAnsi="Times New Roman" w:cs="Times New Roman"/>
          <w:sz w:val="24"/>
          <w:szCs w:val="24"/>
        </w:rPr>
        <w:t xml:space="preserve">2012. aastal </w:t>
      </w:r>
      <w:r w:rsidR="00FB648A" w:rsidRPr="0024503A">
        <w:rPr>
          <w:rFonts w:ascii="Times New Roman" w:hAnsi="Times New Roman" w:cs="Times New Roman"/>
          <w:sz w:val="24"/>
          <w:szCs w:val="24"/>
        </w:rPr>
        <w:t>keskmiselt 113,8 tuhat</w:t>
      </w:r>
      <w:r w:rsidRPr="0024503A">
        <w:rPr>
          <w:rFonts w:ascii="Times New Roman" w:hAnsi="Times New Roman" w:cs="Times New Roman"/>
          <w:sz w:val="24"/>
          <w:szCs w:val="24"/>
        </w:rPr>
        <w:t xml:space="preserve"> eurot teraviljatootja kohta, sh erikulud 38%, üldkulud 34%, kulum 17%, tööjõukulud 6% ning intressid 2%. Kogutoodangu väärtus põllumajandusliku maa hektari kohta moodustas 650 eurot, toetused (v.a investeeringutoetused) 178 eurot ja kogukulud 607 eurot. Kui kasutatavast põllumajandusmaast jätta välja tootmisest kõrvale jäetud maa, siis moodustas 2012. aastal taimekasvatustoodangu väärtus tootmises kasutatud põllumajandusmaa ha kohta 716 eurot, mis on 2006. aastaga võrreldes ligi kolm korda enam. Taimekasvatuse erikulud olid keskmiselt 223 eurot tootmises kasutatud põllumajandusmaa ha kohta, mis on 64% rohkem kui 2006. aastal. </w:t>
      </w:r>
    </w:p>
    <w:p w:rsidR="00D25510" w:rsidRPr="0024503A" w:rsidRDefault="00D25510" w:rsidP="00617526">
      <w:pPr>
        <w:spacing w:line="276" w:lineRule="auto"/>
        <w:jc w:val="both"/>
        <w:rPr>
          <w:rFonts w:ascii="Times New Roman" w:hAnsi="Times New Roman" w:cs="Times New Roman"/>
          <w:sz w:val="24"/>
          <w:szCs w:val="24"/>
        </w:rPr>
      </w:pPr>
    </w:p>
    <w:p w:rsidR="00D25510" w:rsidRPr="0024503A" w:rsidRDefault="00D25510" w:rsidP="00617526">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Võrreldes 2006. aastaga on kogutoodangu väärtus hektari kohta suurenenud üle kahe korra, toetused hektari kohta on kasvanud 44% ja kogukulud hektari kohta 80% võrra.</w:t>
      </w:r>
      <w:r w:rsidR="006E4858" w:rsidRPr="0024503A">
        <w:rPr>
          <w:rFonts w:ascii="Times New Roman" w:hAnsi="Times New Roman" w:cs="Times New Roman"/>
          <w:sz w:val="24"/>
          <w:szCs w:val="24"/>
        </w:rPr>
        <w:t xml:space="preserve"> </w:t>
      </w:r>
      <w:r w:rsidRPr="0024503A">
        <w:rPr>
          <w:rFonts w:ascii="Times New Roman" w:hAnsi="Times New Roman" w:cs="Times New Roman"/>
          <w:sz w:val="24"/>
          <w:szCs w:val="24"/>
        </w:rPr>
        <w:t>Kogutoodangu väärtuse suhe kogukuludesse oli terav</w:t>
      </w:r>
      <w:r w:rsidR="00B16B58">
        <w:rPr>
          <w:rFonts w:ascii="Times New Roman" w:hAnsi="Times New Roman" w:cs="Times New Roman"/>
          <w:sz w:val="24"/>
          <w:szCs w:val="24"/>
        </w:rPr>
        <w:t>iljatootjatel keskmiselt 1,07. S</w:t>
      </w:r>
      <w:r w:rsidRPr="0024503A">
        <w:rPr>
          <w:rFonts w:ascii="Times New Roman" w:hAnsi="Times New Roman" w:cs="Times New Roman"/>
          <w:sz w:val="24"/>
          <w:szCs w:val="24"/>
        </w:rPr>
        <w:t>eega oli kogutoodangu väärtus suurem kui selle tootmiseks tehtud kulud. Alates 2006. aastast oli teraviljatootjatel kogutoodangu väärtuse suhe kogukuludesse positiivne (1,31) ainult 2007. aastal. Arvestades kogutoodangu väärtusele juurde ka toetused (v.a investeeringutoetused), oli see indikaator teraviljatootjatel keskmiselt 1,36.</w:t>
      </w:r>
    </w:p>
    <w:p w:rsidR="00D25510" w:rsidRPr="0024503A" w:rsidRDefault="00D25510" w:rsidP="00617526">
      <w:pPr>
        <w:spacing w:line="276" w:lineRule="auto"/>
        <w:jc w:val="both"/>
        <w:rPr>
          <w:rFonts w:ascii="Times New Roman" w:hAnsi="Times New Roman" w:cs="Times New Roman"/>
          <w:sz w:val="24"/>
          <w:szCs w:val="24"/>
        </w:rPr>
      </w:pPr>
    </w:p>
    <w:p w:rsidR="00D25510" w:rsidRPr="0024503A" w:rsidRDefault="00D25510" w:rsidP="00617526">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Majandusliku suuruse gruppide lõikes on analüüsitaval perioodil 2006–2012 kogutoodangu väärtuse (koos toetustega v.a investeeringutoetused) suhe kogukuludesse olnud pea igal aastal väike- ja keskmise suurusega teraviljatootjate grupis suurtootjatega võrreldes mõnevõrra kõrgem</w:t>
      </w:r>
      <w:r w:rsidR="006E4858" w:rsidRPr="0024503A">
        <w:rPr>
          <w:rFonts w:ascii="Times New Roman" w:hAnsi="Times New Roman" w:cs="Times New Roman"/>
          <w:sz w:val="24"/>
          <w:szCs w:val="24"/>
        </w:rPr>
        <w:t xml:space="preserve"> </w:t>
      </w:r>
      <w:r w:rsidR="006E4858" w:rsidRPr="0024503A">
        <w:rPr>
          <w:rFonts w:ascii="Times New Roman" w:hAnsi="Times New Roman" w:cs="Times New Roman"/>
          <w:sz w:val="24"/>
          <w:szCs w:val="24"/>
        </w:rPr>
        <w:lastRenderedPageBreak/>
        <w:t>(joonis 28</w:t>
      </w:r>
      <w:r w:rsidR="00114E19" w:rsidRPr="0024503A">
        <w:rPr>
          <w:rFonts w:ascii="Times New Roman" w:hAnsi="Times New Roman" w:cs="Times New Roman"/>
          <w:sz w:val="24"/>
          <w:szCs w:val="24"/>
        </w:rPr>
        <w:t>)</w:t>
      </w:r>
      <w:r w:rsidRPr="0024503A">
        <w:rPr>
          <w:rFonts w:ascii="Times New Roman" w:hAnsi="Times New Roman" w:cs="Times New Roman"/>
          <w:sz w:val="24"/>
          <w:szCs w:val="24"/>
        </w:rPr>
        <w:t>. Siinjuures peab arvestama, et väiketootjatel puudub enamasti tööjõukulu ning ka keskmise suurusega teraviljatootjatel moodustas</w:t>
      </w:r>
      <w:r w:rsidR="00D6772A">
        <w:rPr>
          <w:rFonts w:ascii="Times New Roman" w:hAnsi="Times New Roman" w:cs="Times New Roman"/>
          <w:sz w:val="24"/>
          <w:szCs w:val="24"/>
        </w:rPr>
        <w:t xml:space="preserve"> tööjõust</w:t>
      </w:r>
      <w:r w:rsidRPr="0024503A">
        <w:rPr>
          <w:rFonts w:ascii="Times New Roman" w:hAnsi="Times New Roman" w:cs="Times New Roman"/>
          <w:sz w:val="24"/>
          <w:szCs w:val="24"/>
        </w:rPr>
        <w:t xml:space="preserve"> ligi kaks kolmandikku tasustamata tööjõud ning kui arvestada ka oma pere tööjõukulu keskmisel palgatasemel, kujuneks näitaja tunduvalt madalamaks. Seetõttu on perioodil 2006–2012 kogutoodangu väärtuse suhe kogukuludesse ilma toetusteta olnud enam-vähem võrdsel tasemel alla ühe kõigis suurusgruppides. </w:t>
      </w:r>
    </w:p>
    <w:p w:rsidR="00D25510" w:rsidRPr="0095169D" w:rsidRDefault="00BD1B3B" w:rsidP="00617526">
      <w:pPr>
        <w:pStyle w:val="NoSpacing"/>
        <w:spacing w:before="60" w:line="276" w:lineRule="auto"/>
        <w:jc w:val="both"/>
        <w:rPr>
          <w:sz w:val="24"/>
          <w:szCs w:val="24"/>
        </w:rPr>
      </w:pPr>
      <w:r>
        <w:rPr>
          <w:noProof/>
        </w:rPr>
        <w:drawing>
          <wp:inline distT="0" distB="0" distL="0" distR="0" wp14:anchorId="6FBE74E0" wp14:editId="7896955B">
            <wp:extent cx="6048375" cy="1524000"/>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25510" w:rsidRPr="00BD1B3B" w:rsidRDefault="00D25510" w:rsidP="00617526">
      <w:pPr>
        <w:spacing w:line="276" w:lineRule="auto"/>
        <w:rPr>
          <w:rFonts w:ascii="Arial" w:hAnsi="Arial" w:cs="Arial"/>
        </w:rPr>
      </w:pPr>
      <w:r w:rsidRPr="00BD1B3B">
        <w:rPr>
          <w:rFonts w:ascii="Arial" w:hAnsi="Arial" w:cs="Arial"/>
        </w:rPr>
        <w:t>Allikas: FADN</w:t>
      </w:r>
    </w:p>
    <w:p w:rsidR="00D25510" w:rsidRPr="0024503A" w:rsidRDefault="00D25510" w:rsidP="005B6C4E">
      <w:pPr>
        <w:spacing w:line="276" w:lineRule="auto"/>
        <w:rPr>
          <w:rFonts w:ascii="Times New Roman" w:hAnsi="Times New Roman" w:cs="Times New Roman"/>
          <w:b/>
          <w:sz w:val="24"/>
          <w:szCs w:val="24"/>
        </w:rPr>
      </w:pPr>
      <w:r w:rsidRPr="0024503A">
        <w:rPr>
          <w:rFonts w:ascii="Times New Roman" w:hAnsi="Times New Roman" w:cs="Times New Roman"/>
          <w:b/>
          <w:sz w:val="24"/>
          <w:szCs w:val="24"/>
        </w:rPr>
        <w:t xml:space="preserve">Joonis </w:t>
      </w:r>
      <w:r w:rsidR="006E4858" w:rsidRPr="0024503A">
        <w:rPr>
          <w:rFonts w:ascii="Times New Roman" w:hAnsi="Times New Roman" w:cs="Times New Roman"/>
          <w:b/>
          <w:sz w:val="24"/>
          <w:szCs w:val="24"/>
        </w:rPr>
        <w:t>28</w:t>
      </w:r>
      <w:r w:rsidRPr="0024503A">
        <w:rPr>
          <w:rFonts w:ascii="Times New Roman" w:hAnsi="Times New Roman" w:cs="Times New Roman"/>
          <w:b/>
          <w:sz w:val="24"/>
          <w:szCs w:val="24"/>
        </w:rPr>
        <w:t>. Kogutoodangu suhe kogukuludesse majandusliku suurus</w:t>
      </w:r>
      <w:r w:rsidR="005347A0">
        <w:rPr>
          <w:rFonts w:ascii="Times New Roman" w:hAnsi="Times New Roman" w:cs="Times New Roman"/>
          <w:b/>
          <w:sz w:val="24"/>
          <w:szCs w:val="24"/>
        </w:rPr>
        <w:t>e gruppide lõikes aastatel 2006–</w:t>
      </w:r>
      <w:r w:rsidRPr="0024503A">
        <w:rPr>
          <w:rFonts w:ascii="Times New Roman" w:hAnsi="Times New Roman" w:cs="Times New Roman"/>
          <w:b/>
          <w:sz w:val="24"/>
          <w:szCs w:val="24"/>
        </w:rPr>
        <w:t>2012</w:t>
      </w:r>
    </w:p>
    <w:p w:rsidR="00D25510" w:rsidRPr="0024503A" w:rsidRDefault="00D25510" w:rsidP="00617526">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NLV moodustas 2012. aastal tera</w:t>
      </w:r>
      <w:r w:rsidR="00FB648A" w:rsidRPr="0024503A">
        <w:rPr>
          <w:rFonts w:ascii="Times New Roman" w:hAnsi="Times New Roman" w:cs="Times New Roman"/>
          <w:sz w:val="24"/>
          <w:szCs w:val="24"/>
        </w:rPr>
        <w:t>viljatootjatel keskmiselt 41,2 tuhat</w:t>
      </w:r>
      <w:r w:rsidRPr="0024503A">
        <w:rPr>
          <w:rFonts w:ascii="Times New Roman" w:hAnsi="Times New Roman" w:cs="Times New Roman"/>
          <w:sz w:val="24"/>
          <w:szCs w:val="24"/>
        </w:rPr>
        <w:t xml:space="preserve"> eurot tööjõu aastaühiku kohta, mis on võrreldes 2006. aastaga kasvanud üle kolme korra. Muutused olid eelkõige tingitud tööjõu efektiivsemast kasutamisest, põllumajandustootjatele makstava toetuste suurenemisest ning põllumajandussaaduste kokkuostuhindade hinnatõusust.</w:t>
      </w:r>
    </w:p>
    <w:p w:rsidR="00D25510" w:rsidRPr="0024503A" w:rsidRDefault="00D25510" w:rsidP="00617526">
      <w:pPr>
        <w:spacing w:line="276" w:lineRule="auto"/>
        <w:jc w:val="both"/>
        <w:rPr>
          <w:rFonts w:ascii="Times New Roman" w:hAnsi="Times New Roman" w:cs="Times New Roman"/>
          <w:sz w:val="24"/>
          <w:szCs w:val="24"/>
        </w:rPr>
      </w:pPr>
    </w:p>
    <w:p w:rsidR="00D25510" w:rsidRPr="0024503A" w:rsidRDefault="00D25510" w:rsidP="00617526">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Majandusliku suuruse järgi grupeerides oli 2012. aastal kõige kõrgem NLV põllumajandusliku maa hektari ko</w:t>
      </w:r>
      <w:r w:rsidR="00BE5A5F" w:rsidRPr="0024503A">
        <w:rPr>
          <w:rFonts w:ascii="Times New Roman" w:hAnsi="Times New Roman" w:cs="Times New Roman"/>
          <w:sz w:val="24"/>
          <w:szCs w:val="24"/>
        </w:rPr>
        <w:t>hta (346 eurot</w:t>
      </w:r>
      <w:r w:rsidRPr="0024503A">
        <w:rPr>
          <w:rFonts w:ascii="Times New Roman" w:hAnsi="Times New Roman" w:cs="Times New Roman"/>
          <w:sz w:val="24"/>
          <w:szCs w:val="24"/>
        </w:rPr>
        <w:t xml:space="preserve">) suurtootjatel ja see oli üle kahe korra </w:t>
      </w:r>
      <w:r w:rsidR="00BE5A5F" w:rsidRPr="0024503A">
        <w:rPr>
          <w:rFonts w:ascii="Times New Roman" w:hAnsi="Times New Roman" w:cs="Times New Roman"/>
          <w:sz w:val="24"/>
          <w:szCs w:val="24"/>
        </w:rPr>
        <w:t>suurem kui väiketootjatel (153 eurot</w:t>
      </w:r>
      <w:r w:rsidRPr="0024503A">
        <w:rPr>
          <w:rFonts w:ascii="Times New Roman" w:hAnsi="Times New Roman" w:cs="Times New Roman"/>
          <w:sz w:val="24"/>
          <w:szCs w:val="24"/>
        </w:rPr>
        <w:t>) ning 43% enam kui keskmise suurusega teraviljatootjatel</w:t>
      </w:r>
      <w:r w:rsidR="006E4858" w:rsidRPr="0024503A">
        <w:rPr>
          <w:rFonts w:ascii="Times New Roman" w:hAnsi="Times New Roman" w:cs="Times New Roman"/>
          <w:sz w:val="24"/>
          <w:szCs w:val="24"/>
        </w:rPr>
        <w:t xml:space="preserve"> (joonis 29</w:t>
      </w:r>
      <w:r w:rsidR="007C473A" w:rsidRPr="0024503A">
        <w:rPr>
          <w:rFonts w:ascii="Times New Roman" w:hAnsi="Times New Roman" w:cs="Times New Roman"/>
          <w:sz w:val="24"/>
          <w:szCs w:val="24"/>
        </w:rPr>
        <w:t>)</w:t>
      </w:r>
      <w:r w:rsidRPr="0024503A">
        <w:rPr>
          <w:rFonts w:ascii="Times New Roman" w:hAnsi="Times New Roman" w:cs="Times New Roman"/>
          <w:sz w:val="24"/>
          <w:szCs w:val="24"/>
        </w:rPr>
        <w:t>. Kui väike- ja keskmise suurusega teraviljatootjatel on viimase seitsme aasta jooksul NLV põllumajandusliku maa hektari kohta suurenenud vastavalt 53% ja 71%, siis suurtootjatel on see suurenenud üle kahe korra.</w:t>
      </w:r>
    </w:p>
    <w:p w:rsidR="00D25510" w:rsidRPr="0095169D" w:rsidRDefault="00BD1B3B" w:rsidP="00617526">
      <w:pPr>
        <w:pStyle w:val="NoSpacing"/>
        <w:spacing w:before="60" w:line="276" w:lineRule="auto"/>
        <w:jc w:val="both"/>
        <w:rPr>
          <w:sz w:val="24"/>
          <w:szCs w:val="24"/>
        </w:rPr>
      </w:pPr>
      <w:r>
        <w:rPr>
          <w:noProof/>
        </w:rPr>
        <w:drawing>
          <wp:inline distT="0" distB="0" distL="0" distR="0" wp14:anchorId="43ECB81F" wp14:editId="6B606509">
            <wp:extent cx="5943600" cy="2400300"/>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D25510" w:rsidRPr="00BD1B3B" w:rsidRDefault="00D25510" w:rsidP="00617526">
      <w:pPr>
        <w:spacing w:line="276" w:lineRule="auto"/>
        <w:rPr>
          <w:rFonts w:ascii="Arial" w:hAnsi="Arial" w:cs="Arial"/>
        </w:rPr>
      </w:pPr>
      <w:r w:rsidRPr="00BD1B3B">
        <w:rPr>
          <w:rFonts w:ascii="Arial" w:hAnsi="Arial" w:cs="Arial"/>
        </w:rPr>
        <w:t>Allikas: FADN</w:t>
      </w:r>
    </w:p>
    <w:p w:rsidR="00D25510" w:rsidRPr="0024503A" w:rsidRDefault="00D25510" w:rsidP="00617526">
      <w:pPr>
        <w:spacing w:line="276" w:lineRule="auto"/>
        <w:rPr>
          <w:rFonts w:ascii="Times New Roman" w:hAnsi="Times New Roman" w:cs="Times New Roman"/>
          <w:b/>
          <w:sz w:val="24"/>
          <w:szCs w:val="24"/>
        </w:rPr>
      </w:pPr>
      <w:r w:rsidRPr="0024503A">
        <w:rPr>
          <w:rFonts w:ascii="Times New Roman" w:hAnsi="Times New Roman" w:cs="Times New Roman"/>
          <w:b/>
          <w:sz w:val="24"/>
          <w:szCs w:val="24"/>
        </w:rPr>
        <w:t xml:space="preserve">Joonis </w:t>
      </w:r>
      <w:r w:rsidR="006E4858" w:rsidRPr="0024503A">
        <w:rPr>
          <w:rFonts w:ascii="Times New Roman" w:hAnsi="Times New Roman" w:cs="Times New Roman"/>
          <w:b/>
          <w:sz w:val="24"/>
          <w:szCs w:val="24"/>
        </w:rPr>
        <w:t>29</w:t>
      </w:r>
      <w:r w:rsidRPr="0024503A">
        <w:rPr>
          <w:rFonts w:ascii="Times New Roman" w:hAnsi="Times New Roman" w:cs="Times New Roman"/>
          <w:b/>
          <w:sz w:val="24"/>
          <w:szCs w:val="24"/>
        </w:rPr>
        <w:t>. NLV põllumajandusliku maa hektari kohta majandusliku suurus</w:t>
      </w:r>
      <w:r w:rsidR="00203F2F">
        <w:rPr>
          <w:rFonts w:ascii="Times New Roman" w:hAnsi="Times New Roman" w:cs="Times New Roman"/>
          <w:b/>
          <w:sz w:val="24"/>
          <w:szCs w:val="24"/>
        </w:rPr>
        <w:t>e gruppide lõikes aastatel 2006–</w:t>
      </w:r>
      <w:r w:rsidRPr="0024503A">
        <w:rPr>
          <w:rFonts w:ascii="Times New Roman" w:hAnsi="Times New Roman" w:cs="Times New Roman"/>
          <w:b/>
          <w:sz w:val="24"/>
          <w:szCs w:val="24"/>
        </w:rPr>
        <w:t>2012</w:t>
      </w:r>
    </w:p>
    <w:p w:rsidR="00935346" w:rsidRPr="0024503A" w:rsidRDefault="00935346" w:rsidP="00617526">
      <w:pPr>
        <w:spacing w:line="276" w:lineRule="auto"/>
        <w:rPr>
          <w:rFonts w:ascii="Times New Roman" w:hAnsi="Times New Roman" w:cs="Times New Roman"/>
          <w:b/>
          <w:sz w:val="24"/>
          <w:szCs w:val="24"/>
        </w:rPr>
      </w:pPr>
    </w:p>
    <w:p w:rsidR="00D25510" w:rsidRPr="0024503A" w:rsidRDefault="00D25510" w:rsidP="00617526">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Põllumajandustoodangut realiseeriti 2012. aastal 103</w:t>
      </w:r>
      <w:r w:rsidR="00FB648A" w:rsidRPr="0024503A">
        <w:rPr>
          <w:rFonts w:ascii="Times New Roman" w:hAnsi="Times New Roman" w:cs="Times New Roman"/>
          <w:sz w:val="24"/>
          <w:szCs w:val="24"/>
        </w:rPr>
        <w:t xml:space="preserve">,7 tuhande </w:t>
      </w:r>
      <w:r w:rsidRPr="0024503A">
        <w:rPr>
          <w:rFonts w:ascii="Times New Roman" w:hAnsi="Times New Roman" w:cs="Times New Roman"/>
          <w:sz w:val="24"/>
          <w:szCs w:val="24"/>
        </w:rPr>
        <w:t xml:space="preserve">euro eest keskmiselt ettevõtte kohta. Võrreldes 2006. aastaga on põllumajandustoodangu müügitulu suurenenud üle kahe korra. Teraviljatootjate sissetulekutest moodustas taimekasvatustoodangu realiseerimisest saadud tulu </w:t>
      </w:r>
      <w:r w:rsidRPr="0024503A">
        <w:rPr>
          <w:rFonts w:ascii="Times New Roman" w:hAnsi="Times New Roman" w:cs="Times New Roman"/>
          <w:sz w:val="24"/>
          <w:szCs w:val="24"/>
        </w:rPr>
        <w:lastRenderedPageBreak/>
        <w:t>69%, toetuste (v.a investeeringutoetused) osa oli 23% ja muud sissetulekud moodustasid 6%. Keskmine varade maksumus (v.a</w:t>
      </w:r>
      <w:r w:rsidR="00B16B58">
        <w:rPr>
          <w:rFonts w:ascii="Times New Roman" w:hAnsi="Times New Roman" w:cs="Times New Roman"/>
          <w:sz w:val="24"/>
          <w:szCs w:val="24"/>
        </w:rPr>
        <w:t>.</w:t>
      </w:r>
      <w:r w:rsidRPr="0024503A">
        <w:rPr>
          <w:rFonts w:ascii="Times New Roman" w:hAnsi="Times New Roman" w:cs="Times New Roman"/>
          <w:sz w:val="24"/>
          <w:szCs w:val="24"/>
        </w:rPr>
        <w:t xml:space="preserve"> maa) oli 201</w:t>
      </w:r>
      <w:r w:rsidR="00FB648A" w:rsidRPr="0024503A">
        <w:rPr>
          <w:rFonts w:ascii="Times New Roman" w:hAnsi="Times New Roman" w:cs="Times New Roman"/>
          <w:sz w:val="24"/>
          <w:szCs w:val="24"/>
        </w:rPr>
        <w:t>,3 tuhat</w:t>
      </w:r>
      <w:r w:rsidRPr="0024503A">
        <w:rPr>
          <w:rFonts w:ascii="Times New Roman" w:hAnsi="Times New Roman" w:cs="Times New Roman"/>
          <w:sz w:val="24"/>
          <w:szCs w:val="24"/>
        </w:rPr>
        <w:t> eurot. Varad olid finantseeritud 23% ulatuses võõrkapitali ning 77% omakapitaliga. Võrreldes 2006. aastaga, mil teraviljatootjate võlakordaja oli keskmiselt 28%, on võõrkapitali osatähtsus veidi vähenenud.</w:t>
      </w:r>
    </w:p>
    <w:p w:rsidR="00D25510" w:rsidRPr="0024503A" w:rsidRDefault="00D25510" w:rsidP="00617526">
      <w:pPr>
        <w:pStyle w:val="NoSpacing"/>
        <w:spacing w:line="276" w:lineRule="auto"/>
        <w:jc w:val="both"/>
        <w:rPr>
          <w:rFonts w:ascii="Times New Roman" w:hAnsi="Times New Roman" w:cs="Times New Roman"/>
          <w:sz w:val="24"/>
          <w:szCs w:val="24"/>
        </w:rPr>
      </w:pPr>
    </w:p>
    <w:p w:rsidR="001B4627" w:rsidRPr="0024503A" w:rsidRDefault="001B4627" w:rsidP="00617526">
      <w:pPr>
        <w:spacing w:line="276" w:lineRule="auto"/>
        <w:rPr>
          <w:rStyle w:val="BookTitle"/>
          <w:rFonts w:ascii="Times New Roman" w:hAnsi="Times New Roman" w:cs="Times New Roman"/>
          <w:b w:val="0"/>
          <w:i w:val="0"/>
          <w:sz w:val="24"/>
          <w:szCs w:val="24"/>
        </w:rPr>
      </w:pPr>
      <w:bookmarkStart w:id="816" w:name="_Toc378697832"/>
      <w:bookmarkStart w:id="817" w:name="_Toc378773278"/>
      <w:r w:rsidRPr="0024503A">
        <w:rPr>
          <w:rStyle w:val="BookTitle"/>
          <w:rFonts w:ascii="Times New Roman" w:hAnsi="Times New Roman" w:cs="Times New Roman"/>
          <w:i w:val="0"/>
          <w:sz w:val="24"/>
          <w:szCs w:val="24"/>
        </w:rPr>
        <w:t>Tootmiskulud 1 kg teravilja tootmiseks</w:t>
      </w:r>
      <w:bookmarkEnd w:id="816"/>
      <w:bookmarkEnd w:id="817"/>
    </w:p>
    <w:p w:rsidR="001B4627" w:rsidRPr="0024503A" w:rsidRDefault="001B4627" w:rsidP="00617526">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Maamajanduse Infokeskuses koostatud infomaterjali</w:t>
      </w:r>
      <w:r w:rsidRPr="0024503A">
        <w:rPr>
          <w:rStyle w:val="FootnoteReference"/>
          <w:rFonts w:ascii="Times New Roman" w:hAnsi="Times New Roman" w:cs="Times New Roman"/>
          <w:sz w:val="24"/>
          <w:szCs w:val="24"/>
        </w:rPr>
        <w:footnoteReference w:id="25"/>
      </w:r>
      <w:r w:rsidRPr="0024503A">
        <w:rPr>
          <w:rFonts w:ascii="Times New Roman" w:hAnsi="Times New Roman" w:cs="Times New Roman"/>
          <w:sz w:val="24"/>
          <w:szCs w:val="24"/>
        </w:rPr>
        <w:t xml:space="preserve"> alusel on joonisel</w:t>
      </w:r>
      <w:r w:rsidR="006E4858" w:rsidRPr="0024503A">
        <w:rPr>
          <w:rFonts w:ascii="Times New Roman" w:hAnsi="Times New Roman" w:cs="Times New Roman"/>
          <w:sz w:val="24"/>
          <w:szCs w:val="24"/>
        </w:rPr>
        <w:t xml:space="preserve"> 30</w:t>
      </w:r>
      <w:r w:rsidRPr="0024503A">
        <w:rPr>
          <w:rFonts w:ascii="Times New Roman" w:hAnsi="Times New Roman" w:cs="Times New Roman"/>
          <w:sz w:val="24"/>
          <w:szCs w:val="24"/>
        </w:rPr>
        <w:t xml:space="preserve"> esitatud 2012. aasta sisendite hindadele ja teravilja kokkuostuhindadele tuginedes tootmiskulud</w:t>
      </w:r>
      <w:r w:rsidRPr="0024503A">
        <w:rPr>
          <w:rStyle w:val="FootnoteReference"/>
          <w:rFonts w:ascii="Times New Roman" w:hAnsi="Times New Roman" w:cs="Times New Roman"/>
          <w:sz w:val="24"/>
          <w:szCs w:val="24"/>
        </w:rPr>
        <w:footnoteReference w:id="26"/>
      </w:r>
      <w:r w:rsidRPr="0024503A">
        <w:rPr>
          <w:rFonts w:ascii="Times New Roman" w:hAnsi="Times New Roman" w:cs="Times New Roman"/>
          <w:sz w:val="24"/>
          <w:szCs w:val="24"/>
        </w:rPr>
        <w:t xml:space="preserve"> 1 kg teravilja tootmiseks erinevatel saagitasemetel.  </w:t>
      </w:r>
    </w:p>
    <w:p w:rsidR="001B4627" w:rsidRPr="0095169D" w:rsidRDefault="001B4627" w:rsidP="00617526">
      <w:pPr>
        <w:spacing w:line="276" w:lineRule="auto"/>
        <w:jc w:val="both"/>
        <w:rPr>
          <w:sz w:val="24"/>
          <w:szCs w:val="24"/>
        </w:rPr>
      </w:pPr>
    </w:p>
    <w:p w:rsidR="001B4627" w:rsidRPr="0095169D" w:rsidRDefault="00BD1B3B" w:rsidP="00617526">
      <w:pPr>
        <w:spacing w:line="276" w:lineRule="auto"/>
        <w:jc w:val="both"/>
        <w:rPr>
          <w:sz w:val="24"/>
          <w:szCs w:val="24"/>
        </w:rPr>
      </w:pPr>
      <w:r>
        <w:rPr>
          <w:noProof/>
        </w:rPr>
        <w:drawing>
          <wp:inline distT="0" distB="0" distL="0" distR="0" wp14:anchorId="6C10FA0F" wp14:editId="625611F3">
            <wp:extent cx="6124575" cy="2247900"/>
            <wp:effectExtent l="0" t="0" r="9525" b="1905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B4627" w:rsidRPr="00BD1B3B" w:rsidRDefault="001B4627" w:rsidP="00617526">
      <w:pPr>
        <w:spacing w:line="276" w:lineRule="auto"/>
        <w:jc w:val="both"/>
        <w:rPr>
          <w:rFonts w:ascii="Arial" w:hAnsi="Arial" w:cs="Arial"/>
        </w:rPr>
      </w:pPr>
      <w:r w:rsidRPr="00BD1B3B">
        <w:rPr>
          <w:rFonts w:ascii="Arial" w:hAnsi="Arial" w:cs="Arial"/>
        </w:rPr>
        <w:t>Allikas: Kattetulu arvestused taime- ja loomakasvatuses, 2012</w:t>
      </w:r>
    </w:p>
    <w:p w:rsidR="001B4627" w:rsidRPr="0024503A" w:rsidRDefault="001B4627" w:rsidP="00617526">
      <w:pPr>
        <w:spacing w:line="276" w:lineRule="auto"/>
        <w:jc w:val="both"/>
        <w:rPr>
          <w:rFonts w:ascii="Times New Roman" w:hAnsi="Times New Roman" w:cs="Times New Roman"/>
          <w:b/>
          <w:sz w:val="24"/>
          <w:szCs w:val="24"/>
        </w:rPr>
      </w:pPr>
      <w:r w:rsidRPr="0024503A">
        <w:rPr>
          <w:rFonts w:ascii="Times New Roman" w:hAnsi="Times New Roman" w:cs="Times New Roman"/>
          <w:b/>
          <w:sz w:val="24"/>
          <w:szCs w:val="24"/>
        </w:rPr>
        <w:t xml:space="preserve">Joonis </w:t>
      </w:r>
      <w:r w:rsidR="006E4858" w:rsidRPr="0024503A">
        <w:rPr>
          <w:rFonts w:ascii="Times New Roman" w:hAnsi="Times New Roman" w:cs="Times New Roman"/>
          <w:b/>
          <w:sz w:val="24"/>
          <w:szCs w:val="24"/>
        </w:rPr>
        <w:t>30</w:t>
      </w:r>
      <w:r w:rsidRPr="0024503A">
        <w:rPr>
          <w:rFonts w:ascii="Times New Roman" w:hAnsi="Times New Roman" w:cs="Times New Roman"/>
          <w:b/>
          <w:sz w:val="24"/>
          <w:szCs w:val="24"/>
        </w:rPr>
        <w:t>. Tootmiskulud ühe kg teravilja tootmisel erinevatel saagitasemetel ja realiseerimishind 2012. aastal</w:t>
      </w:r>
    </w:p>
    <w:p w:rsidR="001B4627" w:rsidRPr="0024503A" w:rsidRDefault="001B4627" w:rsidP="00617526">
      <w:pPr>
        <w:spacing w:line="276" w:lineRule="auto"/>
        <w:jc w:val="both"/>
        <w:rPr>
          <w:rFonts w:ascii="Times New Roman" w:hAnsi="Times New Roman" w:cs="Times New Roman"/>
          <w:b/>
          <w:sz w:val="24"/>
          <w:szCs w:val="24"/>
        </w:rPr>
      </w:pPr>
    </w:p>
    <w:p w:rsidR="001B4627" w:rsidRPr="0024503A" w:rsidRDefault="001B4627" w:rsidP="00617526">
      <w:pPr>
        <w:spacing w:line="276" w:lineRule="auto"/>
        <w:jc w:val="both"/>
        <w:rPr>
          <w:rFonts w:ascii="Times New Roman" w:hAnsi="Times New Roman" w:cs="Times New Roman"/>
          <w:sz w:val="24"/>
          <w:szCs w:val="24"/>
        </w:rPr>
      </w:pPr>
      <w:r w:rsidRPr="0024503A">
        <w:rPr>
          <w:rFonts w:ascii="Times New Roman" w:hAnsi="Times New Roman" w:cs="Times New Roman"/>
          <w:sz w:val="24"/>
          <w:szCs w:val="24"/>
        </w:rPr>
        <w:t xml:space="preserve">Joonisel on võrreldud erinevate teraviljade tootmiskulusid ja </w:t>
      </w:r>
      <w:r w:rsidR="00C72C5E">
        <w:rPr>
          <w:rFonts w:ascii="Times New Roman" w:hAnsi="Times New Roman" w:cs="Times New Roman"/>
          <w:sz w:val="24"/>
          <w:szCs w:val="24"/>
        </w:rPr>
        <w:t>realiseerimishindu</w:t>
      </w:r>
      <w:r w:rsidR="00125228" w:rsidRPr="00E958CE">
        <w:rPr>
          <w:rStyle w:val="FootnoteReference"/>
          <w:rFonts w:ascii="Times New Roman" w:hAnsi="Times New Roman" w:cs="Times New Roman"/>
          <w:sz w:val="24"/>
          <w:szCs w:val="24"/>
        </w:rPr>
        <w:footnoteReference w:id="27"/>
      </w:r>
      <w:r w:rsidR="00125228" w:rsidRPr="00E958CE">
        <w:rPr>
          <w:rFonts w:ascii="Times New Roman" w:hAnsi="Times New Roman" w:cs="Times New Roman"/>
          <w:sz w:val="24"/>
          <w:szCs w:val="24"/>
        </w:rPr>
        <w:t>,</w:t>
      </w:r>
      <w:r w:rsidRPr="0024503A">
        <w:rPr>
          <w:rFonts w:ascii="Times New Roman" w:hAnsi="Times New Roman" w:cs="Times New Roman"/>
          <w:sz w:val="24"/>
          <w:szCs w:val="24"/>
        </w:rPr>
        <w:t xml:space="preserve"> ühe tonni teravilja tootmisel 2012. aasta kattetulu arvestuse põhjal. Kõige madalamal saagi</w:t>
      </w:r>
      <w:r w:rsidR="005C19BD">
        <w:rPr>
          <w:rFonts w:ascii="Times New Roman" w:hAnsi="Times New Roman" w:cs="Times New Roman"/>
          <w:sz w:val="24"/>
          <w:szCs w:val="24"/>
        </w:rPr>
        <w:t xml:space="preserve">kuse </w:t>
      </w:r>
      <w:r w:rsidRPr="0024503A">
        <w:rPr>
          <w:rFonts w:ascii="Times New Roman" w:hAnsi="Times New Roman" w:cs="Times New Roman"/>
          <w:sz w:val="24"/>
          <w:szCs w:val="24"/>
        </w:rPr>
        <w:t>tasemel (3,0</w:t>
      </w:r>
      <w:r w:rsidR="00C1123F" w:rsidRPr="0024503A">
        <w:rPr>
          <w:rFonts w:ascii="Times New Roman" w:hAnsi="Times New Roman" w:cs="Times New Roman"/>
          <w:sz w:val="24"/>
          <w:szCs w:val="24"/>
        </w:rPr>
        <w:t xml:space="preserve"> </w:t>
      </w:r>
      <w:r w:rsidR="00FB648A" w:rsidRPr="0024503A">
        <w:rPr>
          <w:rFonts w:ascii="Times New Roman" w:hAnsi="Times New Roman" w:cs="Times New Roman"/>
          <w:sz w:val="24"/>
          <w:szCs w:val="24"/>
        </w:rPr>
        <w:t>tonni hektari kohta</w:t>
      </w:r>
      <w:r w:rsidRPr="0024503A">
        <w:rPr>
          <w:rFonts w:ascii="Times New Roman" w:hAnsi="Times New Roman" w:cs="Times New Roman"/>
          <w:sz w:val="24"/>
          <w:szCs w:val="24"/>
        </w:rPr>
        <w:t>) on ainult odra kasvatamisel tootmiskulud madalamad kui realiseerimishind. Ülejäänud teraviljade kasvatamisel on kolme tonnise saagikuse juures tootmiskulud realiseerimishinnast kõrgemad ja kõige suurem on vahe suvinisu puhul. Kõrgema saagikuse taseme juures on üldjuhul tootmiskulud madalamad kui realiseerimishind, v.a rukis tasemel 4,5</w:t>
      </w:r>
      <w:r w:rsidR="00FB648A" w:rsidRPr="0024503A">
        <w:rPr>
          <w:rFonts w:ascii="Times New Roman" w:hAnsi="Times New Roman" w:cs="Times New Roman"/>
          <w:sz w:val="24"/>
          <w:szCs w:val="24"/>
        </w:rPr>
        <w:t xml:space="preserve"> tonni hektarilt</w:t>
      </w:r>
      <w:r w:rsidRPr="0024503A">
        <w:rPr>
          <w:rStyle w:val="FootnoteReference"/>
          <w:rFonts w:ascii="Times New Roman" w:hAnsi="Times New Roman" w:cs="Times New Roman"/>
          <w:sz w:val="24"/>
          <w:szCs w:val="24"/>
        </w:rPr>
        <w:footnoteReference w:id="28"/>
      </w:r>
      <w:r w:rsidRPr="0024503A">
        <w:rPr>
          <w:rFonts w:ascii="Times New Roman" w:hAnsi="Times New Roman" w:cs="Times New Roman"/>
          <w:sz w:val="24"/>
          <w:szCs w:val="24"/>
        </w:rPr>
        <w:t>.</w:t>
      </w:r>
    </w:p>
    <w:p w:rsidR="001B4627" w:rsidRPr="0024503A" w:rsidRDefault="001B4627" w:rsidP="00617526">
      <w:pPr>
        <w:spacing w:line="276" w:lineRule="auto"/>
        <w:jc w:val="both"/>
        <w:rPr>
          <w:rFonts w:ascii="Times New Roman" w:hAnsi="Times New Roman" w:cs="Times New Roman"/>
          <w:sz w:val="24"/>
          <w:szCs w:val="24"/>
        </w:rPr>
      </w:pPr>
    </w:p>
    <w:p w:rsidR="001B4627" w:rsidRPr="0095169D" w:rsidRDefault="008960AB" w:rsidP="00617526">
      <w:pPr>
        <w:spacing w:line="276" w:lineRule="auto"/>
        <w:jc w:val="both"/>
        <w:rPr>
          <w:sz w:val="24"/>
          <w:szCs w:val="24"/>
        </w:rPr>
      </w:pPr>
      <w:r>
        <w:rPr>
          <w:noProof/>
        </w:rPr>
        <w:lastRenderedPageBreak/>
        <w:drawing>
          <wp:inline distT="0" distB="0" distL="0" distR="0" wp14:anchorId="1AFB84E6" wp14:editId="3E263B6E">
            <wp:extent cx="6076950" cy="2619375"/>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B4627" w:rsidRPr="00BD1B3B" w:rsidRDefault="001B4627" w:rsidP="00617526">
      <w:pPr>
        <w:spacing w:line="276" w:lineRule="auto"/>
        <w:jc w:val="both"/>
        <w:rPr>
          <w:rFonts w:ascii="Arial" w:hAnsi="Arial" w:cs="Arial"/>
        </w:rPr>
      </w:pPr>
      <w:r w:rsidRPr="00BD1B3B">
        <w:rPr>
          <w:rFonts w:ascii="Arial" w:hAnsi="Arial" w:cs="Arial"/>
        </w:rPr>
        <w:t>Allikas: Kattetulu arvestused taime ja loomakasvatuses 2005</w:t>
      </w:r>
      <w:r w:rsidR="000714C9">
        <w:rPr>
          <w:rFonts w:ascii="Arial" w:hAnsi="Arial" w:cs="Arial"/>
        </w:rPr>
        <w:t>.</w:t>
      </w:r>
      <w:r w:rsidRPr="00BD1B3B">
        <w:rPr>
          <w:rFonts w:ascii="Arial" w:hAnsi="Arial" w:cs="Arial"/>
        </w:rPr>
        <w:t xml:space="preserve"> ja 2012.</w:t>
      </w:r>
      <w:r w:rsidR="000714C9">
        <w:rPr>
          <w:rFonts w:ascii="Arial" w:hAnsi="Arial" w:cs="Arial"/>
        </w:rPr>
        <w:t xml:space="preserve"> aastal</w:t>
      </w:r>
    </w:p>
    <w:p w:rsidR="001B4627" w:rsidRPr="00E958CE" w:rsidRDefault="001B4627" w:rsidP="00617526">
      <w:pPr>
        <w:spacing w:line="276" w:lineRule="auto"/>
        <w:jc w:val="both"/>
        <w:rPr>
          <w:rFonts w:ascii="Times New Roman" w:hAnsi="Times New Roman" w:cs="Times New Roman"/>
          <w:b/>
          <w:sz w:val="24"/>
          <w:szCs w:val="24"/>
        </w:rPr>
      </w:pPr>
      <w:r w:rsidRPr="00E958CE">
        <w:rPr>
          <w:rFonts w:ascii="Times New Roman" w:hAnsi="Times New Roman" w:cs="Times New Roman"/>
          <w:b/>
          <w:sz w:val="24"/>
          <w:szCs w:val="24"/>
        </w:rPr>
        <w:t xml:space="preserve">Joonis </w:t>
      </w:r>
      <w:r w:rsidR="006E4858" w:rsidRPr="00E958CE">
        <w:rPr>
          <w:rFonts w:ascii="Times New Roman" w:hAnsi="Times New Roman" w:cs="Times New Roman"/>
          <w:b/>
          <w:sz w:val="24"/>
          <w:szCs w:val="24"/>
        </w:rPr>
        <w:t>31</w:t>
      </w:r>
      <w:r w:rsidRPr="00E958CE">
        <w:rPr>
          <w:rFonts w:ascii="Times New Roman" w:hAnsi="Times New Roman" w:cs="Times New Roman"/>
          <w:b/>
          <w:sz w:val="24"/>
          <w:szCs w:val="24"/>
        </w:rPr>
        <w:t xml:space="preserve">. Tootmiskulud ühe kg teravilja tootmisel saagitasemel 4,5 t/ha ja </w:t>
      </w:r>
      <w:r w:rsidR="00C72C5E">
        <w:rPr>
          <w:rFonts w:ascii="Times New Roman" w:hAnsi="Times New Roman" w:cs="Times New Roman"/>
          <w:b/>
          <w:sz w:val="24"/>
          <w:szCs w:val="24"/>
        </w:rPr>
        <w:t>kokkuostuhind</w:t>
      </w:r>
      <w:r w:rsidRPr="00E958CE">
        <w:rPr>
          <w:rFonts w:ascii="Times New Roman" w:hAnsi="Times New Roman" w:cs="Times New Roman"/>
          <w:b/>
          <w:sz w:val="24"/>
          <w:szCs w:val="24"/>
        </w:rPr>
        <w:t xml:space="preserve"> aastatel 2005 ja 2012</w:t>
      </w:r>
    </w:p>
    <w:p w:rsidR="00935346" w:rsidRPr="00E958CE" w:rsidRDefault="00935346" w:rsidP="00617526">
      <w:pPr>
        <w:spacing w:line="276" w:lineRule="auto"/>
        <w:jc w:val="both"/>
        <w:rPr>
          <w:rFonts w:ascii="Times New Roman" w:hAnsi="Times New Roman" w:cs="Times New Roman"/>
          <w:sz w:val="24"/>
          <w:szCs w:val="24"/>
        </w:rPr>
      </w:pPr>
    </w:p>
    <w:p w:rsidR="00935346" w:rsidRPr="00E958CE" w:rsidRDefault="00935346" w:rsidP="00617526">
      <w:pPr>
        <w:spacing w:line="276" w:lineRule="auto"/>
        <w:jc w:val="both"/>
        <w:rPr>
          <w:rFonts w:ascii="Times New Roman" w:hAnsi="Times New Roman" w:cs="Times New Roman"/>
          <w:sz w:val="24"/>
          <w:szCs w:val="24"/>
        </w:rPr>
      </w:pPr>
      <w:r w:rsidRPr="00E958CE">
        <w:rPr>
          <w:rFonts w:ascii="Times New Roman" w:hAnsi="Times New Roman" w:cs="Times New Roman"/>
          <w:sz w:val="24"/>
          <w:szCs w:val="24"/>
        </w:rPr>
        <w:t>Võrreldes 2005. aastaga on 1 kg teravilja tootmiskulud 2012. aast</w:t>
      </w:r>
      <w:r w:rsidR="00125228">
        <w:rPr>
          <w:rFonts w:ascii="Times New Roman" w:hAnsi="Times New Roman" w:cs="Times New Roman"/>
          <w:sz w:val="24"/>
          <w:szCs w:val="24"/>
        </w:rPr>
        <w:t>aks suurenenud 50–</w:t>
      </w:r>
      <w:r w:rsidR="006E4858" w:rsidRPr="00E958CE">
        <w:rPr>
          <w:rFonts w:ascii="Times New Roman" w:hAnsi="Times New Roman" w:cs="Times New Roman"/>
          <w:sz w:val="24"/>
          <w:szCs w:val="24"/>
        </w:rPr>
        <w:t>60% (joonis 31</w:t>
      </w:r>
      <w:r w:rsidRPr="00E958CE">
        <w:rPr>
          <w:rFonts w:ascii="Times New Roman" w:hAnsi="Times New Roman" w:cs="Times New Roman"/>
          <w:sz w:val="24"/>
          <w:szCs w:val="24"/>
        </w:rPr>
        <w:t xml:space="preserve">). Kui 2005. aastal ületasid 4,5 tonnise hektarisaagikuse juures tootmiskulud kõikidel teraviljadel </w:t>
      </w:r>
      <w:r w:rsidR="00125228">
        <w:rPr>
          <w:rFonts w:ascii="Times New Roman" w:hAnsi="Times New Roman" w:cs="Times New Roman"/>
          <w:sz w:val="24"/>
          <w:szCs w:val="24"/>
        </w:rPr>
        <w:t>keskmist kokkuostuhinda,</w:t>
      </w:r>
      <w:r w:rsidRPr="00E958CE">
        <w:rPr>
          <w:rFonts w:ascii="Times New Roman" w:hAnsi="Times New Roman" w:cs="Times New Roman"/>
          <w:sz w:val="24"/>
          <w:szCs w:val="24"/>
        </w:rPr>
        <w:t xml:space="preserve"> siis 2012. aastal on olukord muutunud vastupidiseks. Üldjuhul on taliteraviljade ja rapsi tootmiskulu 1 kg tootmiseks veidi kõrgem kui suviteraviljadel, kuid ka kattetulu on suurem.</w:t>
      </w:r>
    </w:p>
    <w:p w:rsidR="00F93F87" w:rsidRPr="00E958CE" w:rsidRDefault="00F93F87" w:rsidP="00617526">
      <w:pPr>
        <w:spacing w:line="276" w:lineRule="auto"/>
        <w:jc w:val="both"/>
        <w:rPr>
          <w:rFonts w:ascii="Times New Roman" w:hAnsi="Times New Roman" w:cs="Times New Roman"/>
          <w:b/>
          <w:sz w:val="24"/>
          <w:szCs w:val="24"/>
        </w:rPr>
      </w:pPr>
    </w:p>
    <w:p w:rsidR="00D25510" w:rsidRPr="00E958CE" w:rsidRDefault="004B72D6" w:rsidP="0095169D">
      <w:pPr>
        <w:spacing w:line="276" w:lineRule="auto"/>
        <w:jc w:val="both"/>
        <w:rPr>
          <w:rStyle w:val="BookTitle"/>
          <w:rFonts w:ascii="Times New Roman" w:hAnsi="Times New Roman" w:cs="Times New Roman"/>
          <w:b w:val="0"/>
          <w:i w:val="0"/>
          <w:sz w:val="24"/>
          <w:szCs w:val="24"/>
        </w:rPr>
      </w:pPr>
      <w:bookmarkStart w:id="818" w:name="_Toc378697833"/>
      <w:bookmarkStart w:id="819" w:name="_Toc378773279"/>
      <w:r w:rsidRPr="00E958CE">
        <w:rPr>
          <w:rStyle w:val="BookTitle"/>
          <w:rFonts w:ascii="Times New Roman" w:hAnsi="Times New Roman" w:cs="Times New Roman"/>
          <w:i w:val="0"/>
          <w:sz w:val="24"/>
          <w:szCs w:val="24"/>
        </w:rPr>
        <w:t>Majandustulemuste</w:t>
      </w:r>
      <w:r w:rsidR="00D25510" w:rsidRPr="00E958CE">
        <w:rPr>
          <w:rStyle w:val="BookTitle"/>
          <w:rFonts w:ascii="Times New Roman" w:hAnsi="Times New Roman" w:cs="Times New Roman"/>
          <w:i w:val="0"/>
          <w:sz w:val="24"/>
          <w:szCs w:val="24"/>
        </w:rPr>
        <w:t xml:space="preserve"> võrdlus EL keskmisega ja </w:t>
      </w:r>
      <w:r w:rsidRPr="00E958CE">
        <w:rPr>
          <w:rStyle w:val="BookTitle"/>
          <w:rFonts w:ascii="Times New Roman" w:hAnsi="Times New Roman" w:cs="Times New Roman"/>
          <w:i w:val="0"/>
          <w:sz w:val="24"/>
          <w:szCs w:val="24"/>
        </w:rPr>
        <w:t xml:space="preserve">Eesti </w:t>
      </w:r>
      <w:r w:rsidR="00D25510" w:rsidRPr="00E958CE">
        <w:rPr>
          <w:rStyle w:val="BookTitle"/>
          <w:rFonts w:ascii="Times New Roman" w:hAnsi="Times New Roman" w:cs="Times New Roman"/>
          <w:i w:val="0"/>
          <w:sz w:val="24"/>
          <w:szCs w:val="24"/>
        </w:rPr>
        <w:t>lähinaabritega</w:t>
      </w:r>
      <w:bookmarkEnd w:id="818"/>
      <w:bookmarkEnd w:id="819"/>
    </w:p>
    <w:p w:rsidR="00D25510" w:rsidRPr="00E958CE" w:rsidRDefault="00D25510" w:rsidP="00617526">
      <w:pPr>
        <w:adjustRightInd w:val="0"/>
        <w:spacing w:line="276" w:lineRule="auto"/>
        <w:jc w:val="both"/>
        <w:rPr>
          <w:rStyle w:val="Strong"/>
          <w:rFonts w:ascii="Times New Roman" w:hAnsi="Times New Roman" w:cs="Times New Roman"/>
          <w:b w:val="0"/>
          <w:color w:val="000000" w:themeColor="text1"/>
          <w:sz w:val="24"/>
          <w:szCs w:val="24"/>
        </w:rPr>
      </w:pPr>
      <w:r w:rsidRPr="00E958CE">
        <w:rPr>
          <w:rStyle w:val="Strong"/>
          <w:rFonts w:ascii="Times New Roman" w:hAnsi="Times New Roman" w:cs="Times New Roman"/>
          <w:b w:val="0"/>
          <w:color w:val="000000" w:themeColor="text1"/>
          <w:sz w:val="24"/>
          <w:szCs w:val="24"/>
        </w:rPr>
        <w:t>Aastate 2004–201</w:t>
      </w:r>
      <w:r w:rsidR="003A208B" w:rsidRPr="00E958CE">
        <w:rPr>
          <w:rStyle w:val="Strong"/>
          <w:rFonts w:ascii="Times New Roman" w:hAnsi="Times New Roman" w:cs="Times New Roman"/>
          <w:b w:val="0"/>
          <w:color w:val="000000" w:themeColor="text1"/>
          <w:sz w:val="24"/>
          <w:szCs w:val="24"/>
        </w:rPr>
        <w:t>3</w:t>
      </w:r>
      <w:r w:rsidRPr="00E958CE">
        <w:rPr>
          <w:rStyle w:val="Strong"/>
          <w:rFonts w:ascii="Times New Roman" w:hAnsi="Times New Roman" w:cs="Times New Roman"/>
          <w:b w:val="0"/>
          <w:color w:val="000000" w:themeColor="text1"/>
          <w:sz w:val="24"/>
          <w:szCs w:val="24"/>
        </w:rPr>
        <w:t xml:space="preserve"> Euroopa Liidu (EL) keskmise ja Eesti lähinaabrite (Läti, Leedu, Soome ja Rootsi) </w:t>
      </w:r>
      <w:proofErr w:type="spellStart"/>
      <w:r w:rsidRPr="00E958CE">
        <w:rPr>
          <w:rStyle w:val="Strong"/>
          <w:rFonts w:ascii="Times New Roman" w:hAnsi="Times New Roman" w:cs="Times New Roman"/>
          <w:b w:val="0"/>
          <w:color w:val="000000" w:themeColor="text1"/>
          <w:sz w:val="24"/>
          <w:szCs w:val="24"/>
        </w:rPr>
        <w:t>Eurostat</w:t>
      </w:r>
      <w:proofErr w:type="spellEnd"/>
      <w:r w:rsidRPr="00E958CE">
        <w:rPr>
          <w:rStyle w:val="FootnoteReference"/>
          <w:rFonts w:ascii="Times New Roman" w:hAnsi="Times New Roman" w:cs="Times New Roman"/>
          <w:bCs/>
          <w:color w:val="000000" w:themeColor="text1"/>
          <w:sz w:val="24"/>
          <w:szCs w:val="24"/>
        </w:rPr>
        <w:footnoteReference w:id="29"/>
      </w:r>
      <w:r w:rsidRPr="00E958CE">
        <w:rPr>
          <w:rStyle w:val="Strong"/>
          <w:rFonts w:ascii="Times New Roman" w:hAnsi="Times New Roman" w:cs="Times New Roman"/>
          <w:b w:val="0"/>
          <w:color w:val="000000" w:themeColor="text1"/>
          <w:sz w:val="24"/>
          <w:szCs w:val="24"/>
        </w:rPr>
        <w:t xml:space="preserve"> andmetele tugineva tootmisteguritulu</w:t>
      </w:r>
      <w:r w:rsidR="005A2E02" w:rsidRPr="00E958CE">
        <w:rPr>
          <w:rStyle w:val="FootnoteReference"/>
          <w:rFonts w:ascii="Times New Roman" w:hAnsi="Times New Roman" w:cs="Times New Roman"/>
          <w:bCs/>
          <w:color w:val="000000" w:themeColor="text1"/>
          <w:sz w:val="24"/>
          <w:szCs w:val="24"/>
        </w:rPr>
        <w:footnoteReference w:id="30"/>
      </w:r>
      <w:r w:rsidRPr="00E958CE">
        <w:rPr>
          <w:rStyle w:val="Strong"/>
          <w:rFonts w:ascii="Times New Roman" w:hAnsi="Times New Roman" w:cs="Times New Roman"/>
          <w:b w:val="0"/>
          <w:color w:val="000000" w:themeColor="text1"/>
          <w:sz w:val="24"/>
          <w:szCs w:val="24"/>
        </w:rPr>
        <w:t xml:space="preserve"> võrdluse põhjal ei näita EL keskmine perioodi jooksul suuri kõikumisi (+/-12–14%). Kuid Baltimaades on muutused hüppelised ja alates 2010. aastast on valitsenud tõusutrend</w:t>
      </w:r>
      <w:r w:rsidR="006E4858" w:rsidRPr="00E958CE">
        <w:rPr>
          <w:rStyle w:val="Strong"/>
          <w:rFonts w:ascii="Times New Roman" w:hAnsi="Times New Roman" w:cs="Times New Roman"/>
          <w:b w:val="0"/>
          <w:color w:val="000000" w:themeColor="text1"/>
          <w:sz w:val="24"/>
          <w:szCs w:val="24"/>
        </w:rPr>
        <w:t xml:space="preserve"> (joonis 32</w:t>
      </w:r>
      <w:r w:rsidR="00F64059" w:rsidRPr="00E958CE">
        <w:rPr>
          <w:rStyle w:val="Strong"/>
          <w:rFonts w:ascii="Times New Roman" w:hAnsi="Times New Roman" w:cs="Times New Roman"/>
          <w:b w:val="0"/>
          <w:color w:val="000000" w:themeColor="text1"/>
          <w:sz w:val="24"/>
          <w:szCs w:val="24"/>
        </w:rPr>
        <w:t>)</w:t>
      </w:r>
      <w:r w:rsidRPr="00E958CE">
        <w:rPr>
          <w:rStyle w:val="Strong"/>
          <w:rFonts w:ascii="Times New Roman" w:hAnsi="Times New Roman" w:cs="Times New Roman"/>
          <w:b w:val="0"/>
          <w:color w:val="000000" w:themeColor="text1"/>
          <w:sz w:val="24"/>
          <w:szCs w:val="24"/>
        </w:rPr>
        <w:t xml:space="preserve">. </w:t>
      </w:r>
    </w:p>
    <w:p w:rsidR="005A2E02" w:rsidRPr="00E958CE" w:rsidRDefault="005A2E02" w:rsidP="00617526">
      <w:pPr>
        <w:adjustRightInd w:val="0"/>
        <w:spacing w:line="276" w:lineRule="auto"/>
        <w:jc w:val="both"/>
        <w:rPr>
          <w:rStyle w:val="Strong"/>
          <w:rFonts w:ascii="Times New Roman" w:hAnsi="Times New Roman" w:cs="Times New Roman"/>
          <w:b w:val="0"/>
          <w:color w:val="000000" w:themeColor="text1"/>
          <w:sz w:val="24"/>
          <w:szCs w:val="24"/>
        </w:rPr>
      </w:pPr>
    </w:p>
    <w:p w:rsidR="005A2E02" w:rsidRPr="00E958CE" w:rsidRDefault="005A2E02" w:rsidP="00617526">
      <w:pPr>
        <w:adjustRightInd w:val="0"/>
        <w:spacing w:line="276" w:lineRule="auto"/>
        <w:jc w:val="both"/>
        <w:rPr>
          <w:rStyle w:val="Strong"/>
          <w:rFonts w:ascii="Times New Roman" w:hAnsi="Times New Roman" w:cs="Times New Roman"/>
          <w:b w:val="0"/>
          <w:color w:val="000000" w:themeColor="text1"/>
          <w:sz w:val="24"/>
          <w:szCs w:val="24"/>
        </w:rPr>
      </w:pPr>
      <w:r w:rsidRPr="00E958CE">
        <w:rPr>
          <w:rStyle w:val="Strong"/>
          <w:rFonts w:ascii="Times New Roman" w:hAnsi="Times New Roman" w:cs="Times New Roman"/>
          <w:b w:val="0"/>
          <w:color w:val="000000" w:themeColor="text1"/>
          <w:sz w:val="24"/>
          <w:szCs w:val="24"/>
        </w:rPr>
        <w:t>Kolmest Balti riigist on kiirema arengutempoga Leedu põllumajandussektor – alates liitumisest ELiga on tootmisteguritulu suurenenud 2,4 korda, kusjuures ka majandusharu toodangu väärtus on suurenenud samal ajal kaks korda (2004. a</w:t>
      </w:r>
      <w:r w:rsidR="008E7FCC" w:rsidRPr="00E958CE">
        <w:rPr>
          <w:rStyle w:val="Strong"/>
          <w:rFonts w:ascii="Times New Roman" w:hAnsi="Times New Roman" w:cs="Times New Roman"/>
          <w:b w:val="0"/>
          <w:color w:val="000000" w:themeColor="text1"/>
          <w:sz w:val="24"/>
          <w:szCs w:val="24"/>
        </w:rPr>
        <w:t>astal</w:t>
      </w:r>
      <w:r w:rsidRPr="00E958CE">
        <w:rPr>
          <w:rStyle w:val="Strong"/>
          <w:rFonts w:ascii="Times New Roman" w:hAnsi="Times New Roman" w:cs="Times New Roman"/>
          <w:b w:val="0"/>
          <w:color w:val="000000" w:themeColor="text1"/>
          <w:sz w:val="24"/>
          <w:szCs w:val="24"/>
        </w:rPr>
        <w:t xml:space="preserve"> 1</w:t>
      </w:r>
      <w:r w:rsidR="008E7FCC" w:rsidRPr="00E958CE">
        <w:rPr>
          <w:rStyle w:val="Strong"/>
          <w:rFonts w:ascii="Times New Roman" w:hAnsi="Times New Roman" w:cs="Times New Roman"/>
          <w:b w:val="0"/>
          <w:color w:val="000000" w:themeColor="text1"/>
          <w:sz w:val="24"/>
          <w:szCs w:val="24"/>
        </w:rPr>
        <w:t xml:space="preserve"> </w:t>
      </w:r>
      <w:r w:rsidR="00C45DDE">
        <w:rPr>
          <w:rStyle w:val="Strong"/>
          <w:rFonts w:ascii="Times New Roman" w:hAnsi="Times New Roman" w:cs="Times New Roman"/>
          <w:b w:val="0"/>
          <w:color w:val="000000" w:themeColor="text1"/>
          <w:sz w:val="24"/>
          <w:szCs w:val="24"/>
        </w:rPr>
        <w:t>385 miljonit</w:t>
      </w:r>
      <w:r w:rsidRPr="00E958CE">
        <w:rPr>
          <w:rStyle w:val="Strong"/>
          <w:rFonts w:ascii="Times New Roman" w:hAnsi="Times New Roman" w:cs="Times New Roman"/>
          <w:b w:val="0"/>
          <w:color w:val="000000" w:themeColor="text1"/>
          <w:sz w:val="24"/>
          <w:szCs w:val="24"/>
        </w:rPr>
        <w:t xml:space="preserve"> </w:t>
      </w:r>
      <w:r w:rsidR="007C2059">
        <w:rPr>
          <w:rStyle w:val="Strong"/>
          <w:rFonts w:ascii="Times New Roman" w:hAnsi="Times New Roman" w:cs="Times New Roman"/>
          <w:b w:val="0"/>
          <w:color w:val="000000" w:themeColor="text1"/>
          <w:sz w:val="24"/>
          <w:szCs w:val="24"/>
        </w:rPr>
        <w:t>eurot</w:t>
      </w:r>
      <w:r w:rsidRPr="00E958CE">
        <w:rPr>
          <w:rStyle w:val="Strong"/>
          <w:rFonts w:ascii="Times New Roman" w:hAnsi="Times New Roman" w:cs="Times New Roman"/>
          <w:b w:val="0"/>
          <w:color w:val="000000" w:themeColor="text1"/>
          <w:sz w:val="24"/>
          <w:szCs w:val="24"/>
        </w:rPr>
        <w:t>; 2013. a</w:t>
      </w:r>
      <w:r w:rsidR="008E7FCC" w:rsidRPr="00E958CE">
        <w:rPr>
          <w:rStyle w:val="Strong"/>
          <w:rFonts w:ascii="Times New Roman" w:hAnsi="Times New Roman" w:cs="Times New Roman"/>
          <w:b w:val="0"/>
          <w:color w:val="000000" w:themeColor="text1"/>
          <w:sz w:val="24"/>
          <w:szCs w:val="24"/>
        </w:rPr>
        <w:t>astal</w:t>
      </w:r>
      <w:r w:rsidRPr="00E958CE">
        <w:rPr>
          <w:rStyle w:val="Strong"/>
          <w:rFonts w:ascii="Times New Roman" w:hAnsi="Times New Roman" w:cs="Times New Roman"/>
          <w:b w:val="0"/>
          <w:color w:val="000000" w:themeColor="text1"/>
          <w:sz w:val="24"/>
          <w:szCs w:val="24"/>
        </w:rPr>
        <w:t xml:space="preserve"> prognoosi alusel 2</w:t>
      </w:r>
      <w:r w:rsidR="008E7FCC" w:rsidRPr="00E958CE">
        <w:rPr>
          <w:rStyle w:val="Strong"/>
          <w:rFonts w:ascii="Times New Roman" w:hAnsi="Times New Roman" w:cs="Times New Roman"/>
          <w:b w:val="0"/>
          <w:color w:val="000000" w:themeColor="text1"/>
          <w:sz w:val="24"/>
          <w:szCs w:val="24"/>
        </w:rPr>
        <w:t xml:space="preserve"> </w:t>
      </w:r>
      <w:r w:rsidR="00C45DDE">
        <w:rPr>
          <w:rStyle w:val="Strong"/>
          <w:rFonts w:ascii="Times New Roman" w:hAnsi="Times New Roman" w:cs="Times New Roman"/>
          <w:b w:val="0"/>
          <w:color w:val="000000" w:themeColor="text1"/>
          <w:sz w:val="24"/>
          <w:szCs w:val="24"/>
        </w:rPr>
        <w:t>973 miljonit</w:t>
      </w:r>
      <w:r w:rsidRPr="00E958CE">
        <w:rPr>
          <w:rStyle w:val="Strong"/>
          <w:rFonts w:ascii="Times New Roman" w:hAnsi="Times New Roman" w:cs="Times New Roman"/>
          <w:b w:val="0"/>
          <w:color w:val="000000" w:themeColor="text1"/>
          <w:sz w:val="24"/>
          <w:szCs w:val="24"/>
        </w:rPr>
        <w:t xml:space="preserve"> </w:t>
      </w:r>
      <w:r w:rsidR="007C2059">
        <w:rPr>
          <w:rStyle w:val="Strong"/>
          <w:rFonts w:ascii="Times New Roman" w:hAnsi="Times New Roman" w:cs="Times New Roman"/>
          <w:b w:val="0"/>
          <w:color w:val="000000" w:themeColor="text1"/>
          <w:sz w:val="24"/>
          <w:szCs w:val="24"/>
        </w:rPr>
        <w:t>eurot</w:t>
      </w:r>
      <w:r w:rsidRPr="00E958CE">
        <w:rPr>
          <w:rStyle w:val="Strong"/>
          <w:rFonts w:ascii="Times New Roman" w:hAnsi="Times New Roman" w:cs="Times New Roman"/>
          <w:b w:val="0"/>
          <w:color w:val="000000" w:themeColor="text1"/>
          <w:sz w:val="24"/>
          <w:szCs w:val="24"/>
        </w:rPr>
        <w:t xml:space="preserve">), moodustades 2013. aastal 0,7% EL põllumajanduse majandusharu toodangust (0,3 </w:t>
      </w:r>
      <w:r w:rsidR="006C3FCA" w:rsidRPr="00E958CE">
        <w:rPr>
          <w:rStyle w:val="Strong"/>
          <w:rFonts w:ascii="Times New Roman" w:hAnsi="Times New Roman" w:cs="Times New Roman"/>
          <w:b w:val="0"/>
          <w:color w:val="000000" w:themeColor="text1"/>
          <w:sz w:val="24"/>
          <w:szCs w:val="24"/>
        </w:rPr>
        <w:t>protsendipunkti</w:t>
      </w:r>
      <w:r w:rsidRPr="00E958CE">
        <w:rPr>
          <w:rStyle w:val="Strong"/>
          <w:rFonts w:ascii="Times New Roman" w:hAnsi="Times New Roman" w:cs="Times New Roman"/>
          <w:b w:val="0"/>
          <w:color w:val="000000" w:themeColor="text1"/>
          <w:sz w:val="24"/>
          <w:szCs w:val="24"/>
        </w:rPr>
        <w:t xml:space="preserve"> enam kui 2004. a</w:t>
      </w:r>
      <w:r w:rsidR="00916630" w:rsidRPr="00E958CE">
        <w:rPr>
          <w:rStyle w:val="Strong"/>
          <w:rFonts w:ascii="Times New Roman" w:hAnsi="Times New Roman" w:cs="Times New Roman"/>
          <w:b w:val="0"/>
          <w:color w:val="000000" w:themeColor="text1"/>
          <w:sz w:val="24"/>
          <w:szCs w:val="24"/>
        </w:rPr>
        <w:t>astal</w:t>
      </w:r>
      <w:r w:rsidRPr="00E958CE">
        <w:rPr>
          <w:rStyle w:val="Strong"/>
          <w:rFonts w:ascii="Times New Roman" w:hAnsi="Times New Roman" w:cs="Times New Roman"/>
          <w:b w:val="0"/>
          <w:color w:val="000000" w:themeColor="text1"/>
          <w:sz w:val="24"/>
          <w:szCs w:val="24"/>
        </w:rPr>
        <w:t>)</w:t>
      </w:r>
      <w:r w:rsidR="00916630" w:rsidRPr="00E958CE">
        <w:rPr>
          <w:rStyle w:val="Strong"/>
          <w:rFonts w:ascii="Times New Roman" w:hAnsi="Times New Roman" w:cs="Times New Roman"/>
          <w:b w:val="0"/>
          <w:color w:val="000000" w:themeColor="text1"/>
          <w:sz w:val="24"/>
          <w:szCs w:val="24"/>
        </w:rPr>
        <w:t>.</w:t>
      </w:r>
      <w:r w:rsidRPr="00E958CE">
        <w:rPr>
          <w:rStyle w:val="Strong"/>
          <w:rFonts w:ascii="Times New Roman" w:hAnsi="Times New Roman" w:cs="Times New Roman"/>
          <w:b w:val="0"/>
          <w:color w:val="000000" w:themeColor="text1"/>
          <w:sz w:val="24"/>
          <w:szCs w:val="24"/>
        </w:rPr>
        <w:t xml:space="preserve"> Sarnaselt Eestile on Leedus majandusharu väljundis määrava tähtsusega teravilja toodangu väärtus (2013. aastal 32% põllumajanduse majandusharu toodangust). Teraviljatoodangu väärtus on suurenenud võrreldes 2004. a</w:t>
      </w:r>
      <w:r w:rsidR="00916630" w:rsidRPr="00E958CE">
        <w:rPr>
          <w:rStyle w:val="Strong"/>
          <w:rFonts w:ascii="Times New Roman" w:hAnsi="Times New Roman" w:cs="Times New Roman"/>
          <w:b w:val="0"/>
          <w:color w:val="000000" w:themeColor="text1"/>
          <w:sz w:val="24"/>
          <w:szCs w:val="24"/>
        </w:rPr>
        <w:t>astaga</w:t>
      </w:r>
      <w:r w:rsidRPr="00E958CE">
        <w:rPr>
          <w:rStyle w:val="Strong"/>
          <w:rFonts w:ascii="Times New Roman" w:hAnsi="Times New Roman" w:cs="Times New Roman"/>
          <w:b w:val="0"/>
          <w:color w:val="000000" w:themeColor="text1"/>
          <w:sz w:val="24"/>
          <w:szCs w:val="24"/>
        </w:rPr>
        <w:t xml:space="preserve"> 2,8 korda. Vahetarbimises kajastatavad kulud on samal perioodil suurenenud veidi üle kahe korra ning erinevalt teistest Balti riikidest on jäänud näiteks väetiste ja taimekaitsevahendite kasutatavate </w:t>
      </w:r>
      <w:r w:rsidRPr="00E958CE">
        <w:rPr>
          <w:rStyle w:val="Strong"/>
          <w:rFonts w:ascii="Times New Roman" w:hAnsi="Times New Roman" w:cs="Times New Roman"/>
          <w:b w:val="0"/>
          <w:color w:val="000000" w:themeColor="text1"/>
          <w:sz w:val="24"/>
          <w:szCs w:val="24"/>
        </w:rPr>
        <w:lastRenderedPageBreak/>
        <w:t xml:space="preserve">koguste muutus tagasihoidlikumaks, kuid oluliselt on suurenenud teenustööde maht. Tootmistoetused on Leedus suurenenud perioodi jooksul ligikaudu 7 korda ja moodustasid 2013. aastal viiendiku tootmisteguritulust. </w:t>
      </w:r>
    </w:p>
    <w:p w:rsidR="005A2E02" w:rsidRPr="0095169D" w:rsidRDefault="005A2E02" w:rsidP="00617526">
      <w:pPr>
        <w:adjustRightInd w:val="0"/>
        <w:spacing w:line="276" w:lineRule="auto"/>
        <w:jc w:val="both"/>
        <w:rPr>
          <w:rStyle w:val="Strong"/>
          <w:b w:val="0"/>
          <w:color w:val="000000" w:themeColor="text1"/>
          <w:sz w:val="24"/>
          <w:szCs w:val="24"/>
        </w:rPr>
      </w:pPr>
    </w:p>
    <w:p w:rsidR="003D64AD" w:rsidRPr="0095169D" w:rsidRDefault="00BD1B3B" w:rsidP="00617526">
      <w:pPr>
        <w:spacing w:line="276" w:lineRule="auto"/>
        <w:jc w:val="both"/>
        <w:rPr>
          <w:rFonts w:cs="Arial"/>
          <w:bCs/>
          <w:color w:val="000000"/>
          <w:sz w:val="24"/>
          <w:szCs w:val="24"/>
        </w:rPr>
      </w:pPr>
      <w:r>
        <w:rPr>
          <w:noProof/>
        </w:rPr>
        <w:drawing>
          <wp:inline distT="0" distB="0" distL="0" distR="0" wp14:anchorId="5BC2B690" wp14:editId="57E296B7">
            <wp:extent cx="6067425" cy="2047875"/>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3A208B" w:rsidRPr="00E958CE" w:rsidRDefault="003A208B" w:rsidP="00617526">
      <w:pPr>
        <w:spacing w:line="276" w:lineRule="auto"/>
        <w:jc w:val="both"/>
        <w:rPr>
          <w:rFonts w:ascii="Times New Roman" w:hAnsi="Times New Roman" w:cs="Times New Roman"/>
          <w:bCs/>
          <w:color w:val="000000"/>
          <w:sz w:val="24"/>
          <w:szCs w:val="24"/>
        </w:rPr>
      </w:pPr>
      <w:r w:rsidRPr="00E958CE">
        <w:rPr>
          <w:rFonts w:ascii="Times New Roman" w:hAnsi="Times New Roman" w:cs="Times New Roman"/>
          <w:bCs/>
          <w:color w:val="000000"/>
          <w:sz w:val="24"/>
          <w:szCs w:val="24"/>
        </w:rPr>
        <w:t>* 2013 andmed on esialgsed (13.12.2013)</w:t>
      </w:r>
    </w:p>
    <w:p w:rsidR="00D25510" w:rsidRPr="00BD1B3B" w:rsidRDefault="00F64059" w:rsidP="00617526">
      <w:pPr>
        <w:spacing w:line="276" w:lineRule="auto"/>
        <w:jc w:val="both"/>
        <w:rPr>
          <w:rFonts w:ascii="Arial" w:hAnsi="Arial" w:cs="Arial"/>
          <w:bCs/>
          <w:color w:val="000000"/>
        </w:rPr>
      </w:pPr>
      <w:r w:rsidRPr="00BD1B3B">
        <w:rPr>
          <w:rFonts w:ascii="Arial" w:hAnsi="Arial" w:cs="Arial"/>
          <w:bCs/>
          <w:color w:val="000000"/>
        </w:rPr>
        <w:t xml:space="preserve">Allikas: </w:t>
      </w:r>
      <w:proofErr w:type="spellStart"/>
      <w:r w:rsidRPr="00BD1B3B">
        <w:rPr>
          <w:rFonts w:ascii="Arial" w:hAnsi="Arial" w:cs="Arial"/>
          <w:bCs/>
          <w:color w:val="000000"/>
        </w:rPr>
        <w:t>E</w:t>
      </w:r>
      <w:r w:rsidR="0072564B" w:rsidRPr="00BD1B3B">
        <w:rPr>
          <w:rFonts w:ascii="Arial" w:hAnsi="Arial" w:cs="Arial"/>
          <w:bCs/>
          <w:color w:val="000000"/>
        </w:rPr>
        <w:t>urostat</w:t>
      </w:r>
      <w:proofErr w:type="spellEnd"/>
      <w:r w:rsidR="00D25510" w:rsidRPr="00BD1B3B">
        <w:rPr>
          <w:rFonts w:ascii="Arial" w:hAnsi="Arial" w:cs="Arial"/>
          <w:bCs/>
          <w:color w:val="000000"/>
        </w:rPr>
        <w:t>, PM arvutused</w:t>
      </w:r>
    </w:p>
    <w:p w:rsidR="00D25510" w:rsidRPr="00E958CE" w:rsidRDefault="006E4858" w:rsidP="00617526">
      <w:pPr>
        <w:spacing w:line="276" w:lineRule="auto"/>
        <w:jc w:val="both"/>
        <w:rPr>
          <w:rFonts w:ascii="Times New Roman" w:hAnsi="Times New Roman" w:cs="Times New Roman"/>
          <w:b/>
          <w:bCs/>
          <w:color w:val="000000"/>
          <w:sz w:val="24"/>
          <w:szCs w:val="24"/>
        </w:rPr>
      </w:pPr>
      <w:r w:rsidRPr="00E958CE">
        <w:rPr>
          <w:rFonts w:ascii="Times New Roman" w:hAnsi="Times New Roman" w:cs="Times New Roman"/>
          <w:b/>
          <w:bCs/>
          <w:color w:val="000000"/>
          <w:sz w:val="24"/>
          <w:szCs w:val="24"/>
        </w:rPr>
        <w:t>Joonis 32</w:t>
      </w:r>
      <w:r w:rsidR="00D25510" w:rsidRPr="00E958CE">
        <w:rPr>
          <w:rFonts w:ascii="Times New Roman" w:hAnsi="Times New Roman" w:cs="Times New Roman"/>
          <w:b/>
          <w:bCs/>
          <w:color w:val="000000"/>
          <w:sz w:val="24"/>
          <w:szCs w:val="24"/>
        </w:rPr>
        <w:t xml:space="preserve">. Tootmisteguritulu muutus Eestis ja naaberriikides aastatel 2004–2012 </w:t>
      </w:r>
    </w:p>
    <w:p w:rsidR="00D25510" w:rsidRPr="00E958CE" w:rsidRDefault="00D25510" w:rsidP="00617526">
      <w:pPr>
        <w:adjustRightInd w:val="0"/>
        <w:spacing w:line="276" w:lineRule="auto"/>
        <w:jc w:val="both"/>
        <w:rPr>
          <w:rStyle w:val="Strong"/>
          <w:rFonts w:ascii="Times New Roman" w:hAnsi="Times New Roman" w:cs="Times New Roman"/>
          <w:b w:val="0"/>
          <w:color w:val="000000" w:themeColor="text1"/>
          <w:sz w:val="24"/>
          <w:szCs w:val="24"/>
        </w:rPr>
      </w:pPr>
      <w:r w:rsidRPr="00E958CE">
        <w:rPr>
          <w:rStyle w:val="Strong"/>
          <w:rFonts w:ascii="Times New Roman" w:hAnsi="Times New Roman" w:cs="Times New Roman"/>
          <w:b w:val="0"/>
          <w:color w:val="000000" w:themeColor="text1"/>
          <w:sz w:val="24"/>
          <w:szCs w:val="24"/>
        </w:rPr>
        <w:t xml:space="preserve">Lähinaabrite võrdluses jäi teisele kohale Eesti, ületades tootmisteguritulu suurenemisel Lätit </w:t>
      </w:r>
      <w:r w:rsidR="00346C09" w:rsidRPr="00E958CE">
        <w:rPr>
          <w:rStyle w:val="Strong"/>
          <w:rFonts w:ascii="Times New Roman" w:hAnsi="Times New Roman" w:cs="Times New Roman"/>
          <w:b w:val="0"/>
          <w:color w:val="000000" w:themeColor="text1"/>
          <w:sz w:val="24"/>
          <w:szCs w:val="24"/>
        </w:rPr>
        <w:t>46</w:t>
      </w:r>
      <w:r w:rsidRPr="00E958CE">
        <w:rPr>
          <w:rStyle w:val="Strong"/>
          <w:rFonts w:ascii="Times New Roman" w:hAnsi="Times New Roman" w:cs="Times New Roman"/>
          <w:b w:val="0"/>
          <w:color w:val="000000" w:themeColor="text1"/>
          <w:sz w:val="24"/>
          <w:szCs w:val="24"/>
        </w:rPr>
        <w:t xml:space="preserve"> </w:t>
      </w:r>
      <w:proofErr w:type="spellStart"/>
      <w:r w:rsidR="006C3FCA">
        <w:rPr>
          <w:rStyle w:val="Strong"/>
          <w:rFonts w:ascii="Times New Roman" w:hAnsi="Times New Roman" w:cs="Times New Roman"/>
          <w:b w:val="0"/>
          <w:color w:val="000000" w:themeColor="text1"/>
          <w:sz w:val="24"/>
          <w:szCs w:val="24"/>
        </w:rPr>
        <w:t>pp</w:t>
      </w:r>
      <w:proofErr w:type="spellEnd"/>
      <w:r w:rsidR="005A2E02" w:rsidRPr="00E958CE">
        <w:rPr>
          <w:rStyle w:val="Strong"/>
          <w:rFonts w:ascii="Times New Roman" w:hAnsi="Times New Roman" w:cs="Times New Roman"/>
          <w:b w:val="0"/>
          <w:color w:val="000000" w:themeColor="text1"/>
          <w:sz w:val="24"/>
          <w:szCs w:val="24"/>
        </w:rPr>
        <w:t xml:space="preserve"> ja </w:t>
      </w:r>
      <w:r w:rsidR="00346C09" w:rsidRPr="00E958CE">
        <w:rPr>
          <w:rStyle w:val="Strong"/>
          <w:rFonts w:ascii="Times New Roman" w:hAnsi="Times New Roman" w:cs="Times New Roman"/>
          <w:b w:val="0"/>
          <w:color w:val="000000" w:themeColor="text1"/>
          <w:sz w:val="24"/>
          <w:szCs w:val="24"/>
        </w:rPr>
        <w:t>2013</w:t>
      </w:r>
      <w:r w:rsidRPr="00E958CE">
        <w:rPr>
          <w:rStyle w:val="Strong"/>
          <w:rFonts w:ascii="Times New Roman" w:hAnsi="Times New Roman" w:cs="Times New Roman"/>
          <w:b w:val="0"/>
          <w:color w:val="000000" w:themeColor="text1"/>
          <w:sz w:val="24"/>
          <w:szCs w:val="24"/>
        </w:rPr>
        <w:t>. a</w:t>
      </w:r>
      <w:r w:rsidR="008E7FCC" w:rsidRPr="00E958CE">
        <w:rPr>
          <w:rStyle w:val="Strong"/>
          <w:rFonts w:ascii="Times New Roman" w:hAnsi="Times New Roman" w:cs="Times New Roman"/>
          <w:b w:val="0"/>
          <w:color w:val="000000" w:themeColor="text1"/>
          <w:sz w:val="24"/>
          <w:szCs w:val="24"/>
        </w:rPr>
        <w:t>asta</w:t>
      </w:r>
      <w:r w:rsidRPr="00E958CE">
        <w:rPr>
          <w:rStyle w:val="Strong"/>
          <w:rFonts w:ascii="Times New Roman" w:hAnsi="Times New Roman" w:cs="Times New Roman"/>
          <w:b w:val="0"/>
          <w:color w:val="000000" w:themeColor="text1"/>
          <w:sz w:val="24"/>
          <w:szCs w:val="24"/>
        </w:rPr>
        <w:t xml:space="preserve"> esialgsete t</w:t>
      </w:r>
      <w:r w:rsidR="00346C09" w:rsidRPr="00E958CE">
        <w:rPr>
          <w:rStyle w:val="Strong"/>
          <w:rFonts w:ascii="Times New Roman" w:hAnsi="Times New Roman" w:cs="Times New Roman"/>
          <w:b w:val="0"/>
          <w:color w:val="000000" w:themeColor="text1"/>
          <w:sz w:val="24"/>
          <w:szCs w:val="24"/>
        </w:rPr>
        <w:t xml:space="preserve">ulemuste kohaselt </w:t>
      </w:r>
      <w:r w:rsidR="005A2E02" w:rsidRPr="00E958CE">
        <w:rPr>
          <w:rStyle w:val="Strong"/>
          <w:rFonts w:ascii="Times New Roman" w:hAnsi="Times New Roman" w:cs="Times New Roman"/>
          <w:b w:val="0"/>
          <w:color w:val="000000" w:themeColor="text1"/>
          <w:sz w:val="24"/>
          <w:szCs w:val="24"/>
        </w:rPr>
        <w:t xml:space="preserve">jäi </w:t>
      </w:r>
      <w:r w:rsidR="00346C09" w:rsidRPr="00E958CE">
        <w:rPr>
          <w:rStyle w:val="Strong"/>
          <w:rFonts w:ascii="Times New Roman" w:hAnsi="Times New Roman" w:cs="Times New Roman"/>
          <w:b w:val="0"/>
          <w:color w:val="000000" w:themeColor="text1"/>
          <w:sz w:val="24"/>
          <w:szCs w:val="24"/>
        </w:rPr>
        <w:t>Leedu</w:t>
      </w:r>
      <w:r w:rsidR="005A2E02" w:rsidRPr="00E958CE">
        <w:rPr>
          <w:rStyle w:val="Strong"/>
          <w:rFonts w:ascii="Times New Roman" w:hAnsi="Times New Roman" w:cs="Times New Roman"/>
          <w:b w:val="0"/>
          <w:color w:val="000000" w:themeColor="text1"/>
          <w:sz w:val="24"/>
          <w:szCs w:val="24"/>
        </w:rPr>
        <w:t xml:space="preserve"> tulemuse</w:t>
      </w:r>
      <w:r w:rsidR="00346C09" w:rsidRPr="00E958CE">
        <w:rPr>
          <w:rStyle w:val="Strong"/>
          <w:rFonts w:ascii="Times New Roman" w:hAnsi="Times New Roman" w:cs="Times New Roman"/>
          <w:b w:val="0"/>
          <w:color w:val="000000" w:themeColor="text1"/>
          <w:sz w:val="24"/>
          <w:szCs w:val="24"/>
        </w:rPr>
        <w:t xml:space="preserve">le alla </w:t>
      </w:r>
      <w:r w:rsidRPr="00E958CE">
        <w:rPr>
          <w:rStyle w:val="Strong"/>
          <w:rFonts w:ascii="Times New Roman" w:hAnsi="Times New Roman" w:cs="Times New Roman"/>
          <w:b w:val="0"/>
          <w:color w:val="000000" w:themeColor="text1"/>
          <w:sz w:val="24"/>
          <w:szCs w:val="24"/>
        </w:rPr>
        <w:t>6</w:t>
      </w:r>
      <w:r w:rsidR="00346C09" w:rsidRPr="00E958CE">
        <w:rPr>
          <w:rStyle w:val="Strong"/>
          <w:rFonts w:ascii="Times New Roman" w:hAnsi="Times New Roman" w:cs="Times New Roman"/>
          <w:b w:val="0"/>
          <w:color w:val="000000" w:themeColor="text1"/>
          <w:sz w:val="24"/>
          <w:szCs w:val="24"/>
        </w:rPr>
        <w:t>0</w:t>
      </w:r>
      <w:r w:rsidRPr="00E958CE">
        <w:rPr>
          <w:rStyle w:val="Strong"/>
          <w:rFonts w:ascii="Times New Roman" w:hAnsi="Times New Roman" w:cs="Times New Roman"/>
          <w:b w:val="0"/>
          <w:color w:val="000000" w:themeColor="text1"/>
          <w:sz w:val="24"/>
          <w:szCs w:val="24"/>
        </w:rPr>
        <w:t xml:space="preserve"> </w:t>
      </w:r>
      <w:r w:rsidRPr="00E958CE">
        <w:rPr>
          <w:rStyle w:val="Strong"/>
          <w:rFonts w:ascii="Times New Roman" w:hAnsi="Times New Roman" w:cs="Times New Roman"/>
          <w:b w:val="0"/>
          <w:noProof/>
          <w:color w:val="000000" w:themeColor="text1"/>
          <w:sz w:val="24"/>
          <w:szCs w:val="24"/>
        </w:rPr>
        <w:t>pp</w:t>
      </w:r>
      <w:r w:rsidRPr="00E958CE">
        <w:rPr>
          <w:rStyle w:val="Strong"/>
          <w:rFonts w:ascii="Times New Roman" w:hAnsi="Times New Roman" w:cs="Times New Roman"/>
          <w:b w:val="0"/>
          <w:color w:val="000000" w:themeColor="text1"/>
          <w:sz w:val="24"/>
          <w:szCs w:val="24"/>
        </w:rPr>
        <w:t>. Eesti põllumajanduse majandusharu toodangu väärtus</w:t>
      </w:r>
      <w:r w:rsidR="00346C09" w:rsidRPr="00E958CE">
        <w:rPr>
          <w:rStyle w:val="Strong"/>
          <w:rFonts w:ascii="Times New Roman" w:hAnsi="Times New Roman" w:cs="Times New Roman"/>
          <w:b w:val="0"/>
          <w:color w:val="000000" w:themeColor="text1"/>
          <w:sz w:val="24"/>
          <w:szCs w:val="24"/>
        </w:rPr>
        <w:t xml:space="preserve"> (2004. a</w:t>
      </w:r>
      <w:r w:rsidR="00916630" w:rsidRPr="00E958CE">
        <w:rPr>
          <w:rStyle w:val="Strong"/>
          <w:rFonts w:ascii="Times New Roman" w:hAnsi="Times New Roman" w:cs="Times New Roman"/>
          <w:b w:val="0"/>
          <w:color w:val="000000" w:themeColor="text1"/>
          <w:sz w:val="24"/>
          <w:szCs w:val="24"/>
        </w:rPr>
        <w:t>astal</w:t>
      </w:r>
      <w:r w:rsidR="000226D7">
        <w:rPr>
          <w:rStyle w:val="Strong"/>
          <w:rFonts w:ascii="Times New Roman" w:hAnsi="Times New Roman" w:cs="Times New Roman"/>
          <w:b w:val="0"/>
          <w:color w:val="000000" w:themeColor="text1"/>
          <w:sz w:val="24"/>
          <w:szCs w:val="24"/>
        </w:rPr>
        <w:t xml:space="preserve"> 483 miljonit</w:t>
      </w:r>
      <w:r w:rsidR="00346C09" w:rsidRPr="00E958CE">
        <w:rPr>
          <w:rStyle w:val="Strong"/>
          <w:rFonts w:ascii="Times New Roman" w:hAnsi="Times New Roman" w:cs="Times New Roman"/>
          <w:b w:val="0"/>
          <w:color w:val="000000" w:themeColor="text1"/>
          <w:sz w:val="24"/>
          <w:szCs w:val="24"/>
        </w:rPr>
        <w:t xml:space="preserve"> </w:t>
      </w:r>
      <w:r w:rsidR="00101BDF">
        <w:rPr>
          <w:rStyle w:val="Strong"/>
          <w:rFonts w:ascii="Times New Roman" w:hAnsi="Times New Roman" w:cs="Times New Roman"/>
          <w:b w:val="0"/>
          <w:color w:val="000000" w:themeColor="text1"/>
          <w:sz w:val="24"/>
          <w:szCs w:val="24"/>
        </w:rPr>
        <w:t>eurot</w:t>
      </w:r>
      <w:r w:rsidR="00346C09" w:rsidRPr="00E958CE">
        <w:rPr>
          <w:rStyle w:val="Strong"/>
          <w:rFonts w:ascii="Times New Roman" w:hAnsi="Times New Roman" w:cs="Times New Roman"/>
          <w:b w:val="0"/>
          <w:color w:val="000000" w:themeColor="text1"/>
          <w:sz w:val="24"/>
          <w:szCs w:val="24"/>
        </w:rPr>
        <w:t xml:space="preserve"> ja 2013. a</w:t>
      </w:r>
      <w:r w:rsidR="00916630" w:rsidRPr="00E958CE">
        <w:rPr>
          <w:rStyle w:val="Strong"/>
          <w:rFonts w:ascii="Times New Roman" w:hAnsi="Times New Roman" w:cs="Times New Roman"/>
          <w:b w:val="0"/>
          <w:color w:val="000000" w:themeColor="text1"/>
          <w:sz w:val="24"/>
          <w:szCs w:val="24"/>
        </w:rPr>
        <w:t>asta</w:t>
      </w:r>
      <w:r w:rsidR="000226D7">
        <w:rPr>
          <w:rStyle w:val="Strong"/>
          <w:rFonts w:ascii="Times New Roman" w:hAnsi="Times New Roman" w:cs="Times New Roman"/>
          <w:b w:val="0"/>
          <w:color w:val="000000" w:themeColor="text1"/>
          <w:sz w:val="24"/>
          <w:szCs w:val="24"/>
        </w:rPr>
        <w:t xml:space="preserve"> prognoosi alusel 872 miljonit</w:t>
      </w:r>
      <w:r w:rsidR="00346C09" w:rsidRPr="00E958CE">
        <w:rPr>
          <w:rStyle w:val="Strong"/>
          <w:rFonts w:ascii="Times New Roman" w:hAnsi="Times New Roman" w:cs="Times New Roman"/>
          <w:b w:val="0"/>
          <w:color w:val="000000" w:themeColor="text1"/>
          <w:sz w:val="24"/>
          <w:szCs w:val="24"/>
        </w:rPr>
        <w:t xml:space="preserve"> </w:t>
      </w:r>
      <w:r w:rsidR="00101BDF">
        <w:rPr>
          <w:rStyle w:val="Strong"/>
          <w:rFonts w:ascii="Times New Roman" w:hAnsi="Times New Roman" w:cs="Times New Roman"/>
          <w:b w:val="0"/>
          <w:color w:val="000000" w:themeColor="text1"/>
          <w:sz w:val="24"/>
          <w:szCs w:val="24"/>
        </w:rPr>
        <w:t>eurot</w:t>
      </w:r>
      <w:r w:rsidR="00346C09" w:rsidRPr="00E958CE">
        <w:rPr>
          <w:rStyle w:val="Strong"/>
          <w:rFonts w:ascii="Times New Roman" w:hAnsi="Times New Roman" w:cs="Times New Roman"/>
          <w:b w:val="0"/>
          <w:color w:val="000000" w:themeColor="text1"/>
          <w:sz w:val="24"/>
          <w:szCs w:val="24"/>
        </w:rPr>
        <w:t>)</w:t>
      </w:r>
      <w:r w:rsidR="005A2E02" w:rsidRPr="00E958CE">
        <w:rPr>
          <w:rStyle w:val="Strong"/>
          <w:rFonts w:ascii="Times New Roman" w:hAnsi="Times New Roman" w:cs="Times New Roman"/>
          <w:b w:val="0"/>
          <w:color w:val="000000" w:themeColor="text1"/>
          <w:sz w:val="24"/>
          <w:szCs w:val="24"/>
        </w:rPr>
        <w:t xml:space="preserve"> moodustas</w:t>
      </w:r>
      <w:r w:rsidRPr="00E958CE">
        <w:rPr>
          <w:rStyle w:val="Strong"/>
          <w:rFonts w:ascii="Times New Roman" w:hAnsi="Times New Roman" w:cs="Times New Roman"/>
          <w:b w:val="0"/>
          <w:color w:val="000000" w:themeColor="text1"/>
          <w:sz w:val="24"/>
          <w:szCs w:val="24"/>
        </w:rPr>
        <w:t xml:space="preserve"> 0,2% EL vastavast koguväärtusest</w:t>
      </w:r>
      <w:r w:rsidR="00346C09" w:rsidRPr="00E958CE">
        <w:rPr>
          <w:rStyle w:val="Strong"/>
          <w:rFonts w:ascii="Times New Roman" w:hAnsi="Times New Roman" w:cs="Times New Roman"/>
          <w:b w:val="0"/>
          <w:color w:val="000000" w:themeColor="text1"/>
          <w:sz w:val="24"/>
          <w:szCs w:val="24"/>
        </w:rPr>
        <w:t xml:space="preserve"> (0,1 </w:t>
      </w:r>
      <w:proofErr w:type="spellStart"/>
      <w:r w:rsidR="00346C09" w:rsidRPr="00E958CE">
        <w:rPr>
          <w:rStyle w:val="Strong"/>
          <w:rFonts w:ascii="Times New Roman" w:hAnsi="Times New Roman" w:cs="Times New Roman"/>
          <w:b w:val="0"/>
          <w:color w:val="000000" w:themeColor="text1"/>
          <w:sz w:val="24"/>
          <w:szCs w:val="24"/>
        </w:rPr>
        <w:t>pp</w:t>
      </w:r>
      <w:proofErr w:type="spellEnd"/>
      <w:r w:rsidR="00346C09" w:rsidRPr="00E958CE">
        <w:rPr>
          <w:rStyle w:val="Strong"/>
          <w:rFonts w:ascii="Times New Roman" w:hAnsi="Times New Roman" w:cs="Times New Roman"/>
          <w:b w:val="0"/>
          <w:color w:val="000000" w:themeColor="text1"/>
          <w:sz w:val="24"/>
          <w:szCs w:val="24"/>
        </w:rPr>
        <w:t xml:space="preserve"> enam kui 2004. a</w:t>
      </w:r>
      <w:r w:rsidR="007A687D" w:rsidRPr="00E958CE">
        <w:rPr>
          <w:rStyle w:val="Strong"/>
          <w:rFonts w:ascii="Times New Roman" w:hAnsi="Times New Roman" w:cs="Times New Roman"/>
          <w:b w:val="0"/>
          <w:color w:val="000000" w:themeColor="text1"/>
          <w:sz w:val="24"/>
          <w:szCs w:val="24"/>
        </w:rPr>
        <w:t>astal</w:t>
      </w:r>
      <w:r w:rsidR="00346C09" w:rsidRPr="00E958CE">
        <w:rPr>
          <w:rStyle w:val="Strong"/>
          <w:rFonts w:ascii="Times New Roman" w:hAnsi="Times New Roman" w:cs="Times New Roman"/>
          <w:b w:val="0"/>
          <w:color w:val="000000" w:themeColor="text1"/>
          <w:sz w:val="24"/>
          <w:szCs w:val="24"/>
        </w:rPr>
        <w:t>)</w:t>
      </w:r>
      <w:r w:rsidRPr="00E958CE">
        <w:rPr>
          <w:rStyle w:val="Strong"/>
          <w:rFonts w:ascii="Times New Roman" w:hAnsi="Times New Roman" w:cs="Times New Roman"/>
          <w:b w:val="0"/>
          <w:color w:val="000000" w:themeColor="text1"/>
          <w:sz w:val="24"/>
          <w:szCs w:val="24"/>
        </w:rPr>
        <w:t>.</w:t>
      </w:r>
    </w:p>
    <w:p w:rsidR="00D25510" w:rsidRPr="00E958CE" w:rsidRDefault="00D25510" w:rsidP="00617526">
      <w:pPr>
        <w:adjustRightInd w:val="0"/>
        <w:spacing w:line="276" w:lineRule="auto"/>
        <w:jc w:val="both"/>
        <w:rPr>
          <w:rStyle w:val="Strong"/>
          <w:rFonts w:ascii="Times New Roman" w:hAnsi="Times New Roman" w:cs="Times New Roman"/>
          <w:b w:val="0"/>
          <w:color w:val="000000" w:themeColor="text1"/>
          <w:sz w:val="24"/>
          <w:szCs w:val="24"/>
        </w:rPr>
      </w:pPr>
    </w:p>
    <w:p w:rsidR="00D25510" w:rsidRPr="00E958CE" w:rsidRDefault="00D25510" w:rsidP="00617526">
      <w:pPr>
        <w:adjustRightInd w:val="0"/>
        <w:spacing w:line="276" w:lineRule="auto"/>
        <w:jc w:val="both"/>
        <w:rPr>
          <w:rStyle w:val="Strong"/>
          <w:rFonts w:ascii="Times New Roman" w:hAnsi="Times New Roman" w:cs="Times New Roman"/>
          <w:b w:val="0"/>
          <w:color w:val="000000" w:themeColor="text1"/>
          <w:sz w:val="24"/>
          <w:szCs w:val="24"/>
        </w:rPr>
      </w:pPr>
      <w:r w:rsidRPr="00E958CE">
        <w:rPr>
          <w:rStyle w:val="Strong"/>
          <w:rFonts w:ascii="Times New Roman" w:hAnsi="Times New Roman" w:cs="Times New Roman"/>
          <w:b w:val="0"/>
          <w:color w:val="000000" w:themeColor="text1"/>
          <w:sz w:val="24"/>
          <w:szCs w:val="24"/>
        </w:rPr>
        <w:t xml:space="preserve">Läti tootmisteguritulu suurenemist nii suures mahus kui Eestil ja Leedul on pärssinud sisendite oluline kallinemine. </w:t>
      </w:r>
      <w:r w:rsidR="00346C09" w:rsidRPr="00E958CE">
        <w:rPr>
          <w:rStyle w:val="Strong"/>
          <w:rFonts w:ascii="Times New Roman" w:hAnsi="Times New Roman" w:cs="Times New Roman"/>
          <w:b w:val="0"/>
          <w:color w:val="000000" w:themeColor="text1"/>
          <w:sz w:val="24"/>
          <w:szCs w:val="24"/>
        </w:rPr>
        <w:t>Põllumajanduse majandusharu t</w:t>
      </w:r>
      <w:r w:rsidRPr="00E958CE">
        <w:rPr>
          <w:rStyle w:val="Strong"/>
          <w:rFonts w:ascii="Times New Roman" w:hAnsi="Times New Roman" w:cs="Times New Roman"/>
          <w:b w:val="0"/>
          <w:color w:val="000000" w:themeColor="text1"/>
          <w:sz w:val="24"/>
          <w:szCs w:val="24"/>
        </w:rPr>
        <w:t>oodangu väärtust</w:t>
      </w:r>
      <w:r w:rsidR="000226D7">
        <w:rPr>
          <w:rStyle w:val="Strong"/>
          <w:rFonts w:ascii="Times New Roman" w:hAnsi="Times New Roman" w:cs="Times New Roman"/>
          <w:b w:val="0"/>
          <w:color w:val="000000" w:themeColor="text1"/>
          <w:sz w:val="24"/>
          <w:szCs w:val="24"/>
        </w:rPr>
        <w:t xml:space="preserve"> (676 miljonit</w:t>
      </w:r>
      <w:r w:rsidR="00346C09" w:rsidRPr="00E958CE">
        <w:rPr>
          <w:rStyle w:val="Strong"/>
          <w:rFonts w:ascii="Times New Roman" w:hAnsi="Times New Roman" w:cs="Times New Roman"/>
          <w:b w:val="0"/>
          <w:color w:val="000000" w:themeColor="text1"/>
          <w:sz w:val="24"/>
          <w:szCs w:val="24"/>
        </w:rPr>
        <w:t xml:space="preserve"> </w:t>
      </w:r>
      <w:r w:rsidR="00101BDF">
        <w:rPr>
          <w:rStyle w:val="Strong"/>
          <w:rFonts w:ascii="Times New Roman" w:hAnsi="Times New Roman" w:cs="Times New Roman"/>
          <w:b w:val="0"/>
          <w:color w:val="000000" w:themeColor="text1"/>
          <w:sz w:val="24"/>
          <w:szCs w:val="24"/>
        </w:rPr>
        <w:t>eurot</w:t>
      </w:r>
      <w:r w:rsidR="00346C09" w:rsidRPr="00E958CE">
        <w:rPr>
          <w:rStyle w:val="Strong"/>
          <w:rFonts w:ascii="Times New Roman" w:hAnsi="Times New Roman" w:cs="Times New Roman"/>
          <w:b w:val="0"/>
          <w:color w:val="000000" w:themeColor="text1"/>
          <w:sz w:val="24"/>
          <w:szCs w:val="24"/>
        </w:rPr>
        <w:t xml:space="preserve"> 2004. a</w:t>
      </w:r>
      <w:r w:rsidR="00705D52" w:rsidRPr="00E958CE">
        <w:rPr>
          <w:rStyle w:val="Strong"/>
          <w:rFonts w:ascii="Times New Roman" w:hAnsi="Times New Roman" w:cs="Times New Roman"/>
          <w:b w:val="0"/>
          <w:color w:val="000000" w:themeColor="text1"/>
          <w:sz w:val="24"/>
          <w:szCs w:val="24"/>
        </w:rPr>
        <w:t>astal</w:t>
      </w:r>
      <w:r w:rsidR="00346C09" w:rsidRPr="00E958CE">
        <w:rPr>
          <w:rStyle w:val="Strong"/>
          <w:rFonts w:ascii="Times New Roman" w:hAnsi="Times New Roman" w:cs="Times New Roman"/>
          <w:b w:val="0"/>
          <w:color w:val="000000" w:themeColor="text1"/>
          <w:sz w:val="24"/>
          <w:szCs w:val="24"/>
        </w:rPr>
        <w:t xml:space="preserve"> ja 1</w:t>
      </w:r>
      <w:r w:rsidR="000226D7">
        <w:rPr>
          <w:rStyle w:val="Strong"/>
          <w:rFonts w:ascii="Times New Roman" w:hAnsi="Times New Roman" w:cs="Times New Roman"/>
          <w:b w:val="0"/>
          <w:color w:val="000000" w:themeColor="text1"/>
          <w:sz w:val="24"/>
          <w:szCs w:val="24"/>
        </w:rPr>
        <w:t xml:space="preserve"> 246 miljonit</w:t>
      </w:r>
      <w:r w:rsidR="00705D52" w:rsidRPr="00E958CE">
        <w:rPr>
          <w:rStyle w:val="Strong"/>
          <w:rFonts w:ascii="Times New Roman" w:hAnsi="Times New Roman" w:cs="Times New Roman"/>
          <w:b w:val="0"/>
          <w:color w:val="000000" w:themeColor="text1"/>
          <w:sz w:val="24"/>
          <w:szCs w:val="24"/>
        </w:rPr>
        <w:t xml:space="preserve"> </w:t>
      </w:r>
      <w:r w:rsidR="00101BDF">
        <w:rPr>
          <w:rStyle w:val="Strong"/>
          <w:rFonts w:ascii="Times New Roman" w:hAnsi="Times New Roman" w:cs="Times New Roman"/>
          <w:b w:val="0"/>
          <w:color w:val="000000" w:themeColor="text1"/>
          <w:sz w:val="24"/>
          <w:szCs w:val="24"/>
        </w:rPr>
        <w:t>eurot</w:t>
      </w:r>
      <w:r w:rsidR="00705D52" w:rsidRPr="00E958CE">
        <w:rPr>
          <w:rStyle w:val="Strong"/>
          <w:rFonts w:ascii="Times New Roman" w:hAnsi="Times New Roman" w:cs="Times New Roman"/>
          <w:b w:val="0"/>
          <w:color w:val="000000" w:themeColor="text1"/>
          <w:sz w:val="24"/>
          <w:szCs w:val="24"/>
        </w:rPr>
        <w:t xml:space="preserve"> 2013. aasta</w:t>
      </w:r>
      <w:r w:rsidR="00346C09" w:rsidRPr="00E958CE">
        <w:rPr>
          <w:rStyle w:val="Strong"/>
          <w:rFonts w:ascii="Times New Roman" w:hAnsi="Times New Roman" w:cs="Times New Roman"/>
          <w:b w:val="0"/>
          <w:color w:val="000000" w:themeColor="text1"/>
          <w:sz w:val="24"/>
          <w:szCs w:val="24"/>
        </w:rPr>
        <w:t xml:space="preserve"> prognoosi kohaselt</w:t>
      </w:r>
      <w:r w:rsidR="005A2E02" w:rsidRPr="00E958CE">
        <w:rPr>
          <w:rStyle w:val="Strong"/>
          <w:rFonts w:ascii="Times New Roman" w:hAnsi="Times New Roman" w:cs="Times New Roman"/>
          <w:b w:val="0"/>
          <w:color w:val="000000" w:themeColor="text1"/>
          <w:sz w:val="24"/>
          <w:szCs w:val="24"/>
        </w:rPr>
        <w:t xml:space="preserve">; </w:t>
      </w:r>
      <w:r w:rsidRPr="00E958CE">
        <w:rPr>
          <w:rStyle w:val="Strong"/>
          <w:rFonts w:ascii="Times New Roman" w:hAnsi="Times New Roman" w:cs="Times New Roman"/>
          <w:b w:val="0"/>
          <w:color w:val="000000" w:themeColor="text1"/>
          <w:sz w:val="24"/>
          <w:szCs w:val="24"/>
        </w:rPr>
        <w:t>0,3% EL põllumajanduse majandusharu toodangu väärtusest</w:t>
      </w:r>
      <w:r w:rsidR="00346C09" w:rsidRPr="00E958CE">
        <w:rPr>
          <w:rStyle w:val="Strong"/>
          <w:rFonts w:ascii="Times New Roman" w:hAnsi="Times New Roman" w:cs="Times New Roman"/>
          <w:b w:val="0"/>
          <w:color w:val="000000" w:themeColor="text1"/>
          <w:sz w:val="24"/>
          <w:szCs w:val="24"/>
        </w:rPr>
        <w:t xml:space="preserve"> 2013. a</w:t>
      </w:r>
      <w:r w:rsidR="00705D52" w:rsidRPr="00E958CE">
        <w:rPr>
          <w:rStyle w:val="Strong"/>
          <w:rFonts w:ascii="Times New Roman" w:hAnsi="Times New Roman" w:cs="Times New Roman"/>
          <w:b w:val="0"/>
          <w:color w:val="000000" w:themeColor="text1"/>
          <w:sz w:val="24"/>
          <w:szCs w:val="24"/>
        </w:rPr>
        <w:t>astal,</w:t>
      </w:r>
      <w:r w:rsidR="00346C09" w:rsidRPr="00E958CE">
        <w:rPr>
          <w:rStyle w:val="Strong"/>
          <w:rFonts w:ascii="Times New Roman" w:hAnsi="Times New Roman" w:cs="Times New Roman"/>
          <w:b w:val="0"/>
          <w:color w:val="000000" w:themeColor="text1"/>
          <w:sz w:val="24"/>
          <w:szCs w:val="24"/>
        </w:rPr>
        <w:t xml:space="preserve">  mis on 0,1 </w:t>
      </w:r>
      <w:proofErr w:type="spellStart"/>
      <w:r w:rsidR="00346C09" w:rsidRPr="00E958CE">
        <w:rPr>
          <w:rStyle w:val="Strong"/>
          <w:rFonts w:ascii="Times New Roman" w:hAnsi="Times New Roman" w:cs="Times New Roman"/>
          <w:b w:val="0"/>
          <w:color w:val="000000" w:themeColor="text1"/>
          <w:sz w:val="24"/>
          <w:szCs w:val="24"/>
        </w:rPr>
        <w:t>pp</w:t>
      </w:r>
      <w:proofErr w:type="spellEnd"/>
      <w:r w:rsidR="00346C09" w:rsidRPr="00E958CE">
        <w:rPr>
          <w:rStyle w:val="Strong"/>
          <w:rFonts w:ascii="Times New Roman" w:hAnsi="Times New Roman" w:cs="Times New Roman"/>
          <w:b w:val="0"/>
          <w:color w:val="000000" w:themeColor="text1"/>
          <w:sz w:val="24"/>
          <w:szCs w:val="24"/>
        </w:rPr>
        <w:t xml:space="preserve"> enam kui 2004. a</w:t>
      </w:r>
      <w:r w:rsidR="00705D52" w:rsidRPr="00E958CE">
        <w:rPr>
          <w:rStyle w:val="Strong"/>
          <w:rFonts w:ascii="Times New Roman" w:hAnsi="Times New Roman" w:cs="Times New Roman"/>
          <w:b w:val="0"/>
          <w:color w:val="000000" w:themeColor="text1"/>
          <w:sz w:val="24"/>
          <w:szCs w:val="24"/>
        </w:rPr>
        <w:t>astal</w:t>
      </w:r>
      <w:r w:rsidR="00346C09" w:rsidRPr="00E958CE">
        <w:rPr>
          <w:rStyle w:val="Strong"/>
          <w:rFonts w:ascii="Times New Roman" w:hAnsi="Times New Roman" w:cs="Times New Roman"/>
          <w:b w:val="0"/>
          <w:color w:val="000000" w:themeColor="text1"/>
          <w:sz w:val="24"/>
          <w:szCs w:val="24"/>
        </w:rPr>
        <w:t>)</w:t>
      </w:r>
      <w:r w:rsidRPr="00E958CE">
        <w:rPr>
          <w:rStyle w:val="Strong"/>
          <w:rFonts w:ascii="Times New Roman" w:hAnsi="Times New Roman" w:cs="Times New Roman"/>
          <w:b w:val="0"/>
          <w:color w:val="000000" w:themeColor="text1"/>
          <w:sz w:val="24"/>
          <w:szCs w:val="24"/>
        </w:rPr>
        <w:t xml:space="preserve"> kujunda</w:t>
      </w:r>
      <w:r w:rsidR="00346C09" w:rsidRPr="00E958CE">
        <w:rPr>
          <w:rStyle w:val="Strong"/>
          <w:rFonts w:ascii="Times New Roman" w:hAnsi="Times New Roman" w:cs="Times New Roman"/>
          <w:b w:val="0"/>
          <w:color w:val="000000" w:themeColor="text1"/>
          <w:sz w:val="24"/>
          <w:szCs w:val="24"/>
        </w:rPr>
        <w:t>b</w:t>
      </w:r>
      <w:r w:rsidRPr="00E958CE">
        <w:rPr>
          <w:rStyle w:val="Strong"/>
          <w:rFonts w:ascii="Times New Roman" w:hAnsi="Times New Roman" w:cs="Times New Roman"/>
          <w:b w:val="0"/>
          <w:color w:val="000000" w:themeColor="text1"/>
          <w:sz w:val="24"/>
          <w:szCs w:val="24"/>
        </w:rPr>
        <w:t xml:space="preserve"> ka Lätis </w:t>
      </w:r>
      <w:r w:rsidR="00346C09" w:rsidRPr="00E958CE">
        <w:rPr>
          <w:rStyle w:val="Strong"/>
          <w:rFonts w:ascii="Times New Roman" w:hAnsi="Times New Roman" w:cs="Times New Roman"/>
          <w:b w:val="0"/>
          <w:color w:val="000000" w:themeColor="text1"/>
          <w:sz w:val="24"/>
          <w:szCs w:val="24"/>
        </w:rPr>
        <w:t>oluliselt teravili (2013. a</w:t>
      </w:r>
      <w:r w:rsidR="00705D52" w:rsidRPr="00E958CE">
        <w:rPr>
          <w:rStyle w:val="Strong"/>
          <w:rFonts w:ascii="Times New Roman" w:hAnsi="Times New Roman" w:cs="Times New Roman"/>
          <w:b w:val="0"/>
          <w:color w:val="000000" w:themeColor="text1"/>
          <w:sz w:val="24"/>
          <w:szCs w:val="24"/>
        </w:rPr>
        <w:t>asta</w:t>
      </w:r>
      <w:r w:rsidR="00346C09" w:rsidRPr="00E958CE">
        <w:rPr>
          <w:rStyle w:val="Strong"/>
          <w:rFonts w:ascii="Times New Roman" w:hAnsi="Times New Roman" w:cs="Times New Roman"/>
          <w:b w:val="0"/>
          <w:color w:val="000000" w:themeColor="text1"/>
          <w:sz w:val="24"/>
          <w:szCs w:val="24"/>
        </w:rPr>
        <w:t xml:space="preserve"> prognoosi kohaselt 24</w:t>
      </w:r>
      <w:r w:rsidRPr="00E958CE">
        <w:rPr>
          <w:rStyle w:val="Strong"/>
          <w:rFonts w:ascii="Times New Roman" w:hAnsi="Times New Roman" w:cs="Times New Roman"/>
          <w:b w:val="0"/>
          <w:color w:val="000000" w:themeColor="text1"/>
          <w:sz w:val="24"/>
          <w:szCs w:val="24"/>
        </w:rPr>
        <w:t>% põllumajanduse majandusharu toodangust)</w:t>
      </w:r>
      <w:r w:rsidR="00346C09" w:rsidRPr="00E958CE">
        <w:rPr>
          <w:rStyle w:val="Strong"/>
          <w:rFonts w:ascii="Times New Roman" w:hAnsi="Times New Roman" w:cs="Times New Roman"/>
          <w:b w:val="0"/>
          <w:color w:val="000000" w:themeColor="text1"/>
          <w:sz w:val="24"/>
          <w:szCs w:val="24"/>
        </w:rPr>
        <w:t>, mille</w:t>
      </w:r>
      <w:r w:rsidRPr="00E958CE">
        <w:rPr>
          <w:rStyle w:val="Strong"/>
          <w:rFonts w:ascii="Times New Roman" w:hAnsi="Times New Roman" w:cs="Times New Roman"/>
          <w:b w:val="0"/>
          <w:color w:val="000000" w:themeColor="text1"/>
          <w:sz w:val="24"/>
          <w:szCs w:val="24"/>
        </w:rPr>
        <w:t xml:space="preserve"> toodangu väärtus on perioodi jooksul suurenenud vastavalt </w:t>
      </w:r>
      <w:r w:rsidR="00346C09" w:rsidRPr="00E958CE">
        <w:rPr>
          <w:rStyle w:val="Strong"/>
          <w:rFonts w:ascii="Times New Roman" w:hAnsi="Times New Roman" w:cs="Times New Roman"/>
          <w:b w:val="0"/>
          <w:color w:val="000000" w:themeColor="text1"/>
          <w:sz w:val="24"/>
          <w:szCs w:val="24"/>
        </w:rPr>
        <w:t>2,5</w:t>
      </w:r>
      <w:r w:rsidRPr="00E958CE">
        <w:rPr>
          <w:rStyle w:val="Strong"/>
          <w:rFonts w:ascii="Times New Roman" w:hAnsi="Times New Roman" w:cs="Times New Roman"/>
          <w:b w:val="0"/>
          <w:color w:val="000000" w:themeColor="text1"/>
          <w:sz w:val="24"/>
          <w:szCs w:val="24"/>
        </w:rPr>
        <w:t xml:space="preserve"> korda. Vahetarbimises tehtavate kulutuste väärtus on perioodi jooksul suurenenud 2,4 korda. Peamised mõjutajad on </w:t>
      </w:r>
      <w:r w:rsidR="00FF3F19" w:rsidRPr="00E958CE">
        <w:rPr>
          <w:rStyle w:val="Strong"/>
          <w:rFonts w:ascii="Times New Roman" w:hAnsi="Times New Roman" w:cs="Times New Roman"/>
          <w:b w:val="0"/>
          <w:color w:val="000000" w:themeColor="text1"/>
          <w:sz w:val="24"/>
          <w:szCs w:val="24"/>
        </w:rPr>
        <w:t xml:space="preserve">olnud </w:t>
      </w:r>
      <w:r w:rsidRPr="00E958CE">
        <w:rPr>
          <w:rStyle w:val="Strong"/>
          <w:rFonts w:ascii="Times New Roman" w:hAnsi="Times New Roman" w:cs="Times New Roman"/>
          <w:b w:val="0"/>
          <w:color w:val="000000" w:themeColor="text1"/>
          <w:sz w:val="24"/>
          <w:szCs w:val="24"/>
        </w:rPr>
        <w:t>taimekaitsevahenditele ja ehitiste korra</w:t>
      </w:r>
      <w:r w:rsidR="00662979">
        <w:rPr>
          <w:rStyle w:val="Strong"/>
          <w:rFonts w:ascii="Times New Roman" w:hAnsi="Times New Roman" w:cs="Times New Roman"/>
          <w:b w:val="0"/>
          <w:color w:val="000000" w:themeColor="text1"/>
          <w:sz w:val="24"/>
          <w:szCs w:val="24"/>
        </w:rPr>
        <w:t>s</w:t>
      </w:r>
      <w:r w:rsidRPr="00E958CE">
        <w:rPr>
          <w:rStyle w:val="Strong"/>
          <w:rFonts w:ascii="Times New Roman" w:hAnsi="Times New Roman" w:cs="Times New Roman"/>
          <w:b w:val="0"/>
          <w:color w:val="000000" w:themeColor="text1"/>
          <w:sz w:val="24"/>
          <w:szCs w:val="24"/>
        </w:rPr>
        <w:t>hoiule tehtavad kulutused ning suurim hinnatõus on aset leidnud väetiste ja energia osas. Makstud tootmistoetuste maht on EL liikme</w:t>
      </w:r>
      <w:r w:rsidR="00FA3ADB" w:rsidRPr="00E958CE">
        <w:rPr>
          <w:rStyle w:val="Strong"/>
          <w:rFonts w:ascii="Times New Roman" w:hAnsi="Times New Roman" w:cs="Times New Roman"/>
          <w:b w:val="0"/>
          <w:color w:val="000000" w:themeColor="text1"/>
          <w:sz w:val="24"/>
          <w:szCs w:val="24"/>
        </w:rPr>
        <w:t>lisuse ajal Lätis suurenenud 3,3</w:t>
      </w:r>
      <w:r w:rsidRPr="00E958CE">
        <w:rPr>
          <w:rStyle w:val="Strong"/>
          <w:rFonts w:ascii="Times New Roman" w:hAnsi="Times New Roman" w:cs="Times New Roman"/>
          <w:b w:val="0"/>
          <w:color w:val="000000" w:themeColor="text1"/>
          <w:sz w:val="24"/>
          <w:szCs w:val="24"/>
        </w:rPr>
        <w:t xml:space="preserve"> korda ja need moodustasid</w:t>
      </w:r>
      <w:r w:rsidR="00FA3ADB" w:rsidRPr="00E958CE">
        <w:rPr>
          <w:rStyle w:val="Strong"/>
          <w:rFonts w:ascii="Times New Roman" w:hAnsi="Times New Roman" w:cs="Times New Roman"/>
          <w:b w:val="0"/>
          <w:color w:val="000000" w:themeColor="text1"/>
          <w:sz w:val="24"/>
          <w:szCs w:val="24"/>
        </w:rPr>
        <w:t xml:space="preserve"> 2013</w:t>
      </w:r>
      <w:r w:rsidRPr="00E958CE">
        <w:rPr>
          <w:rStyle w:val="Strong"/>
          <w:rFonts w:ascii="Times New Roman" w:hAnsi="Times New Roman" w:cs="Times New Roman"/>
          <w:b w:val="0"/>
          <w:color w:val="000000" w:themeColor="text1"/>
          <w:sz w:val="24"/>
          <w:szCs w:val="24"/>
        </w:rPr>
        <w:t xml:space="preserve">. aastal </w:t>
      </w:r>
      <w:r w:rsidR="00FA3ADB" w:rsidRPr="00E958CE">
        <w:rPr>
          <w:rStyle w:val="Strong"/>
          <w:rFonts w:ascii="Times New Roman" w:hAnsi="Times New Roman" w:cs="Times New Roman"/>
          <w:b w:val="0"/>
          <w:color w:val="000000" w:themeColor="text1"/>
          <w:sz w:val="24"/>
          <w:szCs w:val="24"/>
        </w:rPr>
        <w:t>67</w:t>
      </w:r>
      <w:r w:rsidRPr="00E958CE">
        <w:rPr>
          <w:rStyle w:val="Strong"/>
          <w:rFonts w:ascii="Times New Roman" w:hAnsi="Times New Roman" w:cs="Times New Roman"/>
          <w:b w:val="0"/>
          <w:color w:val="000000" w:themeColor="text1"/>
          <w:sz w:val="24"/>
          <w:szCs w:val="24"/>
        </w:rPr>
        <w:t xml:space="preserve">% tootmisteguritulust. </w:t>
      </w:r>
    </w:p>
    <w:p w:rsidR="00D25510" w:rsidRPr="00E958CE" w:rsidRDefault="00D25510" w:rsidP="00617526">
      <w:pPr>
        <w:adjustRightInd w:val="0"/>
        <w:spacing w:line="276" w:lineRule="auto"/>
        <w:jc w:val="both"/>
        <w:rPr>
          <w:rStyle w:val="Strong"/>
          <w:rFonts w:ascii="Times New Roman" w:hAnsi="Times New Roman" w:cs="Times New Roman"/>
          <w:b w:val="0"/>
          <w:color w:val="000000" w:themeColor="text1"/>
          <w:sz w:val="24"/>
          <w:szCs w:val="24"/>
        </w:rPr>
      </w:pPr>
    </w:p>
    <w:p w:rsidR="00C16FAC" w:rsidRPr="00E958CE" w:rsidRDefault="00D25510" w:rsidP="00617526">
      <w:pPr>
        <w:adjustRightInd w:val="0"/>
        <w:spacing w:line="276" w:lineRule="auto"/>
        <w:jc w:val="both"/>
        <w:rPr>
          <w:rStyle w:val="Strong"/>
          <w:rFonts w:ascii="Times New Roman" w:hAnsi="Times New Roman" w:cs="Times New Roman"/>
          <w:b w:val="0"/>
          <w:color w:val="000000" w:themeColor="text1"/>
          <w:sz w:val="24"/>
          <w:szCs w:val="24"/>
        </w:rPr>
      </w:pPr>
      <w:r w:rsidRPr="00E958CE">
        <w:rPr>
          <w:rStyle w:val="Strong"/>
          <w:rFonts w:ascii="Times New Roman" w:hAnsi="Times New Roman" w:cs="Times New Roman"/>
          <w:b w:val="0"/>
          <w:color w:val="000000" w:themeColor="text1"/>
          <w:sz w:val="24"/>
          <w:szCs w:val="24"/>
        </w:rPr>
        <w:t>Soome ja Rootsi tootmisteguritulu muutus on olnud tagasihoidlikum kui Balti riikidel. Stabiilsem on olnud Soome</w:t>
      </w:r>
      <w:r w:rsidR="00FA3ADB" w:rsidRPr="00E958CE">
        <w:rPr>
          <w:rStyle w:val="Strong"/>
          <w:rFonts w:ascii="Times New Roman" w:hAnsi="Times New Roman" w:cs="Times New Roman"/>
          <w:b w:val="0"/>
          <w:color w:val="000000" w:themeColor="text1"/>
          <w:sz w:val="24"/>
          <w:szCs w:val="24"/>
        </w:rPr>
        <w:t xml:space="preserve"> (majandusharu toodangu väärtus 2004. a</w:t>
      </w:r>
      <w:r w:rsidR="00D3790D" w:rsidRPr="00E958CE">
        <w:rPr>
          <w:rStyle w:val="Strong"/>
          <w:rFonts w:ascii="Times New Roman" w:hAnsi="Times New Roman" w:cs="Times New Roman"/>
          <w:b w:val="0"/>
          <w:color w:val="000000" w:themeColor="text1"/>
          <w:sz w:val="24"/>
          <w:szCs w:val="24"/>
        </w:rPr>
        <w:t>astal</w:t>
      </w:r>
      <w:r w:rsidR="00FA3ADB" w:rsidRPr="00E958CE">
        <w:rPr>
          <w:rStyle w:val="Strong"/>
          <w:rFonts w:ascii="Times New Roman" w:hAnsi="Times New Roman" w:cs="Times New Roman"/>
          <w:b w:val="0"/>
          <w:color w:val="000000" w:themeColor="text1"/>
          <w:sz w:val="24"/>
          <w:szCs w:val="24"/>
        </w:rPr>
        <w:t xml:space="preserve"> 3</w:t>
      </w:r>
      <w:r w:rsidR="00D3790D" w:rsidRPr="00E958CE">
        <w:rPr>
          <w:rStyle w:val="Strong"/>
          <w:rFonts w:ascii="Times New Roman" w:hAnsi="Times New Roman" w:cs="Times New Roman"/>
          <w:b w:val="0"/>
          <w:color w:val="000000" w:themeColor="text1"/>
          <w:sz w:val="24"/>
          <w:szCs w:val="24"/>
        </w:rPr>
        <w:t xml:space="preserve"> </w:t>
      </w:r>
      <w:r w:rsidR="00EC031E">
        <w:rPr>
          <w:rStyle w:val="Strong"/>
          <w:rFonts w:ascii="Times New Roman" w:hAnsi="Times New Roman" w:cs="Times New Roman"/>
          <w:b w:val="0"/>
          <w:color w:val="000000" w:themeColor="text1"/>
          <w:sz w:val="24"/>
          <w:szCs w:val="24"/>
        </w:rPr>
        <w:t>918 miljonit</w:t>
      </w:r>
      <w:r w:rsidR="00FA3ADB" w:rsidRPr="00E958CE">
        <w:rPr>
          <w:rStyle w:val="Strong"/>
          <w:rFonts w:ascii="Times New Roman" w:hAnsi="Times New Roman" w:cs="Times New Roman"/>
          <w:b w:val="0"/>
          <w:color w:val="000000" w:themeColor="text1"/>
          <w:sz w:val="24"/>
          <w:szCs w:val="24"/>
        </w:rPr>
        <w:t xml:space="preserve"> </w:t>
      </w:r>
      <w:r w:rsidR="004B34E7">
        <w:rPr>
          <w:rStyle w:val="Strong"/>
          <w:rFonts w:ascii="Times New Roman" w:hAnsi="Times New Roman" w:cs="Times New Roman"/>
          <w:b w:val="0"/>
          <w:color w:val="000000" w:themeColor="text1"/>
          <w:sz w:val="24"/>
          <w:szCs w:val="24"/>
        </w:rPr>
        <w:t>eurot</w:t>
      </w:r>
      <w:r w:rsidR="00FA3ADB" w:rsidRPr="00E958CE">
        <w:rPr>
          <w:rStyle w:val="Strong"/>
          <w:rFonts w:ascii="Times New Roman" w:hAnsi="Times New Roman" w:cs="Times New Roman"/>
          <w:b w:val="0"/>
          <w:color w:val="000000" w:themeColor="text1"/>
          <w:sz w:val="24"/>
          <w:szCs w:val="24"/>
        </w:rPr>
        <w:t xml:space="preserve"> ja 2013. a</w:t>
      </w:r>
      <w:r w:rsidR="00D3790D" w:rsidRPr="00E958CE">
        <w:rPr>
          <w:rStyle w:val="Strong"/>
          <w:rFonts w:ascii="Times New Roman" w:hAnsi="Times New Roman" w:cs="Times New Roman"/>
          <w:b w:val="0"/>
          <w:color w:val="000000" w:themeColor="text1"/>
          <w:sz w:val="24"/>
          <w:szCs w:val="24"/>
        </w:rPr>
        <w:t>asta</w:t>
      </w:r>
      <w:r w:rsidR="00FA3ADB" w:rsidRPr="00E958CE">
        <w:rPr>
          <w:rStyle w:val="Strong"/>
          <w:rFonts w:ascii="Times New Roman" w:hAnsi="Times New Roman" w:cs="Times New Roman"/>
          <w:b w:val="0"/>
          <w:color w:val="000000" w:themeColor="text1"/>
          <w:sz w:val="24"/>
          <w:szCs w:val="24"/>
        </w:rPr>
        <w:t xml:space="preserve"> prognoosi kohaselt 5</w:t>
      </w:r>
      <w:r w:rsidR="00D3790D" w:rsidRPr="00E958CE">
        <w:rPr>
          <w:rStyle w:val="Strong"/>
          <w:rFonts w:ascii="Times New Roman" w:hAnsi="Times New Roman" w:cs="Times New Roman"/>
          <w:b w:val="0"/>
          <w:color w:val="000000" w:themeColor="text1"/>
          <w:sz w:val="24"/>
          <w:szCs w:val="24"/>
        </w:rPr>
        <w:t xml:space="preserve"> </w:t>
      </w:r>
      <w:r w:rsidR="00EC031E">
        <w:rPr>
          <w:rStyle w:val="Strong"/>
          <w:rFonts w:ascii="Times New Roman" w:hAnsi="Times New Roman" w:cs="Times New Roman"/>
          <w:b w:val="0"/>
          <w:color w:val="000000" w:themeColor="text1"/>
          <w:sz w:val="24"/>
          <w:szCs w:val="24"/>
        </w:rPr>
        <w:t>146 miljonit</w:t>
      </w:r>
      <w:r w:rsidR="00FA3ADB" w:rsidRPr="00E958CE">
        <w:rPr>
          <w:rStyle w:val="Strong"/>
          <w:rFonts w:ascii="Times New Roman" w:hAnsi="Times New Roman" w:cs="Times New Roman"/>
          <w:b w:val="0"/>
          <w:color w:val="000000" w:themeColor="text1"/>
          <w:sz w:val="24"/>
          <w:szCs w:val="24"/>
        </w:rPr>
        <w:t xml:space="preserve"> </w:t>
      </w:r>
      <w:r w:rsidR="004B34E7">
        <w:rPr>
          <w:rStyle w:val="Strong"/>
          <w:rFonts w:ascii="Times New Roman" w:hAnsi="Times New Roman" w:cs="Times New Roman"/>
          <w:b w:val="0"/>
          <w:color w:val="000000" w:themeColor="text1"/>
          <w:sz w:val="24"/>
          <w:szCs w:val="24"/>
        </w:rPr>
        <w:t>eurot</w:t>
      </w:r>
      <w:r w:rsidR="00FA3ADB" w:rsidRPr="00E958CE">
        <w:rPr>
          <w:rStyle w:val="Strong"/>
          <w:rFonts w:ascii="Times New Roman" w:hAnsi="Times New Roman" w:cs="Times New Roman"/>
          <w:b w:val="0"/>
          <w:color w:val="000000" w:themeColor="text1"/>
          <w:sz w:val="24"/>
          <w:szCs w:val="24"/>
        </w:rPr>
        <w:t>, suurenemine 30%)</w:t>
      </w:r>
      <w:r w:rsidRPr="00E958CE">
        <w:rPr>
          <w:rStyle w:val="Strong"/>
          <w:rFonts w:ascii="Times New Roman" w:hAnsi="Times New Roman" w:cs="Times New Roman"/>
          <w:b w:val="0"/>
          <w:color w:val="000000" w:themeColor="text1"/>
          <w:sz w:val="24"/>
          <w:szCs w:val="24"/>
        </w:rPr>
        <w:t xml:space="preserve">, kusjuures erinevalt üldisest pildist, on seal 2009. aasta tulemus võrreldes varasemate aastatega ilma languseta. </w:t>
      </w:r>
      <w:r w:rsidR="00FA3ADB" w:rsidRPr="00E958CE">
        <w:rPr>
          <w:rStyle w:val="Strong"/>
          <w:rFonts w:ascii="Times New Roman" w:hAnsi="Times New Roman" w:cs="Times New Roman"/>
          <w:b w:val="0"/>
          <w:color w:val="000000" w:themeColor="text1"/>
          <w:sz w:val="24"/>
          <w:szCs w:val="24"/>
        </w:rPr>
        <w:t>Rootsis on majandusharu toodangu väärtus suurenenud perioodi jooksul samuti 30% (väärtus 2004. a</w:t>
      </w:r>
      <w:r w:rsidR="00D3790D" w:rsidRPr="00E958CE">
        <w:rPr>
          <w:rStyle w:val="Strong"/>
          <w:rFonts w:ascii="Times New Roman" w:hAnsi="Times New Roman" w:cs="Times New Roman"/>
          <w:b w:val="0"/>
          <w:color w:val="000000" w:themeColor="text1"/>
          <w:sz w:val="24"/>
          <w:szCs w:val="24"/>
        </w:rPr>
        <w:t>astal</w:t>
      </w:r>
      <w:r w:rsidR="00FA3ADB" w:rsidRPr="00E958CE">
        <w:rPr>
          <w:rStyle w:val="Strong"/>
          <w:rFonts w:ascii="Times New Roman" w:hAnsi="Times New Roman" w:cs="Times New Roman"/>
          <w:b w:val="0"/>
          <w:color w:val="000000" w:themeColor="text1"/>
          <w:sz w:val="24"/>
          <w:szCs w:val="24"/>
        </w:rPr>
        <w:t xml:space="preserve"> 4</w:t>
      </w:r>
      <w:r w:rsidR="00D3790D" w:rsidRPr="00E958CE">
        <w:rPr>
          <w:rStyle w:val="Strong"/>
          <w:rFonts w:ascii="Times New Roman" w:hAnsi="Times New Roman" w:cs="Times New Roman"/>
          <w:b w:val="0"/>
          <w:color w:val="000000" w:themeColor="text1"/>
          <w:sz w:val="24"/>
          <w:szCs w:val="24"/>
        </w:rPr>
        <w:t xml:space="preserve"> </w:t>
      </w:r>
      <w:r w:rsidR="00EC031E">
        <w:rPr>
          <w:rStyle w:val="Strong"/>
          <w:rFonts w:ascii="Times New Roman" w:hAnsi="Times New Roman" w:cs="Times New Roman"/>
          <w:b w:val="0"/>
          <w:color w:val="000000" w:themeColor="text1"/>
          <w:sz w:val="24"/>
          <w:szCs w:val="24"/>
        </w:rPr>
        <w:t>858 miljonit</w:t>
      </w:r>
      <w:r w:rsidR="00FA3ADB" w:rsidRPr="00E958CE">
        <w:rPr>
          <w:rStyle w:val="Strong"/>
          <w:rFonts w:ascii="Times New Roman" w:hAnsi="Times New Roman" w:cs="Times New Roman"/>
          <w:b w:val="0"/>
          <w:color w:val="000000" w:themeColor="text1"/>
          <w:sz w:val="24"/>
          <w:szCs w:val="24"/>
        </w:rPr>
        <w:t xml:space="preserve"> </w:t>
      </w:r>
      <w:r w:rsidR="004B34E7">
        <w:rPr>
          <w:rStyle w:val="Strong"/>
          <w:rFonts w:ascii="Times New Roman" w:hAnsi="Times New Roman" w:cs="Times New Roman"/>
          <w:b w:val="0"/>
          <w:color w:val="000000" w:themeColor="text1"/>
          <w:sz w:val="24"/>
          <w:szCs w:val="24"/>
        </w:rPr>
        <w:t>eurot</w:t>
      </w:r>
      <w:r w:rsidR="00FA3ADB" w:rsidRPr="00E958CE">
        <w:rPr>
          <w:rStyle w:val="Strong"/>
          <w:rFonts w:ascii="Times New Roman" w:hAnsi="Times New Roman" w:cs="Times New Roman"/>
          <w:b w:val="0"/>
          <w:color w:val="000000" w:themeColor="text1"/>
          <w:sz w:val="24"/>
          <w:szCs w:val="24"/>
        </w:rPr>
        <w:t xml:space="preserve"> ja 2013. a</w:t>
      </w:r>
      <w:r w:rsidR="00D3790D" w:rsidRPr="00E958CE">
        <w:rPr>
          <w:rStyle w:val="Strong"/>
          <w:rFonts w:ascii="Times New Roman" w:hAnsi="Times New Roman" w:cs="Times New Roman"/>
          <w:b w:val="0"/>
          <w:color w:val="000000" w:themeColor="text1"/>
          <w:sz w:val="24"/>
          <w:szCs w:val="24"/>
        </w:rPr>
        <w:t>asta</w:t>
      </w:r>
      <w:r w:rsidR="00FA3ADB" w:rsidRPr="00E958CE">
        <w:rPr>
          <w:rStyle w:val="Strong"/>
          <w:rFonts w:ascii="Times New Roman" w:hAnsi="Times New Roman" w:cs="Times New Roman"/>
          <w:b w:val="0"/>
          <w:color w:val="000000" w:themeColor="text1"/>
          <w:sz w:val="24"/>
          <w:szCs w:val="24"/>
        </w:rPr>
        <w:t xml:space="preserve"> prognoosi kohaselt 6</w:t>
      </w:r>
      <w:r w:rsidR="00D3790D" w:rsidRPr="00E958CE">
        <w:rPr>
          <w:rStyle w:val="Strong"/>
          <w:rFonts w:ascii="Times New Roman" w:hAnsi="Times New Roman" w:cs="Times New Roman"/>
          <w:b w:val="0"/>
          <w:color w:val="000000" w:themeColor="text1"/>
          <w:sz w:val="24"/>
          <w:szCs w:val="24"/>
        </w:rPr>
        <w:t xml:space="preserve"> </w:t>
      </w:r>
      <w:r w:rsidR="00EC031E">
        <w:rPr>
          <w:rStyle w:val="Strong"/>
          <w:rFonts w:ascii="Times New Roman" w:hAnsi="Times New Roman" w:cs="Times New Roman"/>
          <w:b w:val="0"/>
          <w:color w:val="000000" w:themeColor="text1"/>
          <w:sz w:val="24"/>
          <w:szCs w:val="24"/>
        </w:rPr>
        <w:t>413 miljonit</w:t>
      </w:r>
      <w:r w:rsidR="00FA3ADB" w:rsidRPr="00E958CE">
        <w:rPr>
          <w:rStyle w:val="Strong"/>
          <w:rFonts w:ascii="Times New Roman" w:hAnsi="Times New Roman" w:cs="Times New Roman"/>
          <w:b w:val="0"/>
          <w:color w:val="000000" w:themeColor="text1"/>
          <w:sz w:val="24"/>
          <w:szCs w:val="24"/>
        </w:rPr>
        <w:t xml:space="preserve"> </w:t>
      </w:r>
      <w:r w:rsidR="004B34E7">
        <w:rPr>
          <w:rStyle w:val="Strong"/>
          <w:rFonts w:ascii="Times New Roman" w:hAnsi="Times New Roman" w:cs="Times New Roman"/>
          <w:b w:val="0"/>
          <w:color w:val="000000" w:themeColor="text1"/>
          <w:sz w:val="24"/>
          <w:szCs w:val="24"/>
        </w:rPr>
        <w:t>eurot</w:t>
      </w:r>
      <w:r w:rsidR="00FA3ADB" w:rsidRPr="00E958CE">
        <w:rPr>
          <w:rStyle w:val="Strong"/>
          <w:rFonts w:ascii="Times New Roman" w:hAnsi="Times New Roman" w:cs="Times New Roman"/>
          <w:b w:val="0"/>
          <w:color w:val="000000" w:themeColor="text1"/>
          <w:sz w:val="24"/>
          <w:szCs w:val="24"/>
        </w:rPr>
        <w:t xml:space="preserve">). </w:t>
      </w:r>
      <w:r w:rsidRPr="00E958CE">
        <w:rPr>
          <w:rStyle w:val="Strong"/>
          <w:rFonts w:ascii="Times New Roman" w:hAnsi="Times New Roman" w:cs="Times New Roman"/>
          <w:b w:val="0"/>
          <w:color w:val="000000" w:themeColor="text1"/>
          <w:sz w:val="24"/>
          <w:szCs w:val="24"/>
        </w:rPr>
        <w:t xml:space="preserve">Sarnaselt Eestile langes Rootsi tootmisteguritulu </w:t>
      </w:r>
      <w:r w:rsidR="00110913" w:rsidRPr="00E958CE">
        <w:rPr>
          <w:rStyle w:val="Strong"/>
          <w:rFonts w:ascii="Times New Roman" w:hAnsi="Times New Roman" w:cs="Times New Roman"/>
          <w:b w:val="0"/>
          <w:color w:val="000000" w:themeColor="text1"/>
          <w:sz w:val="24"/>
          <w:szCs w:val="24"/>
        </w:rPr>
        <w:t xml:space="preserve">aastatel </w:t>
      </w:r>
      <w:r w:rsidRPr="00E958CE">
        <w:rPr>
          <w:rStyle w:val="Strong"/>
          <w:rFonts w:ascii="Times New Roman" w:hAnsi="Times New Roman" w:cs="Times New Roman"/>
          <w:b w:val="0"/>
          <w:color w:val="000000" w:themeColor="text1"/>
          <w:sz w:val="24"/>
          <w:szCs w:val="24"/>
        </w:rPr>
        <w:t>2007</w:t>
      </w:r>
      <w:r w:rsidR="00A70DE1">
        <w:rPr>
          <w:rStyle w:val="Strong"/>
          <w:rFonts w:ascii="Times New Roman" w:hAnsi="Times New Roman" w:cs="Times New Roman"/>
          <w:b w:val="0"/>
          <w:color w:val="000000" w:themeColor="text1"/>
          <w:sz w:val="24"/>
          <w:szCs w:val="24"/>
        </w:rPr>
        <w:t xml:space="preserve"> </w:t>
      </w:r>
      <w:r w:rsidRPr="00E958CE">
        <w:rPr>
          <w:rStyle w:val="Strong"/>
          <w:rFonts w:ascii="Times New Roman" w:hAnsi="Times New Roman" w:cs="Times New Roman"/>
          <w:b w:val="0"/>
          <w:color w:val="000000" w:themeColor="text1"/>
          <w:sz w:val="24"/>
          <w:szCs w:val="24"/>
        </w:rPr>
        <w:t>–</w:t>
      </w:r>
      <w:r w:rsidR="00A70DE1">
        <w:rPr>
          <w:rStyle w:val="Strong"/>
          <w:rFonts w:ascii="Times New Roman" w:hAnsi="Times New Roman" w:cs="Times New Roman"/>
          <w:b w:val="0"/>
          <w:color w:val="000000" w:themeColor="text1"/>
          <w:sz w:val="24"/>
          <w:szCs w:val="24"/>
        </w:rPr>
        <w:t xml:space="preserve"> </w:t>
      </w:r>
      <w:r w:rsidRPr="00E958CE">
        <w:rPr>
          <w:rStyle w:val="Strong"/>
          <w:rFonts w:ascii="Times New Roman" w:hAnsi="Times New Roman" w:cs="Times New Roman"/>
          <w:b w:val="0"/>
          <w:color w:val="000000" w:themeColor="text1"/>
          <w:sz w:val="24"/>
          <w:szCs w:val="24"/>
        </w:rPr>
        <w:t xml:space="preserve">2009 ca 60 </w:t>
      </w:r>
      <w:r w:rsidRPr="00E958CE">
        <w:rPr>
          <w:rStyle w:val="Strong"/>
          <w:rFonts w:ascii="Times New Roman" w:hAnsi="Times New Roman" w:cs="Times New Roman"/>
          <w:b w:val="0"/>
          <w:noProof/>
          <w:color w:val="000000" w:themeColor="text1"/>
          <w:sz w:val="24"/>
          <w:szCs w:val="24"/>
        </w:rPr>
        <w:t>pp</w:t>
      </w:r>
      <w:r w:rsidRPr="00E958CE">
        <w:rPr>
          <w:rStyle w:val="Strong"/>
          <w:rFonts w:ascii="Times New Roman" w:hAnsi="Times New Roman" w:cs="Times New Roman"/>
          <w:b w:val="0"/>
          <w:color w:val="000000" w:themeColor="text1"/>
          <w:sz w:val="24"/>
          <w:szCs w:val="24"/>
        </w:rPr>
        <w:t>, kuid Rootsis ei järgnenud sellele suurt kasvu. Soome põllumajanduse majandu</w:t>
      </w:r>
      <w:r w:rsidR="00FA3ADB" w:rsidRPr="00E958CE">
        <w:rPr>
          <w:rStyle w:val="Strong"/>
          <w:rFonts w:ascii="Times New Roman" w:hAnsi="Times New Roman" w:cs="Times New Roman"/>
          <w:b w:val="0"/>
          <w:color w:val="000000" w:themeColor="text1"/>
          <w:sz w:val="24"/>
          <w:szCs w:val="24"/>
        </w:rPr>
        <w:t>sharu toodangu väärtus moodustas 2013. a</w:t>
      </w:r>
      <w:r w:rsidR="00D3790D" w:rsidRPr="00E958CE">
        <w:rPr>
          <w:rStyle w:val="Strong"/>
          <w:rFonts w:ascii="Times New Roman" w:hAnsi="Times New Roman" w:cs="Times New Roman"/>
          <w:b w:val="0"/>
          <w:color w:val="000000" w:themeColor="text1"/>
          <w:sz w:val="24"/>
          <w:szCs w:val="24"/>
        </w:rPr>
        <w:t>astal</w:t>
      </w:r>
      <w:r w:rsidR="00FA3ADB" w:rsidRPr="00E958CE">
        <w:rPr>
          <w:rStyle w:val="Strong"/>
          <w:rFonts w:ascii="Times New Roman" w:hAnsi="Times New Roman" w:cs="Times New Roman"/>
          <w:b w:val="0"/>
          <w:color w:val="000000" w:themeColor="text1"/>
          <w:sz w:val="24"/>
          <w:szCs w:val="24"/>
        </w:rPr>
        <w:t xml:space="preserve">  ELi kogutoodangu väärtusest 1,3</w:t>
      </w:r>
      <w:r w:rsidRPr="00E958CE">
        <w:rPr>
          <w:rStyle w:val="Strong"/>
          <w:rFonts w:ascii="Times New Roman" w:hAnsi="Times New Roman" w:cs="Times New Roman"/>
          <w:b w:val="0"/>
          <w:color w:val="000000" w:themeColor="text1"/>
          <w:sz w:val="24"/>
          <w:szCs w:val="24"/>
        </w:rPr>
        <w:t>%</w:t>
      </w:r>
      <w:r w:rsidR="00FA3ADB" w:rsidRPr="00E958CE">
        <w:rPr>
          <w:rStyle w:val="Strong"/>
          <w:rFonts w:ascii="Times New Roman" w:hAnsi="Times New Roman" w:cs="Times New Roman"/>
          <w:b w:val="0"/>
          <w:color w:val="000000" w:themeColor="text1"/>
          <w:sz w:val="24"/>
          <w:szCs w:val="24"/>
        </w:rPr>
        <w:t xml:space="preserve"> ja Rootsil 1,6</w:t>
      </w:r>
      <w:r w:rsidRPr="00E958CE">
        <w:rPr>
          <w:rStyle w:val="Strong"/>
          <w:rFonts w:ascii="Times New Roman" w:hAnsi="Times New Roman" w:cs="Times New Roman"/>
          <w:b w:val="0"/>
          <w:color w:val="000000" w:themeColor="text1"/>
          <w:sz w:val="24"/>
          <w:szCs w:val="24"/>
        </w:rPr>
        <w:t>%</w:t>
      </w:r>
      <w:r w:rsidR="00FA3ADB" w:rsidRPr="00E958CE">
        <w:rPr>
          <w:rStyle w:val="Strong"/>
          <w:rFonts w:ascii="Times New Roman" w:hAnsi="Times New Roman" w:cs="Times New Roman"/>
          <w:b w:val="0"/>
          <w:color w:val="000000" w:themeColor="text1"/>
          <w:sz w:val="24"/>
          <w:szCs w:val="24"/>
        </w:rPr>
        <w:t xml:space="preserve"> (mõlemad 0,2 </w:t>
      </w:r>
      <w:proofErr w:type="spellStart"/>
      <w:r w:rsidR="00FA3ADB" w:rsidRPr="00E958CE">
        <w:rPr>
          <w:rStyle w:val="Strong"/>
          <w:rFonts w:ascii="Times New Roman" w:hAnsi="Times New Roman" w:cs="Times New Roman"/>
          <w:b w:val="0"/>
          <w:color w:val="000000" w:themeColor="text1"/>
          <w:sz w:val="24"/>
          <w:szCs w:val="24"/>
        </w:rPr>
        <w:t>pp</w:t>
      </w:r>
      <w:proofErr w:type="spellEnd"/>
      <w:r w:rsidR="00FA3ADB" w:rsidRPr="00E958CE">
        <w:rPr>
          <w:rStyle w:val="Strong"/>
          <w:rFonts w:ascii="Times New Roman" w:hAnsi="Times New Roman" w:cs="Times New Roman"/>
          <w:b w:val="0"/>
          <w:color w:val="000000" w:themeColor="text1"/>
          <w:sz w:val="24"/>
          <w:szCs w:val="24"/>
        </w:rPr>
        <w:t xml:space="preserve"> enam kui 2004. a</w:t>
      </w:r>
      <w:r w:rsidR="00D3790D" w:rsidRPr="00E958CE">
        <w:rPr>
          <w:rStyle w:val="Strong"/>
          <w:rFonts w:ascii="Times New Roman" w:hAnsi="Times New Roman" w:cs="Times New Roman"/>
          <w:b w:val="0"/>
          <w:color w:val="000000" w:themeColor="text1"/>
          <w:sz w:val="24"/>
          <w:szCs w:val="24"/>
        </w:rPr>
        <w:t>astal</w:t>
      </w:r>
      <w:r w:rsidR="00FA3ADB" w:rsidRPr="00E958CE">
        <w:rPr>
          <w:rStyle w:val="Strong"/>
          <w:rFonts w:ascii="Times New Roman" w:hAnsi="Times New Roman" w:cs="Times New Roman"/>
          <w:b w:val="0"/>
          <w:color w:val="000000" w:themeColor="text1"/>
          <w:sz w:val="24"/>
          <w:szCs w:val="24"/>
        </w:rPr>
        <w:t>)</w:t>
      </w:r>
      <w:r w:rsidRPr="00E958CE">
        <w:rPr>
          <w:rStyle w:val="Strong"/>
          <w:rFonts w:ascii="Times New Roman" w:hAnsi="Times New Roman" w:cs="Times New Roman"/>
          <w:b w:val="0"/>
          <w:color w:val="000000" w:themeColor="text1"/>
          <w:sz w:val="24"/>
          <w:szCs w:val="24"/>
        </w:rPr>
        <w:t>.</w:t>
      </w:r>
    </w:p>
    <w:p w:rsidR="00D25510" w:rsidRPr="0015757A" w:rsidRDefault="00820EB7" w:rsidP="00E958CE">
      <w:pPr>
        <w:pStyle w:val="Heading3"/>
        <w:rPr>
          <w:rStyle w:val="Strong"/>
          <w:rFonts w:ascii="Times New Roman" w:hAnsi="Times New Roman" w:cs="Times New Roman"/>
          <w:b/>
          <w:bCs w:val="0"/>
        </w:rPr>
      </w:pPr>
      <w:bookmarkStart w:id="820" w:name="_Toc379197462"/>
      <w:bookmarkStart w:id="821" w:name="_Toc379205499"/>
      <w:bookmarkStart w:id="822" w:name="_Toc379268195"/>
      <w:bookmarkStart w:id="823" w:name="_Toc379296769"/>
      <w:bookmarkStart w:id="824" w:name="_Toc379373478"/>
      <w:bookmarkStart w:id="825" w:name="_Toc379799863"/>
      <w:bookmarkStart w:id="826" w:name="_Toc381633605"/>
      <w:bookmarkStart w:id="827" w:name="_Toc381633750"/>
      <w:bookmarkStart w:id="828" w:name="_Toc384050918"/>
      <w:bookmarkStart w:id="829" w:name="_Toc384052622"/>
      <w:bookmarkStart w:id="830" w:name="_Toc384283965"/>
      <w:bookmarkStart w:id="831" w:name="_Toc384284076"/>
      <w:bookmarkStart w:id="832" w:name="_Toc384386269"/>
      <w:bookmarkStart w:id="833" w:name="_Toc384386481"/>
      <w:bookmarkStart w:id="834" w:name="_Toc384392347"/>
      <w:bookmarkStart w:id="835" w:name="_Toc385253778"/>
      <w:bookmarkStart w:id="836" w:name="_Toc385335150"/>
      <w:bookmarkStart w:id="837" w:name="_Toc389128819"/>
      <w:bookmarkStart w:id="838" w:name="_Toc389131366"/>
      <w:bookmarkStart w:id="839" w:name="_Toc389223901"/>
      <w:bookmarkStart w:id="840" w:name="_Toc389223963"/>
      <w:bookmarkStart w:id="841" w:name="_Toc391908895"/>
      <w:bookmarkStart w:id="842" w:name="_Toc391991829"/>
      <w:bookmarkStart w:id="843" w:name="_Toc397593049"/>
      <w:bookmarkStart w:id="844" w:name="_Toc398896344"/>
      <w:bookmarkStart w:id="845" w:name="_Toc398896484"/>
      <w:bookmarkStart w:id="846" w:name="_Toc400972856"/>
      <w:r w:rsidRPr="0015757A">
        <w:rPr>
          <w:rStyle w:val="Strong"/>
          <w:rFonts w:ascii="Times New Roman" w:hAnsi="Times New Roman" w:cs="Times New Roman"/>
          <w:b/>
          <w:bCs w:val="0"/>
        </w:rPr>
        <w:lastRenderedPageBreak/>
        <w:t>Teravilja (s</w:t>
      </w:r>
      <w:r w:rsidR="00992429">
        <w:rPr>
          <w:rStyle w:val="Strong"/>
          <w:rFonts w:ascii="Times New Roman" w:hAnsi="Times New Roman" w:cs="Times New Roman"/>
          <w:b/>
          <w:bCs w:val="0"/>
        </w:rPr>
        <w:t>EAL</w:t>
      </w:r>
      <w:r w:rsidRPr="0015757A">
        <w:rPr>
          <w:rStyle w:val="Strong"/>
          <w:rFonts w:ascii="Times New Roman" w:hAnsi="Times New Roman" w:cs="Times New Roman"/>
          <w:b/>
          <w:bCs w:val="0"/>
        </w:rPr>
        <w:t>h</w:t>
      </w:r>
      <w:r w:rsidR="00992429">
        <w:rPr>
          <w:rStyle w:val="Strong"/>
          <w:rFonts w:ascii="Times New Roman" w:hAnsi="Times New Roman" w:cs="Times New Roman"/>
          <w:b/>
          <w:bCs w:val="0"/>
        </w:rPr>
        <w:t>ULGAS</w:t>
      </w:r>
      <w:r w:rsidRPr="0015757A">
        <w:rPr>
          <w:rStyle w:val="Strong"/>
          <w:rFonts w:ascii="Times New Roman" w:hAnsi="Times New Roman" w:cs="Times New Roman"/>
          <w:b/>
          <w:bCs w:val="0"/>
        </w:rPr>
        <w:t xml:space="preserve"> õli) töötlemise majanduslik ülevaade</w:t>
      </w:r>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p>
    <w:p w:rsidR="00820EB7" w:rsidRPr="00E958CE" w:rsidRDefault="00820EB7" w:rsidP="00617526">
      <w:pPr>
        <w:spacing w:line="276" w:lineRule="auto"/>
        <w:jc w:val="both"/>
        <w:rPr>
          <w:rFonts w:ascii="Times New Roman" w:hAnsi="Times New Roman" w:cs="Times New Roman"/>
          <w:sz w:val="24"/>
          <w:szCs w:val="24"/>
        </w:rPr>
      </w:pPr>
    </w:p>
    <w:p w:rsidR="00820EB7" w:rsidRPr="00E958CE" w:rsidRDefault="00820EB7" w:rsidP="00617526">
      <w:pPr>
        <w:spacing w:line="276" w:lineRule="auto"/>
        <w:jc w:val="both"/>
        <w:rPr>
          <w:rFonts w:ascii="Times New Roman" w:hAnsi="Times New Roman" w:cs="Times New Roman"/>
          <w:sz w:val="24"/>
          <w:szCs w:val="24"/>
        </w:rPr>
      </w:pPr>
      <w:r w:rsidRPr="00E958CE">
        <w:rPr>
          <w:rFonts w:ascii="Times New Roman" w:eastAsia="Calibri" w:hAnsi="Times New Roman" w:cs="Times New Roman"/>
          <w:sz w:val="24"/>
          <w:szCs w:val="24"/>
        </w:rPr>
        <w:t>Teraviljatööstusel (s</w:t>
      </w:r>
      <w:r w:rsidR="00992429">
        <w:rPr>
          <w:rFonts w:ascii="Times New Roman" w:eastAsia="Calibri" w:hAnsi="Times New Roman" w:cs="Times New Roman"/>
          <w:sz w:val="24"/>
          <w:szCs w:val="24"/>
        </w:rPr>
        <w:t>eal</w:t>
      </w:r>
      <w:r w:rsidRPr="00E958CE">
        <w:rPr>
          <w:rFonts w:ascii="Times New Roman" w:eastAsia="Calibri" w:hAnsi="Times New Roman" w:cs="Times New Roman"/>
          <w:sz w:val="24"/>
          <w:szCs w:val="24"/>
        </w:rPr>
        <w:t>h</w:t>
      </w:r>
      <w:r w:rsidR="00992429">
        <w:rPr>
          <w:rFonts w:ascii="Times New Roman" w:eastAsia="Calibri" w:hAnsi="Times New Roman" w:cs="Times New Roman"/>
          <w:sz w:val="24"/>
          <w:szCs w:val="24"/>
        </w:rPr>
        <w:t>ulgas</w:t>
      </w:r>
      <w:r w:rsidRPr="00E958CE">
        <w:rPr>
          <w:rFonts w:ascii="Times New Roman" w:eastAsia="Calibri" w:hAnsi="Times New Roman" w:cs="Times New Roman"/>
          <w:sz w:val="24"/>
          <w:szCs w:val="24"/>
        </w:rPr>
        <w:t xml:space="preserve"> õlitööstus) on oluline koht Eesti toiduainetööstuses. 2012. aastal andis teraviljatööstus 16% Eesti toiduainetööstuse kogutoodangust ning 10% ekspordist.</w:t>
      </w:r>
      <w:r w:rsidRPr="00E958CE">
        <w:rPr>
          <w:rFonts w:ascii="Times New Roman" w:hAnsi="Times New Roman" w:cs="Times New Roman"/>
          <w:sz w:val="24"/>
          <w:szCs w:val="24"/>
        </w:rPr>
        <w:t xml:space="preserve"> Teraviljatooteid valmistavad ettevõtted lõid 2012. aastal </w:t>
      </w:r>
      <w:r w:rsidR="00BE5A5F" w:rsidRPr="00E958CE">
        <w:rPr>
          <w:rFonts w:ascii="Times New Roman" w:hAnsi="Times New Roman" w:cs="Times New Roman"/>
          <w:sz w:val="24"/>
          <w:szCs w:val="24"/>
        </w:rPr>
        <w:t>57 miljoni euro</w:t>
      </w:r>
      <w:r w:rsidRPr="00E958CE">
        <w:rPr>
          <w:rFonts w:ascii="Times New Roman" w:hAnsi="Times New Roman" w:cs="Times New Roman"/>
          <w:sz w:val="24"/>
          <w:szCs w:val="24"/>
        </w:rPr>
        <w:t xml:space="preserve"> eest lisandväärtus</w:t>
      </w:r>
      <w:r w:rsidR="00D6772A">
        <w:rPr>
          <w:rFonts w:ascii="Times New Roman" w:hAnsi="Times New Roman" w:cs="Times New Roman"/>
          <w:sz w:val="24"/>
          <w:szCs w:val="24"/>
        </w:rPr>
        <w:t>t</w:t>
      </w:r>
      <w:r w:rsidRPr="00E958CE">
        <w:rPr>
          <w:rFonts w:ascii="Times New Roman" w:hAnsi="Times New Roman" w:cs="Times New Roman"/>
          <w:sz w:val="24"/>
          <w:szCs w:val="24"/>
        </w:rPr>
        <w:t>, mis moodustas 18,6% toiduainetööstuse ning 2,4% töötleva tööstuse poolt toodetud lisandväärtusest. Suurema osa (75%) lisandväärtusest loodi pagaritooteid valmista</w:t>
      </w:r>
      <w:r w:rsidR="006E4858" w:rsidRPr="00E958CE">
        <w:rPr>
          <w:rFonts w:ascii="Times New Roman" w:hAnsi="Times New Roman" w:cs="Times New Roman"/>
          <w:sz w:val="24"/>
          <w:szCs w:val="24"/>
        </w:rPr>
        <w:t>vate ettevõtete poolt (joonis 33</w:t>
      </w:r>
      <w:r w:rsidRPr="00E958CE">
        <w:rPr>
          <w:rFonts w:ascii="Times New Roman" w:hAnsi="Times New Roman" w:cs="Times New Roman"/>
          <w:sz w:val="24"/>
          <w:szCs w:val="24"/>
        </w:rPr>
        <w:t>).</w:t>
      </w:r>
    </w:p>
    <w:p w:rsidR="00820EB7" w:rsidRPr="0095169D" w:rsidRDefault="00820EB7" w:rsidP="00617526">
      <w:pPr>
        <w:spacing w:line="276" w:lineRule="auto"/>
        <w:jc w:val="both"/>
        <w:rPr>
          <w:sz w:val="24"/>
          <w:szCs w:val="24"/>
        </w:rPr>
      </w:pPr>
    </w:p>
    <w:p w:rsidR="00820EB7" w:rsidRPr="0095169D" w:rsidRDefault="00BD1B3B" w:rsidP="00617526">
      <w:pPr>
        <w:spacing w:line="276" w:lineRule="auto"/>
        <w:jc w:val="both"/>
        <w:rPr>
          <w:rFonts w:eastAsia="Calibri"/>
          <w:sz w:val="24"/>
          <w:szCs w:val="24"/>
        </w:rPr>
      </w:pPr>
      <w:r>
        <w:rPr>
          <w:noProof/>
        </w:rPr>
        <w:drawing>
          <wp:inline distT="0" distB="0" distL="0" distR="0" wp14:anchorId="2ABCD39B" wp14:editId="290EB515">
            <wp:extent cx="6105525" cy="2543175"/>
            <wp:effectExtent l="0" t="0" r="9525" b="9525"/>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820EB7" w:rsidRPr="00BD1B3B" w:rsidRDefault="00820EB7" w:rsidP="00617526">
      <w:pPr>
        <w:spacing w:line="276" w:lineRule="auto"/>
        <w:jc w:val="both"/>
        <w:rPr>
          <w:rFonts w:ascii="Arial" w:eastAsia="Calibri" w:hAnsi="Arial" w:cs="Arial"/>
        </w:rPr>
      </w:pPr>
      <w:r w:rsidRPr="00BD1B3B">
        <w:rPr>
          <w:rFonts w:ascii="Arial" w:eastAsia="Calibri" w:hAnsi="Arial" w:cs="Arial"/>
        </w:rPr>
        <w:t>Allikas: SA</w:t>
      </w:r>
    </w:p>
    <w:p w:rsidR="00820EB7" w:rsidRPr="00E958CE" w:rsidRDefault="00820EB7" w:rsidP="00617526">
      <w:pPr>
        <w:spacing w:line="276" w:lineRule="auto"/>
        <w:jc w:val="both"/>
        <w:rPr>
          <w:rFonts w:ascii="Times New Roman" w:eastAsia="Calibri" w:hAnsi="Times New Roman" w:cs="Times New Roman"/>
          <w:b/>
          <w:sz w:val="24"/>
          <w:szCs w:val="24"/>
        </w:rPr>
      </w:pPr>
      <w:r w:rsidRPr="00E958CE">
        <w:rPr>
          <w:rFonts w:ascii="Times New Roman" w:eastAsia="Calibri" w:hAnsi="Times New Roman" w:cs="Times New Roman"/>
          <w:b/>
          <w:sz w:val="24"/>
          <w:szCs w:val="24"/>
        </w:rPr>
        <w:t>Joonis</w:t>
      </w:r>
      <w:r w:rsidR="006E4858" w:rsidRPr="00E958CE">
        <w:rPr>
          <w:rFonts w:ascii="Times New Roman" w:eastAsia="Calibri" w:hAnsi="Times New Roman" w:cs="Times New Roman"/>
          <w:b/>
          <w:sz w:val="24"/>
          <w:szCs w:val="24"/>
        </w:rPr>
        <w:t xml:space="preserve"> 33</w:t>
      </w:r>
      <w:r w:rsidRPr="00E958CE">
        <w:rPr>
          <w:rFonts w:ascii="Times New Roman" w:eastAsia="Calibri" w:hAnsi="Times New Roman" w:cs="Times New Roman"/>
          <w:b/>
          <w:sz w:val="24"/>
          <w:szCs w:val="24"/>
        </w:rPr>
        <w:t>. Teraviljatööstuse poolt loodud lisandväärtus ja osatähtsus to</w:t>
      </w:r>
      <w:r w:rsidR="00A70DE1">
        <w:rPr>
          <w:rFonts w:ascii="Times New Roman" w:eastAsia="Calibri" w:hAnsi="Times New Roman" w:cs="Times New Roman"/>
          <w:b/>
          <w:sz w:val="24"/>
          <w:szCs w:val="24"/>
        </w:rPr>
        <w:t>iduainetööstuses aastatel 2008–</w:t>
      </w:r>
      <w:r w:rsidRPr="00E958CE">
        <w:rPr>
          <w:rFonts w:ascii="Times New Roman" w:eastAsia="Calibri" w:hAnsi="Times New Roman" w:cs="Times New Roman"/>
          <w:b/>
          <w:sz w:val="24"/>
          <w:szCs w:val="24"/>
        </w:rPr>
        <w:t>2012</w:t>
      </w:r>
    </w:p>
    <w:p w:rsidR="00820EB7" w:rsidRPr="00E958CE" w:rsidRDefault="00820EB7" w:rsidP="00617526">
      <w:pPr>
        <w:spacing w:line="276" w:lineRule="auto"/>
        <w:jc w:val="both"/>
        <w:rPr>
          <w:rFonts w:ascii="Times New Roman" w:eastAsia="Calibri" w:hAnsi="Times New Roman" w:cs="Times New Roman"/>
          <w:sz w:val="24"/>
          <w:szCs w:val="24"/>
        </w:rPr>
      </w:pPr>
    </w:p>
    <w:p w:rsidR="00820EB7" w:rsidRPr="00E958CE" w:rsidRDefault="00820EB7" w:rsidP="00617526">
      <w:pPr>
        <w:adjustRightInd w:val="0"/>
        <w:spacing w:line="276" w:lineRule="auto"/>
        <w:jc w:val="both"/>
        <w:rPr>
          <w:rFonts w:ascii="Times New Roman" w:hAnsi="Times New Roman" w:cs="Times New Roman"/>
          <w:sz w:val="24"/>
          <w:szCs w:val="24"/>
        </w:rPr>
      </w:pPr>
      <w:r w:rsidRPr="00E958CE">
        <w:rPr>
          <w:rFonts w:ascii="Times New Roman" w:hAnsi="Times New Roman" w:cs="Times New Roman"/>
          <w:sz w:val="24"/>
          <w:szCs w:val="24"/>
        </w:rPr>
        <w:t xml:space="preserve">Teravilja töötlevate ettevõtete müügitulu oli 2012. aastal </w:t>
      </w:r>
      <w:r w:rsidR="00BE5A5F" w:rsidRPr="00E958CE">
        <w:rPr>
          <w:rFonts w:ascii="Times New Roman" w:hAnsi="Times New Roman" w:cs="Times New Roman"/>
          <w:sz w:val="24"/>
          <w:szCs w:val="24"/>
        </w:rPr>
        <w:t>üle 328 miljoni euro</w:t>
      </w:r>
      <w:r w:rsidR="006E4858" w:rsidRPr="00E958CE">
        <w:rPr>
          <w:rFonts w:ascii="Times New Roman" w:hAnsi="Times New Roman" w:cs="Times New Roman"/>
          <w:sz w:val="24"/>
          <w:szCs w:val="24"/>
        </w:rPr>
        <w:t xml:space="preserve"> (joonis 34</w:t>
      </w:r>
      <w:r w:rsidR="00A555BF" w:rsidRPr="00E958CE">
        <w:rPr>
          <w:rFonts w:ascii="Times New Roman" w:hAnsi="Times New Roman" w:cs="Times New Roman"/>
          <w:sz w:val="24"/>
          <w:szCs w:val="24"/>
        </w:rPr>
        <w:t>)</w:t>
      </w:r>
      <w:r w:rsidRPr="00E958CE">
        <w:rPr>
          <w:rFonts w:ascii="Times New Roman" w:hAnsi="Times New Roman" w:cs="Times New Roman"/>
          <w:sz w:val="24"/>
          <w:szCs w:val="24"/>
        </w:rPr>
        <w:t xml:space="preserve">. Müügitulust peaaegu poole (47%) andis pagaritööstus. Loomasööta tootvad ettevõtted andsid 26% ning jahutööstus 24% müügitulust. Kõige väiksem osatähtsus müügitulus oli õlitööstusel – vaid 3%. </w:t>
      </w:r>
      <w:r w:rsidR="00325974">
        <w:rPr>
          <w:rFonts w:ascii="Times New Roman" w:hAnsi="Times New Roman" w:cs="Times New Roman"/>
          <w:sz w:val="24"/>
          <w:szCs w:val="24"/>
        </w:rPr>
        <w:t>K</w:t>
      </w:r>
      <w:r w:rsidRPr="00E958CE">
        <w:rPr>
          <w:rFonts w:ascii="Times New Roman" w:hAnsi="Times New Roman" w:cs="Times New Roman"/>
          <w:sz w:val="24"/>
          <w:szCs w:val="24"/>
        </w:rPr>
        <w:t>õige kiiremini</w:t>
      </w:r>
      <w:r w:rsidR="00325974">
        <w:rPr>
          <w:rFonts w:ascii="Times New Roman" w:hAnsi="Times New Roman" w:cs="Times New Roman"/>
          <w:sz w:val="24"/>
          <w:szCs w:val="24"/>
        </w:rPr>
        <w:t xml:space="preserve"> on</w:t>
      </w:r>
      <w:r w:rsidRPr="00E958CE">
        <w:rPr>
          <w:rFonts w:ascii="Times New Roman" w:hAnsi="Times New Roman" w:cs="Times New Roman"/>
          <w:sz w:val="24"/>
          <w:szCs w:val="24"/>
        </w:rPr>
        <w:t xml:space="preserve"> kasvanud jahutööstuse müügitulu - viimase viie aastaga üle kahe korra. Jahul ja tangainetel on teistest teraviljatoodetest (nt pagaritoodetest) pikem säilivusaeg ja see võimaldab jahutööstusel rohkem oma toodangut turustada väljaspool Eestit. Seda kinnitab ka asjaolu, et teraviljatööstuses on ekspordi osakaal toodangus kõige suurem jahutööstuses (~40%).</w:t>
      </w:r>
    </w:p>
    <w:p w:rsidR="00820EB7" w:rsidRPr="0095169D" w:rsidRDefault="00820EB7" w:rsidP="00617526">
      <w:pPr>
        <w:spacing w:line="276" w:lineRule="auto"/>
        <w:jc w:val="both"/>
        <w:rPr>
          <w:rFonts w:eastAsia="Calibri"/>
          <w:sz w:val="24"/>
          <w:szCs w:val="24"/>
        </w:rPr>
      </w:pPr>
    </w:p>
    <w:p w:rsidR="00820EB7" w:rsidRPr="0095169D" w:rsidRDefault="00BD1B3B" w:rsidP="00617526">
      <w:pPr>
        <w:spacing w:line="276" w:lineRule="auto"/>
        <w:rPr>
          <w:sz w:val="24"/>
          <w:szCs w:val="24"/>
        </w:rPr>
      </w:pPr>
      <w:r>
        <w:rPr>
          <w:noProof/>
        </w:rPr>
        <w:lastRenderedPageBreak/>
        <w:drawing>
          <wp:inline distT="0" distB="0" distL="0" distR="0" wp14:anchorId="34459CF4" wp14:editId="6DA30A90">
            <wp:extent cx="6105525" cy="2333625"/>
            <wp:effectExtent l="0" t="0" r="9525" b="9525"/>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6D41E9" w:rsidRPr="00BD1B3B" w:rsidRDefault="006D41E9" w:rsidP="00617526">
      <w:pPr>
        <w:spacing w:line="276" w:lineRule="auto"/>
        <w:jc w:val="both"/>
        <w:rPr>
          <w:rFonts w:ascii="Arial" w:hAnsi="Arial" w:cs="Arial"/>
        </w:rPr>
      </w:pPr>
      <w:r w:rsidRPr="00BD1B3B">
        <w:rPr>
          <w:rFonts w:ascii="Arial" w:hAnsi="Arial" w:cs="Arial"/>
        </w:rPr>
        <w:t>Allikas: SA; äriregister</w:t>
      </w:r>
    </w:p>
    <w:p w:rsidR="00AE3805" w:rsidRPr="00E958CE" w:rsidRDefault="00820EB7" w:rsidP="00617526">
      <w:pPr>
        <w:spacing w:line="276" w:lineRule="auto"/>
        <w:jc w:val="both"/>
        <w:rPr>
          <w:rFonts w:ascii="Times New Roman" w:hAnsi="Times New Roman" w:cs="Times New Roman"/>
          <w:b/>
          <w:sz w:val="24"/>
          <w:szCs w:val="24"/>
        </w:rPr>
      </w:pPr>
      <w:r w:rsidRPr="00E958CE">
        <w:rPr>
          <w:rFonts w:ascii="Times New Roman" w:hAnsi="Times New Roman" w:cs="Times New Roman"/>
          <w:b/>
          <w:sz w:val="24"/>
          <w:szCs w:val="24"/>
        </w:rPr>
        <w:t xml:space="preserve">Joonis </w:t>
      </w:r>
      <w:r w:rsidR="006E4858" w:rsidRPr="00E958CE">
        <w:rPr>
          <w:rFonts w:ascii="Times New Roman" w:hAnsi="Times New Roman" w:cs="Times New Roman"/>
          <w:b/>
          <w:sz w:val="24"/>
          <w:szCs w:val="24"/>
        </w:rPr>
        <w:t>34</w:t>
      </w:r>
      <w:r w:rsidRPr="00E958CE">
        <w:rPr>
          <w:rFonts w:ascii="Times New Roman" w:hAnsi="Times New Roman" w:cs="Times New Roman"/>
          <w:b/>
          <w:sz w:val="24"/>
          <w:szCs w:val="24"/>
        </w:rPr>
        <w:t>.</w:t>
      </w:r>
      <w:r w:rsidRPr="00E958CE">
        <w:rPr>
          <w:rFonts w:ascii="Times New Roman" w:hAnsi="Times New Roman" w:cs="Times New Roman"/>
          <w:sz w:val="24"/>
          <w:szCs w:val="24"/>
        </w:rPr>
        <w:t xml:space="preserve"> </w:t>
      </w:r>
      <w:r w:rsidRPr="00E958CE">
        <w:rPr>
          <w:rFonts w:ascii="Times New Roman" w:hAnsi="Times New Roman" w:cs="Times New Roman"/>
          <w:b/>
          <w:sz w:val="24"/>
          <w:szCs w:val="24"/>
        </w:rPr>
        <w:t>Teraviljasaaduste müügitulu aastatel 2008</w:t>
      </w:r>
      <w:r w:rsidR="00AE3805" w:rsidRPr="00E958CE">
        <w:rPr>
          <w:rFonts w:ascii="Times New Roman" w:hAnsi="Times New Roman" w:cs="Times New Roman"/>
          <w:b/>
          <w:sz w:val="24"/>
          <w:szCs w:val="24"/>
        </w:rPr>
        <w:t>–</w:t>
      </w:r>
      <w:r w:rsidRPr="00E958CE">
        <w:rPr>
          <w:rFonts w:ascii="Times New Roman" w:hAnsi="Times New Roman" w:cs="Times New Roman"/>
          <w:b/>
          <w:sz w:val="24"/>
          <w:szCs w:val="24"/>
        </w:rPr>
        <w:t>2012</w:t>
      </w:r>
    </w:p>
    <w:p w:rsidR="00047B98" w:rsidRPr="00E958CE" w:rsidRDefault="00047B98" w:rsidP="00617526">
      <w:pPr>
        <w:spacing w:line="276" w:lineRule="auto"/>
        <w:jc w:val="both"/>
        <w:rPr>
          <w:rFonts w:ascii="Times New Roman" w:eastAsia="Calibri" w:hAnsi="Times New Roman" w:cs="Times New Roman"/>
          <w:sz w:val="24"/>
          <w:szCs w:val="24"/>
        </w:rPr>
      </w:pPr>
    </w:p>
    <w:p w:rsidR="00820EB7" w:rsidRPr="00E958CE" w:rsidRDefault="00820EB7" w:rsidP="00617526">
      <w:pPr>
        <w:spacing w:line="276" w:lineRule="auto"/>
        <w:jc w:val="both"/>
        <w:rPr>
          <w:rFonts w:ascii="Times New Roman" w:eastAsia="Calibri" w:hAnsi="Times New Roman" w:cs="Times New Roman"/>
          <w:sz w:val="24"/>
          <w:szCs w:val="24"/>
        </w:rPr>
      </w:pPr>
      <w:r w:rsidRPr="00E958CE">
        <w:rPr>
          <w:rFonts w:ascii="Times New Roman" w:eastAsia="Calibri" w:hAnsi="Times New Roman" w:cs="Times New Roman"/>
          <w:sz w:val="24"/>
          <w:szCs w:val="24"/>
        </w:rPr>
        <w:t>Tugev konkurents sunnib tootma efektiivsemalt ning klientide järjest kasvavad vajadused ja kvaliteedinõuded nõuavad ettevõtetelt uute tehnoloogiate kasutuselevõttu, paindlikkust, tootlikkust ning innovaatilisust. Selle tulemusel tööviljakus inimese kohta teravilja töötlevas tööstuses aasta- aastalt kasvab. Vaatamata tööviljakuse kasvule jääb see endiselt tunduvalt madalamaks EL riikide keskmisest. Näiteks EL 28 liikmesriikide pagaritööstuste keskmine tööviljakus töötaja kohta lisandväärtuse alusel oli 2011. aastal 29 tuhat eurot</w:t>
      </w:r>
      <w:r w:rsidR="006E4858" w:rsidRPr="00E958CE">
        <w:rPr>
          <w:rFonts w:ascii="Times New Roman" w:eastAsia="Calibri" w:hAnsi="Times New Roman" w:cs="Times New Roman"/>
          <w:sz w:val="24"/>
          <w:szCs w:val="24"/>
        </w:rPr>
        <w:t xml:space="preserve"> (joonis 35</w:t>
      </w:r>
      <w:r w:rsidR="001B7B95" w:rsidRPr="00E958CE">
        <w:rPr>
          <w:rFonts w:ascii="Times New Roman" w:eastAsia="Calibri" w:hAnsi="Times New Roman" w:cs="Times New Roman"/>
          <w:sz w:val="24"/>
          <w:szCs w:val="24"/>
        </w:rPr>
        <w:t>)</w:t>
      </w:r>
      <w:r w:rsidRPr="00E958CE">
        <w:rPr>
          <w:rFonts w:ascii="Times New Roman" w:eastAsia="Calibri" w:hAnsi="Times New Roman" w:cs="Times New Roman"/>
          <w:sz w:val="24"/>
          <w:szCs w:val="24"/>
        </w:rPr>
        <w:t xml:space="preserve">. </w:t>
      </w:r>
    </w:p>
    <w:p w:rsidR="00820EB7" w:rsidRPr="0095169D" w:rsidRDefault="00BD1B3B" w:rsidP="00617526">
      <w:pPr>
        <w:spacing w:line="276" w:lineRule="auto"/>
        <w:jc w:val="both"/>
        <w:rPr>
          <w:rFonts w:eastAsia="Calibri"/>
          <w:sz w:val="24"/>
          <w:szCs w:val="24"/>
        </w:rPr>
      </w:pPr>
      <w:r>
        <w:rPr>
          <w:noProof/>
        </w:rPr>
        <w:drawing>
          <wp:inline distT="0" distB="0" distL="0" distR="0" wp14:anchorId="22D932EC" wp14:editId="01833DE9">
            <wp:extent cx="6086475" cy="2543175"/>
            <wp:effectExtent l="0" t="0" r="9525" b="9525"/>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1B7B95" w:rsidRPr="00BD1B3B" w:rsidRDefault="001B7B95" w:rsidP="00617526">
      <w:pPr>
        <w:spacing w:line="276" w:lineRule="auto"/>
        <w:jc w:val="both"/>
        <w:rPr>
          <w:rFonts w:ascii="Arial" w:eastAsia="Calibri" w:hAnsi="Arial" w:cs="Arial"/>
        </w:rPr>
      </w:pPr>
      <w:r w:rsidRPr="00BD1B3B">
        <w:rPr>
          <w:rFonts w:ascii="Arial" w:eastAsia="Calibri" w:hAnsi="Arial" w:cs="Arial"/>
        </w:rPr>
        <w:t xml:space="preserve">Allikas: </w:t>
      </w:r>
      <w:proofErr w:type="spellStart"/>
      <w:r w:rsidRPr="00BD1B3B">
        <w:rPr>
          <w:rFonts w:ascii="Arial" w:eastAsia="Calibri" w:hAnsi="Arial" w:cs="Arial"/>
        </w:rPr>
        <w:t>Eurostat</w:t>
      </w:r>
      <w:proofErr w:type="spellEnd"/>
    </w:p>
    <w:p w:rsidR="0049123D" w:rsidRPr="00E958CE" w:rsidRDefault="00820EB7" w:rsidP="00617526">
      <w:pPr>
        <w:spacing w:line="276" w:lineRule="auto"/>
        <w:jc w:val="both"/>
        <w:rPr>
          <w:rFonts w:ascii="Times New Roman" w:eastAsia="Calibri" w:hAnsi="Times New Roman" w:cs="Times New Roman"/>
          <w:sz w:val="24"/>
          <w:szCs w:val="24"/>
        </w:rPr>
      </w:pPr>
      <w:r w:rsidRPr="00E958CE">
        <w:rPr>
          <w:rFonts w:ascii="Times New Roman" w:eastAsia="Calibri" w:hAnsi="Times New Roman" w:cs="Times New Roman"/>
          <w:b/>
          <w:sz w:val="24"/>
          <w:szCs w:val="24"/>
        </w:rPr>
        <w:t>Joonis</w:t>
      </w:r>
      <w:r w:rsidR="006E4858" w:rsidRPr="00E958CE">
        <w:rPr>
          <w:rFonts w:ascii="Times New Roman" w:eastAsia="Calibri" w:hAnsi="Times New Roman" w:cs="Times New Roman"/>
          <w:b/>
          <w:sz w:val="24"/>
          <w:szCs w:val="24"/>
        </w:rPr>
        <w:t xml:space="preserve"> 35</w:t>
      </w:r>
      <w:r w:rsidRPr="00E958CE">
        <w:rPr>
          <w:rFonts w:ascii="Times New Roman" w:eastAsia="Calibri" w:hAnsi="Times New Roman" w:cs="Times New Roman"/>
          <w:b/>
          <w:sz w:val="24"/>
          <w:szCs w:val="24"/>
        </w:rPr>
        <w:t>. Tööviljakus lisandväärtuse alusel pagaritööstuses 2011. aastal</w:t>
      </w:r>
      <w:r w:rsidR="0049123D" w:rsidRPr="00E958CE">
        <w:rPr>
          <w:rFonts w:ascii="Times New Roman" w:eastAsia="Calibri" w:hAnsi="Times New Roman" w:cs="Times New Roman"/>
          <w:sz w:val="24"/>
          <w:szCs w:val="24"/>
        </w:rPr>
        <w:t xml:space="preserve"> </w:t>
      </w:r>
    </w:p>
    <w:p w:rsidR="0049123D" w:rsidRPr="00E958CE" w:rsidRDefault="0049123D" w:rsidP="00617526">
      <w:pPr>
        <w:spacing w:line="276" w:lineRule="auto"/>
        <w:jc w:val="both"/>
        <w:rPr>
          <w:rFonts w:ascii="Times New Roman" w:eastAsia="Calibri" w:hAnsi="Times New Roman" w:cs="Times New Roman"/>
          <w:sz w:val="24"/>
          <w:szCs w:val="24"/>
        </w:rPr>
      </w:pPr>
    </w:p>
    <w:p w:rsidR="007A3471" w:rsidRDefault="0049123D" w:rsidP="00617526">
      <w:pPr>
        <w:spacing w:line="276" w:lineRule="auto"/>
        <w:jc w:val="both"/>
        <w:rPr>
          <w:rFonts w:ascii="Times New Roman" w:eastAsia="Calibri" w:hAnsi="Times New Roman" w:cs="Times New Roman"/>
          <w:sz w:val="24"/>
          <w:szCs w:val="24"/>
        </w:rPr>
      </w:pPr>
      <w:r w:rsidRPr="00E958CE">
        <w:rPr>
          <w:rFonts w:ascii="Times New Roman" w:eastAsia="Calibri" w:hAnsi="Times New Roman" w:cs="Times New Roman"/>
          <w:sz w:val="24"/>
          <w:szCs w:val="24"/>
        </w:rPr>
        <w:t xml:space="preserve">Eestis oli sama näitaja vaid 13 tuhat eurot ehk ~2,1 korda madalam. Võrreldes Eesti pagaritööstuste tööviljakust lähinaabritega, siis Soomes on tööviljakus 41,8 tuhat eurot ehk üle kolme korra kõrgem kui Eestis. Läti ja Leedu pagaritööstustes toodeti lisandväärtust töötaja kohta pisut vähem kui Eestis, vastavalt 8,8 tuhat eurot ning 7,1 tuhat eurot. Madalamaks EL 28 liikmesriikide keskmisest jäid ka teiste teraviljatööstusharude tööviljakus. Konkurentsivõime </w:t>
      </w:r>
      <w:r w:rsidR="002B55AA">
        <w:rPr>
          <w:rFonts w:ascii="Times New Roman" w:eastAsia="Calibri" w:hAnsi="Times New Roman" w:cs="Times New Roman"/>
          <w:sz w:val="24"/>
          <w:szCs w:val="24"/>
        </w:rPr>
        <w:t>suurendamise</w:t>
      </w:r>
      <w:r w:rsidRPr="00E958CE">
        <w:rPr>
          <w:rFonts w:ascii="Times New Roman" w:eastAsia="Calibri" w:hAnsi="Times New Roman" w:cs="Times New Roman"/>
          <w:sz w:val="24"/>
          <w:szCs w:val="24"/>
        </w:rPr>
        <w:t xml:space="preserve"> seisukohalt on väga oluline jätkuv investeerimine tootmistehnoloogia moderniseerimisse.</w:t>
      </w:r>
      <w:bookmarkStart w:id="847" w:name="_Toc371340140"/>
      <w:bookmarkStart w:id="848" w:name="_Toc371429812"/>
      <w:bookmarkStart w:id="849" w:name="_Toc371430315"/>
      <w:bookmarkStart w:id="850" w:name="_Toc371952756"/>
      <w:bookmarkEnd w:id="73"/>
      <w:bookmarkEnd w:id="74"/>
      <w:bookmarkEnd w:id="75"/>
      <w:bookmarkEnd w:id="76"/>
      <w:bookmarkEnd w:id="77"/>
      <w:bookmarkEnd w:id="136"/>
      <w:bookmarkEnd w:id="137"/>
      <w:bookmarkEnd w:id="138"/>
      <w:bookmarkEnd w:id="139"/>
    </w:p>
    <w:p w:rsidR="004458FD" w:rsidRDefault="004458FD" w:rsidP="00617526">
      <w:pPr>
        <w:spacing w:line="276" w:lineRule="auto"/>
        <w:jc w:val="both"/>
        <w:rPr>
          <w:rFonts w:ascii="Times New Roman" w:eastAsia="Calibri" w:hAnsi="Times New Roman" w:cs="Times New Roman"/>
          <w:sz w:val="24"/>
          <w:szCs w:val="24"/>
        </w:rPr>
      </w:pPr>
    </w:p>
    <w:p w:rsidR="006C447E" w:rsidRPr="00F347C6" w:rsidRDefault="002E2BBC" w:rsidP="00617526">
      <w:pPr>
        <w:pStyle w:val="Heading1"/>
        <w:spacing w:line="276" w:lineRule="auto"/>
        <w:jc w:val="both"/>
        <w:rPr>
          <w:rFonts w:ascii="Times New Roman" w:hAnsi="Times New Roman" w:cs="Times New Roman"/>
          <w:b w:val="0"/>
          <w:sz w:val="24"/>
          <w:szCs w:val="24"/>
        </w:rPr>
      </w:pPr>
      <w:bookmarkStart w:id="851" w:name="_Toc379205503"/>
      <w:bookmarkStart w:id="852" w:name="_Toc379268199"/>
      <w:bookmarkStart w:id="853" w:name="_Toc379296773"/>
      <w:bookmarkStart w:id="854" w:name="_Toc379373482"/>
      <w:bookmarkStart w:id="855" w:name="_Toc379799867"/>
      <w:bookmarkStart w:id="856" w:name="_Toc381633609"/>
      <w:bookmarkStart w:id="857" w:name="_Toc381633754"/>
      <w:bookmarkStart w:id="858" w:name="_Toc384050922"/>
      <w:bookmarkStart w:id="859" w:name="_Toc384052626"/>
      <w:bookmarkStart w:id="860" w:name="_Toc384283969"/>
      <w:bookmarkStart w:id="861" w:name="_Toc384284080"/>
      <w:bookmarkStart w:id="862" w:name="_Toc384386273"/>
      <w:bookmarkStart w:id="863" w:name="_Toc384386485"/>
      <w:bookmarkStart w:id="864" w:name="_Toc384392351"/>
      <w:bookmarkStart w:id="865" w:name="_Toc385253782"/>
      <w:bookmarkStart w:id="866" w:name="_Toc385335154"/>
      <w:bookmarkStart w:id="867" w:name="_Toc389128820"/>
      <w:bookmarkStart w:id="868" w:name="_Toc389131367"/>
      <w:bookmarkStart w:id="869" w:name="_Toc389223902"/>
      <w:bookmarkStart w:id="870" w:name="_Toc389223964"/>
      <w:bookmarkStart w:id="871" w:name="_Toc391908896"/>
      <w:bookmarkStart w:id="872" w:name="_Toc391991830"/>
      <w:bookmarkStart w:id="873" w:name="_Toc397593050"/>
      <w:bookmarkStart w:id="874" w:name="_Toc398896345"/>
      <w:bookmarkStart w:id="875" w:name="_Toc398896485"/>
      <w:bookmarkStart w:id="876" w:name="_Toc400972857"/>
      <w:bookmarkEnd w:id="847"/>
      <w:bookmarkEnd w:id="848"/>
      <w:bookmarkEnd w:id="849"/>
      <w:bookmarkEnd w:id="850"/>
      <w:r w:rsidRPr="00F347C6">
        <w:rPr>
          <w:rFonts w:ascii="Times New Roman" w:hAnsi="Times New Roman" w:cs="Times New Roman"/>
          <w:sz w:val="24"/>
          <w:szCs w:val="24"/>
        </w:rPr>
        <w:lastRenderedPageBreak/>
        <w:t>Lisa</w:t>
      </w:r>
      <w:r w:rsidR="000675D3">
        <w:rPr>
          <w:rFonts w:ascii="Times New Roman" w:hAnsi="Times New Roman" w:cs="Times New Roman"/>
          <w:sz w:val="24"/>
          <w:szCs w:val="24"/>
        </w:rPr>
        <w:t xml:space="preserve"> </w:t>
      </w:r>
      <w:r w:rsidR="00EF56EE">
        <w:rPr>
          <w:rFonts w:ascii="Times New Roman" w:hAnsi="Times New Roman" w:cs="Times New Roman"/>
          <w:sz w:val="24"/>
          <w:szCs w:val="24"/>
        </w:rPr>
        <w:t>1</w:t>
      </w:r>
      <w:r w:rsidRPr="00F347C6">
        <w:rPr>
          <w:rFonts w:ascii="Times New Roman" w:hAnsi="Times New Roman" w:cs="Times New Roman"/>
          <w:sz w:val="24"/>
          <w:szCs w:val="24"/>
        </w:rPr>
        <w:t xml:space="preserve">. </w:t>
      </w:r>
      <w:r w:rsidR="006C447E" w:rsidRPr="00F347C6">
        <w:rPr>
          <w:rFonts w:ascii="Times New Roman" w:hAnsi="Times New Roman" w:cs="Times New Roman"/>
          <w:sz w:val="24"/>
          <w:szCs w:val="24"/>
        </w:rPr>
        <w:t xml:space="preserve">Riikliku programmi </w:t>
      </w:r>
      <w:r w:rsidR="00992429" w:rsidRPr="00992429">
        <w:rPr>
          <w:rFonts w:ascii="Times New Roman" w:hAnsi="Times New Roman" w:cs="Times New Roman"/>
          <w:sz w:val="24"/>
          <w:szCs w:val="24"/>
        </w:rPr>
        <w:t>„</w:t>
      </w:r>
      <w:r w:rsidR="006C447E" w:rsidRPr="00F347C6">
        <w:rPr>
          <w:rFonts w:ascii="Times New Roman" w:hAnsi="Times New Roman" w:cs="Times New Roman"/>
          <w:sz w:val="24"/>
          <w:szCs w:val="24"/>
        </w:rPr>
        <w:t>Põllumajanduslikud rakendusuuringud ja arendustegevus aastatel 2009–2014” raames teo</w:t>
      </w:r>
      <w:r w:rsidR="00654C9B" w:rsidRPr="00F347C6">
        <w:rPr>
          <w:rFonts w:ascii="Times New Roman" w:hAnsi="Times New Roman" w:cs="Times New Roman"/>
          <w:sz w:val="24"/>
          <w:szCs w:val="24"/>
        </w:rPr>
        <w:t>s</w:t>
      </w:r>
      <w:r w:rsidR="006C447E" w:rsidRPr="00F347C6">
        <w:rPr>
          <w:rFonts w:ascii="Times New Roman" w:hAnsi="Times New Roman" w:cs="Times New Roman"/>
          <w:sz w:val="24"/>
          <w:szCs w:val="24"/>
        </w:rPr>
        <w:t>tatud teravil</w:t>
      </w:r>
      <w:r w:rsidRPr="00F347C6">
        <w:rPr>
          <w:rFonts w:ascii="Times New Roman" w:hAnsi="Times New Roman" w:cs="Times New Roman"/>
          <w:sz w:val="24"/>
          <w:szCs w:val="24"/>
        </w:rPr>
        <w:t>jakasvatusega seotud projektid</w:t>
      </w:r>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p>
    <w:p w:rsidR="002E2BBC" w:rsidRPr="00E958CE" w:rsidRDefault="002E2BBC" w:rsidP="00617526">
      <w:pPr>
        <w:spacing w:line="276" w:lineRule="auto"/>
        <w:jc w:val="both"/>
        <w:rPr>
          <w:rFonts w:ascii="Times New Roman" w:hAnsi="Times New Roman" w:cs="Times New Roman"/>
          <w:sz w:val="24"/>
          <w:szCs w:val="24"/>
        </w:rPr>
      </w:pPr>
    </w:p>
    <w:p w:rsidR="006C447E" w:rsidRPr="00E958CE" w:rsidRDefault="006C447E" w:rsidP="00617526">
      <w:pPr>
        <w:spacing w:line="276" w:lineRule="auto"/>
        <w:jc w:val="both"/>
        <w:rPr>
          <w:rFonts w:ascii="Times New Roman" w:hAnsi="Times New Roman" w:cs="Times New Roman"/>
          <w:sz w:val="24"/>
          <w:szCs w:val="24"/>
        </w:rPr>
      </w:pPr>
      <w:r w:rsidRPr="00E958CE">
        <w:rPr>
          <w:rFonts w:ascii="Times New Roman" w:hAnsi="Times New Roman" w:cs="Times New Roman"/>
          <w:sz w:val="24"/>
          <w:szCs w:val="24"/>
        </w:rPr>
        <w:t xml:space="preserve">EMÜ mullateaduslikud projektid: </w:t>
      </w:r>
    </w:p>
    <w:p w:rsidR="006C447E" w:rsidRDefault="006C447E" w:rsidP="00617526">
      <w:pPr>
        <w:pStyle w:val="ListParagraph"/>
        <w:numPr>
          <w:ilvl w:val="0"/>
          <w:numId w:val="22"/>
        </w:numPr>
        <w:spacing w:line="276" w:lineRule="auto"/>
        <w:jc w:val="both"/>
        <w:rPr>
          <w:rFonts w:ascii="Times New Roman" w:hAnsi="Times New Roman" w:cs="Times New Roman"/>
          <w:sz w:val="24"/>
          <w:szCs w:val="24"/>
        </w:rPr>
      </w:pPr>
      <w:r w:rsidRPr="00E958CE">
        <w:rPr>
          <w:rFonts w:ascii="Times New Roman" w:hAnsi="Times New Roman" w:cs="Times New Roman"/>
          <w:sz w:val="24"/>
          <w:szCs w:val="24"/>
        </w:rPr>
        <w:t>Mullastikukaartide- ja andmebaaside rakendused jätkusuutlikuks maakasutuseks ja põllumajandustootmiseks;</w:t>
      </w:r>
    </w:p>
    <w:p w:rsidR="00B332F6" w:rsidRDefault="006C447E" w:rsidP="00617526">
      <w:pPr>
        <w:pStyle w:val="ListParagraph"/>
        <w:numPr>
          <w:ilvl w:val="0"/>
          <w:numId w:val="22"/>
        </w:numPr>
        <w:spacing w:line="276" w:lineRule="auto"/>
        <w:jc w:val="both"/>
        <w:rPr>
          <w:rFonts w:ascii="Times New Roman" w:hAnsi="Times New Roman" w:cs="Times New Roman"/>
          <w:sz w:val="24"/>
          <w:szCs w:val="24"/>
        </w:rPr>
      </w:pPr>
      <w:r w:rsidRPr="00B332F6">
        <w:rPr>
          <w:rFonts w:ascii="Times New Roman" w:hAnsi="Times New Roman" w:cs="Times New Roman"/>
          <w:sz w:val="24"/>
          <w:szCs w:val="24"/>
        </w:rPr>
        <w:t>Huumusbilansi mudel taimekasvatuse jätkusuu</w:t>
      </w:r>
      <w:r w:rsidR="00B332F6">
        <w:rPr>
          <w:rFonts w:ascii="Times New Roman" w:hAnsi="Times New Roman" w:cs="Times New Roman"/>
          <w:sz w:val="24"/>
          <w:szCs w:val="24"/>
        </w:rPr>
        <w:t>tlikkuse hindamise töövahendina.</w:t>
      </w:r>
      <w:r w:rsidRPr="00B332F6">
        <w:rPr>
          <w:rFonts w:ascii="Times New Roman" w:hAnsi="Times New Roman" w:cs="Times New Roman"/>
          <w:sz w:val="24"/>
          <w:szCs w:val="24"/>
        </w:rPr>
        <w:t xml:space="preserve"> </w:t>
      </w:r>
    </w:p>
    <w:p w:rsidR="006C447E" w:rsidRPr="00B332F6" w:rsidRDefault="00B332F6" w:rsidP="00B332F6">
      <w:pPr>
        <w:spacing w:line="276" w:lineRule="auto"/>
        <w:jc w:val="both"/>
        <w:rPr>
          <w:rFonts w:ascii="Times New Roman" w:hAnsi="Times New Roman" w:cs="Times New Roman"/>
          <w:sz w:val="24"/>
          <w:szCs w:val="24"/>
        </w:rPr>
      </w:pPr>
      <w:r>
        <w:rPr>
          <w:rFonts w:ascii="Times New Roman" w:hAnsi="Times New Roman" w:cs="Times New Roman"/>
          <w:sz w:val="24"/>
          <w:szCs w:val="24"/>
        </w:rPr>
        <w:t>Mõlemad projektid</w:t>
      </w:r>
      <w:r w:rsidR="006C447E" w:rsidRPr="00B332F6">
        <w:rPr>
          <w:rFonts w:ascii="Times New Roman" w:hAnsi="Times New Roman" w:cs="Times New Roman"/>
          <w:sz w:val="24"/>
          <w:szCs w:val="24"/>
        </w:rPr>
        <w:t xml:space="preserve"> toimuvad koostöös PMKga ja on seotud  mullaseire alaste tegevustega. </w:t>
      </w:r>
    </w:p>
    <w:p w:rsidR="003E08CB" w:rsidRPr="00E958CE" w:rsidRDefault="003E08CB" w:rsidP="00617526">
      <w:pPr>
        <w:spacing w:line="276" w:lineRule="auto"/>
        <w:jc w:val="both"/>
        <w:rPr>
          <w:rFonts w:ascii="Times New Roman" w:hAnsi="Times New Roman" w:cs="Times New Roman"/>
          <w:sz w:val="24"/>
          <w:szCs w:val="24"/>
        </w:rPr>
      </w:pPr>
    </w:p>
    <w:p w:rsidR="006C447E" w:rsidRPr="00E958CE" w:rsidRDefault="006C447E" w:rsidP="00617526">
      <w:pPr>
        <w:spacing w:line="276" w:lineRule="auto"/>
        <w:jc w:val="both"/>
        <w:rPr>
          <w:rFonts w:ascii="Times New Roman" w:hAnsi="Times New Roman" w:cs="Times New Roman"/>
          <w:sz w:val="24"/>
          <w:szCs w:val="24"/>
        </w:rPr>
      </w:pPr>
      <w:r w:rsidRPr="00E958CE">
        <w:rPr>
          <w:rFonts w:ascii="Times New Roman" w:hAnsi="Times New Roman" w:cs="Times New Roman"/>
          <w:sz w:val="24"/>
          <w:szCs w:val="24"/>
        </w:rPr>
        <w:t xml:space="preserve">EMÜ agrokeemia ja väetamise alased projektid:  </w:t>
      </w:r>
    </w:p>
    <w:p w:rsidR="006C447E" w:rsidRPr="00E958CE" w:rsidRDefault="006C447E" w:rsidP="00617526">
      <w:pPr>
        <w:pStyle w:val="ListParagraph"/>
        <w:numPr>
          <w:ilvl w:val="0"/>
          <w:numId w:val="17"/>
        </w:numPr>
        <w:spacing w:line="276" w:lineRule="auto"/>
        <w:jc w:val="both"/>
        <w:rPr>
          <w:rFonts w:ascii="Times New Roman" w:hAnsi="Times New Roman" w:cs="Times New Roman"/>
          <w:sz w:val="24"/>
          <w:szCs w:val="24"/>
        </w:rPr>
      </w:pPr>
      <w:r w:rsidRPr="00E958CE">
        <w:rPr>
          <w:rFonts w:ascii="Times New Roman" w:hAnsi="Times New Roman" w:cs="Times New Roman"/>
          <w:sz w:val="24"/>
          <w:szCs w:val="24"/>
        </w:rPr>
        <w:t xml:space="preserve">Optimeeritud kasvukohapõhine väetamine lähtuvalt keskkonna tundlikkusest erinevate taimetoiteelementide suhtes, baseerudes mullainfo elektroonilisel andmebaasil; </w:t>
      </w:r>
    </w:p>
    <w:p w:rsidR="006C447E" w:rsidRPr="00E958CE" w:rsidRDefault="006C447E" w:rsidP="00617526">
      <w:pPr>
        <w:pStyle w:val="ListParagraph"/>
        <w:numPr>
          <w:ilvl w:val="0"/>
          <w:numId w:val="17"/>
        </w:numPr>
        <w:spacing w:line="276" w:lineRule="auto"/>
        <w:jc w:val="both"/>
        <w:rPr>
          <w:rFonts w:ascii="Times New Roman" w:hAnsi="Times New Roman" w:cs="Times New Roman"/>
          <w:sz w:val="24"/>
          <w:szCs w:val="24"/>
        </w:rPr>
      </w:pPr>
      <w:r w:rsidRPr="00E958CE">
        <w:rPr>
          <w:rFonts w:ascii="Times New Roman" w:hAnsi="Times New Roman" w:cs="Times New Roman"/>
          <w:sz w:val="24"/>
          <w:szCs w:val="24"/>
        </w:rPr>
        <w:t>Alternatiivsete väetusainete keskkonnahoidliku kasutuse võimalused ja efektiivsus tava- ja maheviljeluses võrdlevalt traditsiooniliste orgaaniliste ja mineraalväetistega;</w:t>
      </w:r>
    </w:p>
    <w:p w:rsidR="006C447E" w:rsidRDefault="006C447E" w:rsidP="00617526">
      <w:pPr>
        <w:pStyle w:val="ListParagraph"/>
        <w:numPr>
          <w:ilvl w:val="0"/>
          <w:numId w:val="17"/>
        </w:numPr>
        <w:spacing w:line="276" w:lineRule="auto"/>
        <w:jc w:val="both"/>
        <w:rPr>
          <w:rFonts w:ascii="Times New Roman" w:hAnsi="Times New Roman" w:cs="Times New Roman"/>
          <w:sz w:val="24"/>
          <w:szCs w:val="24"/>
        </w:rPr>
      </w:pPr>
      <w:r w:rsidRPr="00E958CE">
        <w:rPr>
          <w:rFonts w:ascii="Times New Roman" w:hAnsi="Times New Roman" w:cs="Times New Roman"/>
          <w:sz w:val="24"/>
          <w:szCs w:val="24"/>
        </w:rPr>
        <w:t xml:space="preserve">Biolagunevatest jäätmetest valmistatud komposti ohutu kasutamine põllumajanduses. </w:t>
      </w:r>
    </w:p>
    <w:p w:rsidR="006C447E" w:rsidRPr="00E958CE" w:rsidRDefault="001F73FC" w:rsidP="00617526">
      <w:pPr>
        <w:spacing w:line="276" w:lineRule="auto"/>
        <w:jc w:val="both"/>
        <w:rPr>
          <w:rFonts w:ascii="Times New Roman" w:hAnsi="Times New Roman" w:cs="Times New Roman"/>
          <w:sz w:val="24"/>
          <w:szCs w:val="24"/>
        </w:rPr>
      </w:pPr>
      <w:r w:rsidRPr="001F73FC">
        <w:rPr>
          <w:rFonts w:ascii="Times New Roman" w:hAnsi="Times New Roman" w:cs="Times New Roman"/>
          <w:sz w:val="24"/>
          <w:szCs w:val="24"/>
        </w:rPr>
        <w:t>Esimene projekt tegeleb efektiivse ja keskkonnahoidliku väetamise küsimustega teraviljadel ja õlikultuuridel.</w:t>
      </w:r>
      <w:r>
        <w:rPr>
          <w:rFonts w:ascii="Times New Roman" w:hAnsi="Times New Roman" w:cs="Times New Roman"/>
          <w:sz w:val="24"/>
          <w:szCs w:val="24"/>
        </w:rPr>
        <w:t xml:space="preserve"> </w:t>
      </w:r>
      <w:r w:rsidR="006C447E" w:rsidRPr="00E958CE">
        <w:rPr>
          <w:rFonts w:ascii="Times New Roman" w:hAnsi="Times New Roman" w:cs="Times New Roman"/>
          <w:sz w:val="24"/>
          <w:szCs w:val="24"/>
        </w:rPr>
        <w:t xml:space="preserve">Viimane kolmest projektist toimub koostöös ETKIga.  Kaks viimast projekti uurivad alternatiivsete väetusainete või kompostide kasutamist. </w:t>
      </w:r>
    </w:p>
    <w:p w:rsidR="003E08CB" w:rsidRPr="00E958CE" w:rsidRDefault="003E08CB" w:rsidP="00617526">
      <w:pPr>
        <w:spacing w:line="276" w:lineRule="auto"/>
        <w:jc w:val="both"/>
        <w:rPr>
          <w:rFonts w:ascii="Times New Roman" w:hAnsi="Times New Roman" w:cs="Times New Roman"/>
          <w:sz w:val="24"/>
          <w:szCs w:val="24"/>
        </w:rPr>
      </w:pPr>
    </w:p>
    <w:p w:rsidR="006C447E" w:rsidRPr="00E958CE" w:rsidRDefault="006C447E" w:rsidP="00617526">
      <w:pPr>
        <w:spacing w:line="276" w:lineRule="auto"/>
        <w:jc w:val="both"/>
        <w:rPr>
          <w:rFonts w:ascii="Times New Roman" w:hAnsi="Times New Roman" w:cs="Times New Roman"/>
          <w:sz w:val="24"/>
          <w:szCs w:val="24"/>
        </w:rPr>
      </w:pPr>
      <w:r w:rsidRPr="00E958CE">
        <w:rPr>
          <w:rFonts w:ascii="Times New Roman" w:hAnsi="Times New Roman" w:cs="Times New Roman"/>
          <w:sz w:val="24"/>
          <w:szCs w:val="24"/>
        </w:rPr>
        <w:t xml:space="preserve">ETKI viljelustehnoloogiate ja agrotehnika alased projektid: </w:t>
      </w:r>
    </w:p>
    <w:p w:rsidR="006C447E" w:rsidRPr="00E958CE" w:rsidRDefault="006C447E" w:rsidP="00617526">
      <w:pPr>
        <w:pStyle w:val="ListParagraph"/>
        <w:numPr>
          <w:ilvl w:val="0"/>
          <w:numId w:val="18"/>
        </w:numPr>
        <w:spacing w:line="276" w:lineRule="auto"/>
        <w:jc w:val="both"/>
        <w:rPr>
          <w:rFonts w:ascii="Times New Roman" w:hAnsi="Times New Roman" w:cs="Times New Roman"/>
          <w:sz w:val="24"/>
          <w:szCs w:val="24"/>
        </w:rPr>
      </w:pPr>
      <w:r w:rsidRPr="00E958CE">
        <w:rPr>
          <w:rFonts w:ascii="Times New Roman" w:hAnsi="Times New Roman" w:cs="Times New Roman"/>
          <w:sz w:val="24"/>
          <w:szCs w:val="24"/>
        </w:rPr>
        <w:t>Erinevate viljelusmeetodite (s</w:t>
      </w:r>
      <w:r w:rsidR="00992429">
        <w:rPr>
          <w:rFonts w:ascii="Times New Roman" w:hAnsi="Times New Roman" w:cs="Times New Roman"/>
          <w:sz w:val="24"/>
          <w:szCs w:val="24"/>
        </w:rPr>
        <w:t>eal</w:t>
      </w:r>
      <w:r w:rsidRPr="00E958CE">
        <w:rPr>
          <w:rFonts w:ascii="Times New Roman" w:hAnsi="Times New Roman" w:cs="Times New Roman"/>
          <w:sz w:val="24"/>
          <w:szCs w:val="24"/>
        </w:rPr>
        <w:t>h</w:t>
      </w:r>
      <w:r w:rsidR="00992429">
        <w:rPr>
          <w:rFonts w:ascii="Times New Roman" w:hAnsi="Times New Roman" w:cs="Times New Roman"/>
          <w:sz w:val="24"/>
          <w:szCs w:val="24"/>
        </w:rPr>
        <w:t>ulgas</w:t>
      </w:r>
      <w:r w:rsidRPr="00E958CE">
        <w:rPr>
          <w:rFonts w:ascii="Times New Roman" w:hAnsi="Times New Roman" w:cs="Times New Roman"/>
          <w:sz w:val="24"/>
          <w:szCs w:val="24"/>
        </w:rPr>
        <w:t xml:space="preserve"> otsekülv) rakendusteaduslik kompleksuuring (projektis osaleb ka EMÜ</w:t>
      </w:r>
      <w:r w:rsidR="00134CB2">
        <w:rPr>
          <w:rFonts w:ascii="Times New Roman" w:hAnsi="Times New Roman" w:cs="Times New Roman"/>
          <w:sz w:val="24"/>
          <w:szCs w:val="24"/>
        </w:rPr>
        <w:t xml:space="preserve"> ja PMK</w:t>
      </w:r>
      <w:r w:rsidRPr="00E958CE">
        <w:rPr>
          <w:rFonts w:ascii="Times New Roman" w:hAnsi="Times New Roman" w:cs="Times New Roman"/>
          <w:sz w:val="24"/>
          <w:szCs w:val="24"/>
        </w:rPr>
        <w:t>);</w:t>
      </w:r>
    </w:p>
    <w:p w:rsidR="006C447E" w:rsidRPr="00E958CE" w:rsidRDefault="006C447E" w:rsidP="00617526">
      <w:pPr>
        <w:pStyle w:val="ListParagraph"/>
        <w:numPr>
          <w:ilvl w:val="0"/>
          <w:numId w:val="18"/>
        </w:numPr>
        <w:spacing w:line="276" w:lineRule="auto"/>
        <w:jc w:val="both"/>
        <w:rPr>
          <w:rFonts w:ascii="Times New Roman" w:hAnsi="Times New Roman" w:cs="Times New Roman"/>
          <w:sz w:val="24"/>
          <w:szCs w:val="24"/>
        </w:rPr>
      </w:pPr>
      <w:r w:rsidRPr="00E958CE">
        <w:rPr>
          <w:rFonts w:ascii="Times New Roman" w:hAnsi="Times New Roman" w:cs="Times New Roman"/>
          <w:sz w:val="24"/>
          <w:szCs w:val="24"/>
        </w:rPr>
        <w:t>Mullaharimise intensiivsuse mõju vedelsõnnikuga väetatud põllukultuuride saagile ja kvaliteedile ning mulla seisundile;</w:t>
      </w:r>
    </w:p>
    <w:p w:rsidR="006C447E" w:rsidRPr="00E958CE" w:rsidRDefault="006C447E" w:rsidP="00617526">
      <w:pPr>
        <w:pStyle w:val="ListParagraph"/>
        <w:numPr>
          <w:ilvl w:val="0"/>
          <w:numId w:val="18"/>
        </w:numPr>
        <w:spacing w:line="276" w:lineRule="auto"/>
        <w:jc w:val="both"/>
        <w:rPr>
          <w:rFonts w:ascii="Times New Roman" w:hAnsi="Times New Roman" w:cs="Times New Roman"/>
          <w:sz w:val="24"/>
          <w:szCs w:val="24"/>
        </w:rPr>
      </w:pPr>
      <w:r w:rsidRPr="00E958CE">
        <w:rPr>
          <w:rFonts w:ascii="Times New Roman" w:hAnsi="Times New Roman" w:cs="Times New Roman"/>
          <w:sz w:val="24"/>
          <w:szCs w:val="24"/>
        </w:rPr>
        <w:t xml:space="preserve">Maheviljeluse eri viiside ja tavaviljeluse mõju võrdlemine mulla viljakusele ja elustikule ning põllukultuuride saagikusele ja kvaliteedile; </w:t>
      </w:r>
    </w:p>
    <w:p w:rsidR="006C447E" w:rsidRPr="00E958CE" w:rsidRDefault="006C447E" w:rsidP="00617526">
      <w:pPr>
        <w:pStyle w:val="ListParagraph"/>
        <w:numPr>
          <w:ilvl w:val="0"/>
          <w:numId w:val="18"/>
        </w:numPr>
        <w:spacing w:line="276" w:lineRule="auto"/>
        <w:jc w:val="both"/>
        <w:rPr>
          <w:rFonts w:ascii="Times New Roman" w:hAnsi="Times New Roman" w:cs="Times New Roman"/>
          <w:sz w:val="24"/>
          <w:szCs w:val="24"/>
        </w:rPr>
      </w:pPr>
      <w:r w:rsidRPr="00E958CE">
        <w:rPr>
          <w:rFonts w:ascii="Times New Roman" w:hAnsi="Times New Roman" w:cs="Times New Roman"/>
          <w:sz w:val="24"/>
          <w:szCs w:val="24"/>
        </w:rPr>
        <w:t xml:space="preserve">Tera- ja kaunviljade ning õlikultuuride mahepõllumajanduse tarbeks sobivate sortide valik, aretus, seemnekasvatus ja agrotehnika ning nende kultuuride maheviljeluse tulemuste võrdlemine tavapõllumajandusega. </w:t>
      </w:r>
    </w:p>
    <w:p w:rsidR="006C447E" w:rsidRPr="00E958CE" w:rsidRDefault="006C447E" w:rsidP="00617526">
      <w:pPr>
        <w:spacing w:line="276" w:lineRule="auto"/>
        <w:jc w:val="both"/>
        <w:rPr>
          <w:rFonts w:ascii="Times New Roman" w:hAnsi="Times New Roman" w:cs="Times New Roman"/>
          <w:sz w:val="24"/>
          <w:szCs w:val="24"/>
        </w:rPr>
      </w:pPr>
      <w:r w:rsidRPr="00E958CE">
        <w:rPr>
          <w:rFonts w:ascii="Times New Roman" w:hAnsi="Times New Roman" w:cs="Times New Roman"/>
          <w:sz w:val="24"/>
          <w:szCs w:val="24"/>
        </w:rPr>
        <w:t>Projektid hõlmavad erinevaid masin- ja agrotehnoloogia alaseid uuringuid. Neljast projektist kaks esimest uurivad ka erinevate viljelustehnoloogiate majandusliku tasuvuse küsimusi, kaks viimast tegelevad maheviljeluse küsimustega. Kuigi esimene projekt hõlmab ka mõnda Kuusikul läbiviidavat pikaajalist põldkatset, on käimasolevate pikaajaliste põldkatsete finantseerimine ja katsest laekuva informatsioon tagasihoidlikud. Samuti oleks vajalik finantseerida rahvusvahelises katsevõrgustikus olevat EMÜ IOSDV pikaajalist (aastast 1989) põldkatset.</w:t>
      </w:r>
    </w:p>
    <w:p w:rsidR="003E08CB" w:rsidRPr="00E958CE" w:rsidRDefault="003E08CB" w:rsidP="00617526">
      <w:pPr>
        <w:spacing w:line="276" w:lineRule="auto"/>
        <w:jc w:val="both"/>
        <w:rPr>
          <w:rFonts w:ascii="Times New Roman" w:hAnsi="Times New Roman" w:cs="Times New Roman"/>
          <w:sz w:val="24"/>
          <w:szCs w:val="24"/>
        </w:rPr>
      </w:pPr>
    </w:p>
    <w:p w:rsidR="006C447E" w:rsidRPr="00E958CE" w:rsidRDefault="006C447E" w:rsidP="00617526">
      <w:pPr>
        <w:spacing w:line="276" w:lineRule="auto"/>
        <w:jc w:val="both"/>
        <w:rPr>
          <w:rFonts w:ascii="Times New Roman" w:hAnsi="Times New Roman" w:cs="Times New Roman"/>
          <w:sz w:val="24"/>
          <w:szCs w:val="24"/>
        </w:rPr>
      </w:pPr>
      <w:r w:rsidRPr="00E958CE">
        <w:rPr>
          <w:rFonts w:ascii="Times New Roman" w:hAnsi="Times New Roman" w:cs="Times New Roman"/>
          <w:sz w:val="24"/>
          <w:szCs w:val="24"/>
        </w:rPr>
        <w:t xml:space="preserve">ETKI taimetervise ja -kaitse alased projektid: </w:t>
      </w:r>
    </w:p>
    <w:p w:rsidR="006C447E" w:rsidRPr="00E958CE" w:rsidRDefault="006C447E" w:rsidP="00617526">
      <w:pPr>
        <w:pStyle w:val="ListParagraph"/>
        <w:numPr>
          <w:ilvl w:val="0"/>
          <w:numId w:val="19"/>
        </w:numPr>
        <w:spacing w:line="276" w:lineRule="auto"/>
        <w:jc w:val="both"/>
        <w:rPr>
          <w:rFonts w:ascii="Times New Roman" w:hAnsi="Times New Roman" w:cs="Times New Roman"/>
          <w:sz w:val="24"/>
          <w:szCs w:val="24"/>
        </w:rPr>
      </w:pPr>
      <w:r w:rsidRPr="00E958CE">
        <w:rPr>
          <w:rFonts w:ascii="Times New Roman" w:hAnsi="Times New Roman" w:cs="Times New Roman"/>
          <w:sz w:val="24"/>
          <w:szCs w:val="24"/>
        </w:rPr>
        <w:t xml:space="preserve">Kaasajastatud integreeritud taimekaitse alaste suuniste väljatöötamine; </w:t>
      </w:r>
    </w:p>
    <w:p w:rsidR="006C447E" w:rsidRPr="00E958CE" w:rsidRDefault="006C447E" w:rsidP="00617526">
      <w:pPr>
        <w:pStyle w:val="ListParagraph"/>
        <w:numPr>
          <w:ilvl w:val="0"/>
          <w:numId w:val="19"/>
        </w:numPr>
        <w:spacing w:line="276" w:lineRule="auto"/>
        <w:jc w:val="both"/>
        <w:rPr>
          <w:rFonts w:ascii="Times New Roman" w:hAnsi="Times New Roman" w:cs="Times New Roman"/>
          <w:sz w:val="24"/>
          <w:szCs w:val="24"/>
        </w:rPr>
      </w:pPr>
      <w:r w:rsidRPr="00E958CE">
        <w:rPr>
          <w:rFonts w:ascii="Times New Roman" w:hAnsi="Times New Roman" w:cs="Times New Roman"/>
          <w:sz w:val="24"/>
          <w:szCs w:val="24"/>
        </w:rPr>
        <w:t>Raskesti tõrjutavate umbrohtudega saastunud teraviljapõldudel umbrohtude tõrjevõtete uurimine;</w:t>
      </w:r>
    </w:p>
    <w:p w:rsidR="006C447E" w:rsidRPr="00E958CE" w:rsidRDefault="006C447E" w:rsidP="00617526">
      <w:pPr>
        <w:pStyle w:val="ListParagraph"/>
        <w:numPr>
          <w:ilvl w:val="0"/>
          <w:numId w:val="19"/>
        </w:numPr>
        <w:spacing w:line="276" w:lineRule="auto"/>
        <w:jc w:val="both"/>
        <w:rPr>
          <w:rFonts w:ascii="Times New Roman" w:hAnsi="Times New Roman" w:cs="Times New Roman"/>
          <w:sz w:val="24"/>
          <w:szCs w:val="24"/>
        </w:rPr>
      </w:pPr>
      <w:r w:rsidRPr="00E958CE">
        <w:rPr>
          <w:rFonts w:ascii="Times New Roman" w:hAnsi="Times New Roman" w:cs="Times New Roman"/>
          <w:sz w:val="24"/>
          <w:szCs w:val="24"/>
        </w:rPr>
        <w:t>Vähetuntud toksiine tekitavate hallitusseente nomenklatuuri täpsustamine, toksiinide tekkimise tingimuste ja riskide vältimise selgitamine odral;</w:t>
      </w:r>
    </w:p>
    <w:p w:rsidR="006C447E" w:rsidRPr="00E958CE" w:rsidRDefault="006C447E" w:rsidP="00617526">
      <w:pPr>
        <w:pStyle w:val="ListParagraph"/>
        <w:numPr>
          <w:ilvl w:val="0"/>
          <w:numId w:val="19"/>
        </w:numPr>
        <w:spacing w:line="276" w:lineRule="auto"/>
        <w:jc w:val="both"/>
        <w:rPr>
          <w:rFonts w:ascii="Times New Roman" w:hAnsi="Times New Roman" w:cs="Times New Roman"/>
          <w:sz w:val="24"/>
          <w:szCs w:val="24"/>
        </w:rPr>
      </w:pPr>
      <w:r w:rsidRPr="00E958CE">
        <w:rPr>
          <w:rFonts w:ascii="Times New Roman" w:hAnsi="Times New Roman" w:cs="Times New Roman"/>
          <w:sz w:val="24"/>
          <w:szCs w:val="24"/>
        </w:rPr>
        <w:lastRenderedPageBreak/>
        <w:t xml:space="preserve">Veebipõhise taimekaitsealase nõustamissüsteemi täiustamine. Viimane loetletud projektidest on teostatud koostöös EMÜ-ga. </w:t>
      </w:r>
    </w:p>
    <w:p w:rsidR="00E6236A" w:rsidRPr="00E6236A" w:rsidRDefault="006C447E" w:rsidP="00E6236A">
      <w:pPr>
        <w:spacing w:line="276" w:lineRule="auto"/>
        <w:jc w:val="both"/>
        <w:rPr>
          <w:rFonts w:ascii="Times New Roman" w:hAnsi="Times New Roman" w:cs="Times New Roman"/>
          <w:sz w:val="24"/>
          <w:szCs w:val="24"/>
        </w:rPr>
      </w:pPr>
      <w:r w:rsidRPr="00E958CE">
        <w:rPr>
          <w:rFonts w:ascii="Times New Roman" w:hAnsi="Times New Roman" w:cs="Times New Roman"/>
          <w:sz w:val="24"/>
          <w:szCs w:val="24"/>
        </w:rPr>
        <w:t xml:space="preserve">Senised uurimisprojektid katavad valdavalt teraviljade keemilist taimekaitset, </w:t>
      </w:r>
      <w:r w:rsidR="00E6236A" w:rsidRPr="00E6236A">
        <w:rPr>
          <w:rFonts w:ascii="Times New Roman" w:hAnsi="Times New Roman" w:cs="Times New Roman"/>
          <w:sz w:val="24"/>
          <w:szCs w:val="24"/>
        </w:rPr>
        <w:t xml:space="preserve">tulevikus tuleb enam tähelepanu pöörata õlikultuuride ja kaunviljade taimekaitse küsimustele ning mittekeemiliste tõrjevõtete kasutamisele. </w:t>
      </w:r>
    </w:p>
    <w:p w:rsidR="003E08CB" w:rsidRPr="00E958CE" w:rsidRDefault="003E08CB" w:rsidP="00617526">
      <w:pPr>
        <w:spacing w:line="276" w:lineRule="auto"/>
        <w:jc w:val="both"/>
        <w:rPr>
          <w:rFonts w:ascii="Times New Roman" w:hAnsi="Times New Roman" w:cs="Times New Roman"/>
          <w:sz w:val="24"/>
          <w:szCs w:val="24"/>
        </w:rPr>
      </w:pPr>
    </w:p>
    <w:p w:rsidR="006C447E" w:rsidRPr="00E958CE" w:rsidRDefault="006C447E" w:rsidP="00617526">
      <w:pPr>
        <w:spacing w:line="276" w:lineRule="auto"/>
        <w:jc w:val="both"/>
        <w:rPr>
          <w:rFonts w:ascii="Times New Roman" w:hAnsi="Times New Roman" w:cs="Times New Roman"/>
          <w:sz w:val="24"/>
          <w:szCs w:val="24"/>
        </w:rPr>
      </w:pPr>
      <w:r w:rsidRPr="00E958CE">
        <w:rPr>
          <w:rFonts w:ascii="Times New Roman" w:hAnsi="Times New Roman" w:cs="Times New Roman"/>
          <w:sz w:val="24"/>
          <w:szCs w:val="24"/>
        </w:rPr>
        <w:t xml:space="preserve">Põllumajandusökonoomika alastest uuringutest: </w:t>
      </w:r>
    </w:p>
    <w:p w:rsidR="006C447E" w:rsidRPr="00E958CE" w:rsidRDefault="006C447E" w:rsidP="00617526">
      <w:pPr>
        <w:pStyle w:val="ListParagraph"/>
        <w:numPr>
          <w:ilvl w:val="0"/>
          <w:numId w:val="20"/>
        </w:numPr>
        <w:spacing w:line="276" w:lineRule="auto"/>
        <w:jc w:val="both"/>
        <w:rPr>
          <w:rFonts w:ascii="Times New Roman" w:hAnsi="Times New Roman" w:cs="Times New Roman"/>
          <w:sz w:val="24"/>
          <w:szCs w:val="24"/>
        </w:rPr>
      </w:pPr>
      <w:r w:rsidRPr="00E958CE">
        <w:rPr>
          <w:rFonts w:ascii="Times New Roman" w:hAnsi="Times New Roman" w:cs="Times New Roman"/>
          <w:sz w:val="24"/>
          <w:szCs w:val="24"/>
        </w:rPr>
        <w:t>Eesti peamiste põllumajandustoodete hindade ja tootmisstruktuuri muutuste analüüs makroökonoomiliste prognoosimudelitega;</w:t>
      </w:r>
    </w:p>
    <w:p w:rsidR="006C447E" w:rsidRPr="00E958CE" w:rsidRDefault="006C447E" w:rsidP="00617526">
      <w:pPr>
        <w:pStyle w:val="ListParagraph"/>
        <w:numPr>
          <w:ilvl w:val="0"/>
          <w:numId w:val="20"/>
        </w:numPr>
        <w:spacing w:line="276" w:lineRule="auto"/>
        <w:jc w:val="both"/>
        <w:rPr>
          <w:rFonts w:ascii="Times New Roman" w:hAnsi="Times New Roman" w:cs="Times New Roman"/>
          <w:sz w:val="24"/>
          <w:szCs w:val="24"/>
        </w:rPr>
      </w:pPr>
      <w:r w:rsidRPr="00E958CE">
        <w:rPr>
          <w:rFonts w:ascii="Times New Roman" w:hAnsi="Times New Roman" w:cs="Times New Roman"/>
          <w:sz w:val="24"/>
          <w:szCs w:val="24"/>
        </w:rPr>
        <w:t>Eesti põllumajandustootjate konkurentsivõimelisus Euroopa Liidu Ühise Põllumajanduspoliitika tingimustes.</w:t>
      </w:r>
    </w:p>
    <w:p w:rsidR="006C447E" w:rsidRPr="00E958CE" w:rsidRDefault="006C447E" w:rsidP="00617526">
      <w:pPr>
        <w:spacing w:line="276" w:lineRule="auto"/>
        <w:jc w:val="both"/>
        <w:rPr>
          <w:rFonts w:ascii="Times New Roman" w:hAnsi="Times New Roman" w:cs="Times New Roman"/>
          <w:sz w:val="24"/>
          <w:szCs w:val="24"/>
        </w:rPr>
      </w:pPr>
      <w:r w:rsidRPr="00E958CE">
        <w:rPr>
          <w:rFonts w:ascii="Times New Roman" w:hAnsi="Times New Roman" w:cs="Times New Roman"/>
          <w:sz w:val="24"/>
          <w:szCs w:val="24"/>
        </w:rPr>
        <w:t>Põllumajandusökonoomika alaseid kokkuvõtteid ja uuringuid teostatakse FADN andmebaasi põhjal lisaks EMÜle ja ETKIle ka Maamajanduse Infokeskuses. Põllumajandustootjad vajavad senisest enam taimekasvatusvõtete ning erinevate masin- ja viljelustehnoloogiate kasutamise majandusliku tasuvuse arvestusi.</w:t>
      </w:r>
    </w:p>
    <w:p w:rsidR="003E08CB" w:rsidRPr="00E958CE" w:rsidRDefault="003E08CB" w:rsidP="00617526">
      <w:pPr>
        <w:spacing w:line="276" w:lineRule="auto"/>
        <w:jc w:val="both"/>
        <w:rPr>
          <w:rFonts w:ascii="Times New Roman" w:hAnsi="Times New Roman" w:cs="Times New Roman"/>
          <w:sz w:val="24"/>
          <w:szCs w:val="24"/>
        </w:rPr>
      </w:pPr>
    </w:p>
    <w:p w:rsidR="006C447E" w:rsidRPr="00E958CE" w:rsidRDefault="006C447E" w:rsidP="00617526">
      <w:pPr>
        <w:spacing w:line="276" w:lineRule="auto"/>
        <w:jc w:val="both"/>
        <w:rPr>
          <w:rFonts w:ascii="Times New Roman" w:hAnsi="Times New Roman" w:cs="Times New Roman"/>
          <w:sz w:val="24"/>
          <w:szCs w:val="24"/>
        </w:rPr>
      </w:pPr>
      <w:r w:rsidRPr="00E958CE">
        <w:rPr>
          <w:rFonts w:ascii="Times New Roman" w:hAnsi="Times New Roman" w:cs="Times New Roman"/>
          <w:sz w:val="24"/>
          <w:szCs w:val="24"/>
        </w:rPr>
        <w:t xml:space="preserve">Põllukultuuride kasutamise ja kvaliteedi alal on teostatud ainult EMÜs läbiviidud uuring: </w:t>
      </w:r>
    </w:p>
    <w:p w:rsidR="006E05AC" w:rsidRPr="00E958CE" w:rsidRDefault="006C447E" w:rsidP="00617526">
      <w:pPr>
        <w:pStyle w:val="ListParagraph"/>
        <w:numPr>
          <w:ilvl w:val="0"/>
          <w:numId w:val="21"/>
        </w:numPr>
        <w:spacing w:line="276" w:lineRule="auto"/>
        <w:jc w:val="both"/>
        <w:rPr>
          <w:rFonts w:ascii="Times New Roman" w:hAnsi="Times New Roman" w:cs="Times New Roman"/>
          <w:sz w:val="24"/>
          <w:szCs w:val="24"/>
        </w:rPr>
      </w:pPr>
      <w:r w:rsidRPr="00E958CE">
        <w:rPr>
          <w:rFonts w:ascii="Times New Roman" w:hAnsi="Times New Roman" w:cs="Times New Roman"/>
          <w:sz w:val="24"/>
          <w:szCs w:val="24"/>
        </w:rPr>
        <w:t xml:space="preserve">Põllumajanduskultuuride kasutamine põletamiseks ja biogaasiks, sortiment ja agrotehnoloogia. </w:t>
      </w:r>
    </w:p>
    <w:p w:rsidR="00455E1A" w:rsidRPr="00E958CE" w:rsidRDefault="00455E1A" w:rsidP="00455E1A">
      <w:pPr>
        <w:rPr>
          <w:rFonts w:ascii="Times New Roman" w:hAnsi="Times New Roman" w:cs="Times New Roman"/>
          <w:sz w:val="24"/>
          <w:szCs w:val="24"/>
        </w:rPr>
      </w:pPr>
      <w:r w:rsidRPr="00E958CE">
        <w:rPr>
          <w:rFonts w:ascii="Times New Roman" w:hAnsi="Times New Roman" w:cs="Times New Roman"/>
          <w:sz w:val="24"/>
          <w:szCs w:val="24"/>
        </w:rPr>
        <w:br w:type="page"/>
      </w:r>
    </w:p>
    <w:p w:rsidR="008A6A4F" w:rsidRPr="00F347C6" w:rsidRDefault="00C0772E" w:rsidP="00617526">
      <w:pPr>
        <w:pStyle w:val="Heading1"/>
        <w:spacing w:line="276" w:lineRule="auto"/>
        <w:jc w:val="both"/>
        <w:rPr>
          <w:rFonts w:ascii="Times New Roman" w:hAnsi="Times New Roman" w:cs="Times New Roman"/>
          <w:b w:val="0"/>
          <w:sz w:val="24"/>
          <w:szCs w:val="24"/>
        </w:rPr>
      </w:pPr>
      <w:bookmarkStart w:id="877" w:name="_Toc381633610"/>
      <w:bookmarkStart w:id="878" w:name="_Toc381633755"/>
      <w:bookmarkStart w:id="879" w:name="_Toc384050923"/>
      <w:bookmarkStart w:id="880" w:name="_Toc384052627"/>
      <w:bookmarkStart w:id="881" w:name="_Toc384283970"/>
      <w:bookmarkStart w:id="882" w:name="_Toc384284081"/>
      <w:bookmarkStart w:id="883" w:name="_Toc384386274"/>
      <w:bookmarkStart w:id="884" w:name="_Toc384386486"/>
      <w:bookmarkStart w:id="885" w:name="_Toc384392352"/>
      <w:bookmarkStart w:id="886" w:name="_Toc385253783"/>
      <w:bookmarkStart w:id="887" w:name="_Toc385335155"/>
      <w:bookmarkStart w:id="888" w:name="_Toc389128821"/>
      <w:bookmarkStart w:id="889" w:name="_Toc389131368"/>
      <w:bookmarkStart w:id="890" w:name="_Toc389223903"/>
      <w:bookmarkStart w:id="891" w:name="_Toc389223965"/>
      <w:bookmarkStart w:id="892" w:name="_Toc391908897"/>
      <w:bookmarkStart w:id="893" w:name="_Toc391991831"/>
      <w:bookmarkStart w:id="894" w:name="_Toc397593051"/>
      <w:bookmarkStart w:id="895" w:name="_Toc398896346"/>
      <w:bookmarkStart w:id="896" w:name="_Toc398896486"/>
      <w:bookmarkStart w:id="897" w:name="_Toc400972858"/>
      <w:r w:rsidRPr="00F347C6">
        <w:rPr>
          <w:rFonts w:ascii="Times New Roman" w:hAnsi="Times New Roman" w:cs="Times New Roman"/>
          <w:sz w:val="24"/>
          <w:szCs w:val="24"/>
        </w:rPr>
        <w:lastRenderedPageBreak/>
        <w:t>L</w:t>
      </w:r>
      <w:r w:rsidR="000675D3">
        <w:rPr>
          <w:rFonts w:ascii="Times New Roman" w:hAnsi="Times New Roman" w:cs="Times New Roman"/>
          <w:sz w:val="24"/>
          <w:szCs w:val="24"/>
        </w:rPr>
        <w:t xml:space="preserve">isa </w:t>
      </w:r>
      <w:r w:rsidR="00EF56EE">
        <w:rPr>
          <w:rFonts w:ascii="Times New Roman" w:hAnsi="Times New Roman" w:cs="Times New Roman"/>
          <w:sz w:val="24"/>
          <w:szCs w:val="24"/>
        </w:rPr>
        <w:t>2</w:t>
      </w:r>
      <w:r w:rsidR="005F6F08" w:rsidRPr="00F347C6">
        <w:rPr>
          <w:rFonts w:ascii="Times New Roman" w:hAnsi="Times New Roman" w:cs="Times New Roman"/>
          <w:sz w:val="24"/>
          <w:szCs w:val="24"/>
        </w:rPr>
        <w:t xml:space="preserve">. </w:t>
      </w:r>
      <w:r w:rsidR="001B2600" w:rsidRPr="00F347C6">
        <w:rPr>
          <w:rFonts w:ascii="Times New Roman" w:hAnsi="Times New Roman" w:cs="Times New Roman"/>
          <w:sz w:val="24"/>
          <w:szCs w:val="24"/>
        </w:rPr>
        <w:t>Kavandatavad t</w:t>
      </w:r>
      <w:r w:rsidR="005F6F08" w:rsidRPr="00F347C6">
        <w:rPr>
          <w:rFonts w:ascii="Times New Roman" w:hAnsi="Times New Roman" w:cs="Times New Roman"/>
          <w:sz w:val="24"/>
          <w:szCs w:val="24"/>
        </w:rPr>
        <w:t xml:space="preserve">aimekasvatuse valdkonna uuringud, </w:t>
      </w:r>
      <w:r w:rsidR="00185528" w:rsidRPr="00185528">
        <w:rPr>
          <w:rFonts w:ascii="Times New Roman" w:hAnsi="Times New Roman" w:cs="Times New Roman"/>
          <w:caps w:val="0"/>
          <w:sz w:val="24"/>
          <w:szCs w:val="24"/>
        </w:rPr>
        <w:t>SEALHULGAS</w:t>
      </w:r>
      <w:r w:rsidR="005F6F08" w:rsidRPr="00F347C6">
        <w:rPr>
          <w:rFonts w:ascii="Times New Roman" w:hAnsi="Times New Roman" w:cs="Times New Roman"/>
          <w:sz w:val="24"/>
          <w:szCs w:val="24"/>
        </w:rPr>
        <w:t xml:space="preserve"> teadus- ja rakendusuuringud aastatel 2014–2020</w:t>
      </w:r>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p>
    <w:p w:rsidR="00945F74" w:rsidRPr="00E958CE" w:rsidRDefault="00945F74" w:rsidP="00617526">
      <w:pPr>
        <w:spacing w:line="276"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57"/>
        <w:gridCol w:w="594"/>
        <w:gridCol w:w="594"/>
        <w:gridCol w:w="594"/>
        <w:gridCol w:w="594"/>
        <w:gridCol w:w="594"/>
        <w:gridCol w:w="594"/>
        <w:gridCol w:w="594"/>
      </w:tblGrid>
      <w:tr w:rsidR="001C77F4" w:rsidRPr="00E958CE" w:rsidTr="001C77F4">
        <w:trPr>
          <w:cantSplit/>
          <w:trHeight w:val="714"/>
        </w:trPr>
        <w:tc>
          <w:tcPr>
            <w:tcW w:w="5657" w:type="dxa"/>
            <w:shd w:val="clear" w:color="auto" w:fill="AD0101" w:themeFill="accent1"/>
            <w:vAlign w:val="center"/>
          </w:tcPr>
          <w:p w:rsidR="00945F74" w:rsidRPr="00E958CE" w:rsidRDefault="00945F74" w:rsidP="00617526">
            <w:pPr>
              <w:spacing w:line="276" w:lineRule="auto"/>
              <w:rPr>
                <w:rFonts w:ascii="Times New Roman" w:hAnsi="Times New Roman" w:cs="Times New Roman"/>
                <w:b/>
                <w:sz w:val="24"/>
                <w:szCs w:val="24"/>
              </w:rPr>
            </w:pPr>
            <w:r w:rsidRPr="00E958CE">
              <w:rPr>
                <w:rFonts w:ascii="Times New Roman" w:hAnsi="Times New Roman" w:cs="Times New Roman"/>
                <w:b/>
                <w:sz w:val="24"/>
                <w:szCs w:val="24"/>
              </w:rPr>
              <w:t>Uuringu nimetus</w:t>
            </w:r>
          </w:p>
        </w:tc>
        <w:tc>
          <w:tcPr>
            <w:tcW w:w="594" w:type="dxa"/>
            <w:shd w:val="clear" w:color="auto" w:fill="AD0101" w:themeFill="accent1"/>
            <w:textDirection w:val="btLr"/>
            <w:vAlign w:val="center"/>
          </w:tcPr>
          <w:p w:rsidR="00945F74" w:rsidRPr="00E958CE" w:rsidRDefault="00945F74" w:rsidP="00617526">
            <w:pPr>
              <w:spacing w:line="276" w:lineRule="auto"/>
              <w:jc w:val="center"/>
              <w:rPr>
                <w:rFonts w:ascii="Times New Roman" w:hAnsi="Times New Roman" w:cs="Times New Roman"/>
                <w:b/>
                <w:sz w:val="24"/>
                <w:szCs w:val="24"/>
              </w:rPr>
            </w:pPr>
            <w:r w:rsidRPr="00E958CE">
              <w:rPr>
                <w:rFonts w:ascii="Times New Roman" w:hAnsi="Times New Roman" w:cs="Times New Roman"/>
                <w:b/>
                <w:sz w:val="24"/>
                <w:szCs w:val="24"/>
              </w:rPr>
              <w:t>2014</w:t>
            </w:r>
          </w:p>
        </w:tc>
        <w:tc>
          <w:tcPr>
            <w:tcW w:w="594" w:type="dxa"/>
            <w:shd w:val="clear" w:color="auto" w:fill="AD0101" w:themeFill="accent1"/>
            <w:textDirection w:val="btLr"/>
            <w:vAlign w:val="center"/>
          </w:tcPr>
          <w:p w:rsidR="00945F74" w:rsidRPr="00E958CE" w:rsidRDefault="00945F74" w:rsidP="00617526">
            <w:pPr>
              <w:spacing w:line="276" w:lineRule="auto"/>
              <w:jc w:val="center"/>
              <w:rPr>
                <w:rFonts w:ascii="Times New Roman" w:hAnsi="Times New Roman" w:cs="Times New Roman"/>
                <w:b/>
                <w:sz w:val="24"/>
                <w:szCs w:val="24"/>
              </w:rPr>
            </w:pPr>
            <w:r w:rsidRPr="00E958CE">
              <w:rPr>
                <w:rFonts w:ascii="Times New Roman" w:hAnsi="Times New Roman" w:cs="Times New Roman"/>
                <w:b/>
                <w:sz w:val="24"/>
                <w:szCs w:val="24"/>
              </w:rPr>
              <w:t>2015</w:t>
            </w:r>
          </w:p>
        </w:tc>
        <w:tc>
          <w:tcPr>
            <w:tcW w:w="594" w:type="dxa"/>
            <w:shd w:val="clear" w:color="auto" w:fill="AD0101" w:themeFill="accent1"/>
            <w:textDirection w:val="btLr"/>
            <w:vAlign w:val="center"/>
          </w:tcPr>
          <w:p w:rsidR="00945F74" w:rsidRPr="00E958CE" w:rsidRDefault="00945F74" w:rsidP="00617526">
            <w:pPr>
              <w:spacing w:line="276" w:lineRule="auto"/>
              <w:jc w:val="center"/>
              <w:rPr>
                <w:rFonts w:ascii="Times New Roman" w:hAnsi="Times New Roman" w:cs="Times New Roman"/>
                <w:b/>
                <w:sz w:val="24"/>
                <w:szCs w:val="24"/>
              </w:rPr>
            </w:pPr>
            <w:r w:rsidRPr="00E958CE">
              <w:rPr>
                <w:rFonts w:ascii="Times New Roman" w:hAnsi="Times New Roman" w:cs="Times New Roman"/>
                <w:b/>
                <w:sz w:val="24"/>
                <w:szCs w:val="24"/>
              </w:rPr>
              <w:t>2016</w:t>
            </w:r>
          </w:p>
        </w:tc>
        <w:tc>
          <w:tcPr>
            <w:tcW w:w="594" w:type="dxa"/>
            <w:shd w:val="clear" w:color="auto" w:fill="AD0101" w:themeFill="accent1"/>
            <w:textDirection w:val="btLr"/>
            <w:vAlign w:val="center"/>
          </w:tcPr>
          <w:p w:rsidR="00945F74" w:rsidRPr="00E958CE" w:rsidRDefault="00945F74" w:rsidP="00617526">
            <w:pPr>
              <w:spacing w:line="276" w:lineRule="auto"/>
              <w:jc w:val="center"/>
              <w:rPr>
                <w:rFonts w:ascii="Times New Roman" w:hAnsi="Times New Roman" w:cs="Times New Roman"/>
                <w:b/>
                <w:sz w:val="24"/>
                <w:szCs w:val="24"/>
              </w:rPr>
            </w:pPr>
            <w:r w:rsidRPr="00E958CE">
              <w:rPr>
                <w:rFonts w:ascii="Times New Roman" w:hAnsi="Times New Roman" w:cs="Times New Roman"/>
                <w:b/>
                <w:sz w:val="24"/>
                <w:szCs w:val="24"/>
              </w:rPr>
              <w:t>2017</w:t>
            </w:r>
          </w:p>
        </w:tc>
        <w:tc>
          <w:tcPr>
            <w:tcW w:w="594" w:type="dxa"/>
            <w:shd w:val="clear" w:color="auto" w:fill="AD0101" w:themeFill="accent1"/>
            <w:textDirection w:val="btLr"/>
            <w:vAlign w:val="center"/>
          </w:tcPr>
          <w:p w:rsidR="00945F74" w:rsidRPr="00E958CE" w:rsidRDefault="00945F74" w:rsidP="00617526">
            <w:pPr>
              <w:spacing w:line="276" w:lineRule="auto"/>
              <w:jc w:val="center"/>
              <w:rPr>
                <w:rFonts w:ascii="Times New Roman" w:hAnsi="Times New Roman" w:cs="Times New Roman"/>
                <w:b/>
                <w:sz w:val="24"/>
                <w:szCs w:val="24"/>
              </w:rPr>
            </w:pPr>
            <w:r w:rsidRPr="00E958CE">
              <w:rPr>
                <w:rFonts w:ascii="Times New Roman" w:hAnsi="Times New Roman" w:cs="Times New Roman"/>
                <w:b/>
                <w:sz w:val="24"/>
                <w:szCs w:val="24"/>
              </w:rPr>
              <w:t>2018</w:t>
            </w:r>
          </w:p>
        </w:tc>
        <w:tc>
          <w:tcPr>
            <w:tcW w:w="594" w:type="dxa"/>
            <w:shd w:val="clear" w:color="auto" w:fill="AD0101" w:themeFill="accent1"/>
            <w:textDirection w:val="btLr"/>
            <w:vAlign w:val="center"/>
          </w:tcPr>
          <w:p w:rsidR="00945F74" w:rsidRPr="00E958CE" w:rsidRDefault="00945F74" w:rsidP="00617526">
            <w:pPr>
              <w:spacing w:line="276" w:lineRule="auto"/>
              <w:jc w:val="center"/>
              <w:rPr>
                <w:rFonts w:ascii="Times New Roman" w:hAnsi="Times New Roman" w:cs="Times New Roman"/>
                <w:b/>
                <w:sz w:val="24"/>
                <w:szCs w:val="24"/>
              </w:rPr>
            </w:pPr>
            <w:r w:rsidRPr="00E958CE">
              <w:rPr>
                <w:rFonts w:ascii="Times New Roman" w:hAnsi="Times New Roman" w:cs="Times New Roman"/>
                <w:b/>
                <w:sz w:val="24"/>
                <w:szCs w:val="24"/>
              </w:rPr>
              <w:t>2019</w:t>
            </w:r>
          </w:p>
        </w:tc>
        <w:tc>
          <w:tcPr>
            <w:tcW w:w="594" w:type="dxa"/>
            <w:shd w:val="clear" w:color="auto" w:fill="AD0101" w:themeFill="accent1"/>
            <w:textDirection w:val="btLr"/>
            <w:vAlign w:val="center"/>
          </w:tcPr>
          <w:p w:rsidR="00945F74" w:rsidRPr="00E958CE" w:rsidRDefault="00945F74" w:rsidP="00617526">
            <w:pPr>
              <w:spacing w:line="276" w:lineRule="auto"/>
              <w:jc w:val="center"/>
              <w:rPr>
                <w:rFonts w:ascii="Times New Roman" w:hAnsi="Times New Roman" w:cs="Times New Roman"/>
                <w:b/>
                <w:sz w:val="24"/>
                <w:szCs w:val="24"/>
              </w:rPr>
            </w:pPr>
            <w:r w:rsidRPr="00E958CE">
              <w:rPr>
                <w:rFonts w:ascii="Times New Roman" w:hAnsi="Times New Roman" w:cs="Times New Roman"/>
                <w:b/>
                <w:sz w:val="24"/>
                <w:szCs w:val="24"/>
              </w:rPr>
              <w:t>2020</w:t>
            </w:r>
          </w:p>
        </w:tc>
      </w:tr>
      <w:tr w:rsidR="00C374A2" w:rsidRPr="00E958CE" w:rsidTr="001C77F4">
        <w:trPr>
          <w:trHeight w:val="966"/>
        </w:trPr>
        <w:tc>
          <w:tcPr>
            <w:tcW w:w="5657" w:type="dxa"/>
          </w:tcPr>
          <w:p w:rsidR="00C374A2" w:rsidRPr="00E958CE" w:rsidRDefault="00C374A2" w:rsidP="00617526">
            <w:pPr>
              <w:spacing w:line="276" w:lineRule="auto"/>
              <w:rPr>
                <w:rFonts w:ascii="Times New Roman" w:hAnsi="Times New Roman" w:cs="Times New Roman"/>
                <w:b/>
                <w:sz w:val="24"/>
                <w:szCs w:val="24"/>
              </w:rPr>
            </w:pPr>
            <w:r w:rsidRPr="00E958CE">
              <w:rPr>
                <w:rFonts w:ascii="Times New Roman" w:hAnsi="Times New Roman" w:cs="Times New Roman"/>
                <w:b/>
                <w:sz w:val="24"/>
                <w:szCs w:val="24"/>
              </w:rPr>
              <w:t>Uuringud haljasväetis- ja vahekultuuridega</w:t>
            </w:r>
          </w:p>
          <w:p w:rsidR="00C374A2" w:rsidRPr="00E958CE" w:rsidRDefault="00C374A2" w:rsidP="00617526">
            <w:pPr>
              <w:spacing w:line="276" w:lineRule="auto"/>
              <w:rPr>
                <w:rFonts w:ascii="Times New Roman" w:hAnsi="Times New Roman" w:cs="Times New Roman"/>
                <w:sz w:val="24"/>
                <w:szCs w:val="24"/>
              </w:rPr>
            </w:pPr>
            <w:r w:rsidRPr="00E958CE">
              <w:rPr>
                <w:rFonts w:ascii="Times New Roman" w:hAnsi="Times New Roman" w:cs="Times New Roman"/>
                <w:sz w:val="24"/>
                <w:szCs w:val="24"/>
              </w:rPr>
              <w:t>Näiteks:</w:t>
            </w:r>
          </w:p>
          <w:p w:rsidR="00C374A2" w:rsidRPr="00E958CE" w:rsidRDefault="00C374A2" w:rsidP="00617526">
            <w:pPr>
              <w:numPr>
                <w:ilvl w:val="0"/>
                <w:numId w:val="32"/>
              </w:numPr>
              <w:spacing w:line="276" w:lineRule="auto"/>
              <w:rPr>
                <w:rFonts w:ascii="Times New Roman" w:hAnsi="Times New Roman" w:cs="Times New Roman"/>
                <w:sz w:val="24"/>
                <w:szCs w:val="24"/>
              </w:rPr>
            </w:pPr>
            <w:r w:rsidRPr="00E958CE">
              <w:rPr>
                <w:rFonts w:ascii="Times New Roman" w:hAnsi="Times New Roman" w:cs="Times New Roman"/>
                <w:sz w:val="24"/>
                <w:szCs w:val="24"/>
              </w:rPr>
              <w:t>Mulla mikroobikoosluste arendamine</w:t>
            </w:r>
          </w:p>
        </w:tc>
        <w:tc>
          <w:tcPr>
            <w:tcW w:w="594" w:type="dxa"/>
          </w:tcPr>
          <w:p w:rsidR="00C374A2" w:rsidRPr="00E958CE" w:rsidRDefault="00C374A2" w:rsidP="0050571B">
            <w:pPr>
              <w:spacing w:line="276"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594" w:type="dxa"/>
          </w:tcPr>
          <w:p w:rsidR="00C374A2" w:rsidRPr="00E958CE" w:rsidRDefault="00C374A2" w:rsidP="0050571B">
            <w:pPr>
              <w:spacing w:line="276"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594" w:type="dxa"/>
          </w:tcPr>
          <w:p w:rsidR="00C374A2" w:rsidRPr="00E958CE" w:rsidRDefault="00C374A2" w:rsidP="0050571B">
            <w:pPr>
              <w:spacing w:line="276"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594" w:type="dxa"/>
          </w:tcPr>
          <w:p w:rsidR="00C374A2" w:rsidRPr="00E958CE" w:rsidRDefault="00C374A2" w:rsidP="0050571B">
            <w:pPr>
              <w:spacing w:line="276"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594" w:type="dxa"/>
          </w:tcPr>
          <w:p w:rsidR="00C374A2" w:rsidRPr="00E958CE" w:rsidRDefault="00C374A2" w:rsidP="0050571B">
            <w:pPr>
              <w:spacing w:line="276"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594" w:type="dxa"/>
          </w:tcPr>
          <w:p w:rsidR="00C374A2" w:rsidRPr="00E958CE" w:rsidRDefault="00C374A2" w:rsidP="0050571B">
            <w:pPr>
              <w:spacing w:line="276"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594" w:type="dxa"/>
          </w:tcPr>
          <w:p w:rsidR="00C374A2" w:rsidRPr="00E958CE" w:rsidRDefault="00C374A2" w:rsidP="0050571B">
            <w:pPr>
              <w:spacing w:line="276" w:lineRule="auto"/>
              <w:jc w:val="center"/>
              <w:rPr>
                <w:rFonts w:ascii="Times New Roman" w:hAnsi="Times New Roman" w:cs="Times New Roman"/>
                <w:sz w:val="24"/>
                <w:szCs w:val="24"/>
              </w:rPr>
            </w:pPr>
            <w:r>
              <w:rPr>
                <w:rFonts w:ascii="Times New Roman" w:hAnsi="Times New Roman" w:cs="Times New Roman"/>
                <w:sz w:val="24"/>
                <w:szCs w:val="24"/>
              </w:rPr>
              <w:t>x</w:t>
            </w:r>
          </w:p>
        </w:tc>
      </w:tr>
      <w:tr w:rsidR="00C374A2" w:rsidRPr="00E958CE" w:rsidTr="001C77F4">
        <w:trPr>
          <w:trHeight w:val="2251"/>
        </w:trPr>
        <w:tc>
          <w:tcPr>
            <w:tcW w:w="5657" w:type="dxa"/>
            <w:shd w:val="clear" w:color="auto" w:fill="FEBCBC" w:themeFill="accent1" w:themeFillTint="33"/>
          </w:tcPr>
          <w:p w:rsidR="00C374A2" w:rsidRPr="00E958CE" w:rsidRDefault="00C374A2" w:rsidP="00617526">
            <w:pPr>
              <w:spacing w:line="276" w:lineRule="auto"/>
              <w:rPr>
                <w:rFonts w:ascii="Times New Roman" w:hAnsi="Times New Roman" w:cs="Times New Roman"/>
                <w:b/>
                <w:sz w:val="24"/>
                <w:szCs w:val="24"/>
              </w:rPr>
            </w:pPr>
            <w:r w:rsidRPr="00E958CE">
              <w:rPr>
                <w:rFonts w:ascii="Times New Roman" w:hAnsi="Times New Roman" w:cs="Times New Roman"/>
                <w:b/>
                <w:sz w:val="24"/>
                <w:szCs w:val="24"/>
              </w:rPr>
              <w:t>Põllukultuuride väetamisalased uuringud</w:t>
            </w:r>
          </w:p>
          <w:p w:rsidR="00C374A2" w:rsidRPr="00E958CE" w:rsidRDefault="00C374A2" w:rsidP="00617526">
            <w:pPr>
              <w:spacing w:line="276" w:lineRule="auto"/>
              <w:rPr>
                <w:rFonts w:ascii="Times New Roman" w:hAnsi="Times New Roman" w:cs="Times New Roman"/>
                <w:sz w:val="24"/>
                <w:szCs w:val="24"/>
              </w:rPr>
            </w:pPr>
            <w:r w:rsidRPr="00E958CE">
              <w:rPr>
                <w:rFonts w:ascii="Times New Roman" w:hAnsi="Times New Roman" w:cs="Times New Roman"/>
                <w:sz w:val="24"/>
                <w:szCs w:val="24"/>
              </w:rPr>
              <w:t>Näiteks:</w:t>
            </w:r>
          </w:p>
          <w:p w:rsidR="00C374A2" w:rsidRPr="00E958CE" w:rsidRDefault="00C374A2" w:rsidP="00617526">
            <w:pPr>
              <w:numPr>
                <w:ilvl w:val="0"/>
                <w:numId w:val="32"/>
              </w:numPr>
              <w:spacing w:line="276" w:lineRule="auto"/>
              <w:rPr>
                <w:rFonts w:ascii="Times New Roman" w:hAnsi="Times New Roman" w:cs="Times New Roman"/>
                <w:sz w:val="24"/>
                <w:szCs w:val="24"/>
              </w:rPr>
            </w:pPr>
            <w:proofErr w:type="spellStart"/>
            <w:r w:rsidRPr="00E958CE">
              <w:rPr>
                <w:rFonts w:ascii="Times New Roman" w:hAnsi="Times New Roman" w:cs="Times New Roman"/>
                <w:sz w:val="24"/>
                <w:szCs w:val="24"/>
              </w:rPr>
              <w:t>Digesta</w:t>
            </w:r>
            <w:r>
              <w:rPr>
                <w:rFonts w:ascii="Times New Roman" w:hAnsi="Times New Roman" w:cs="Times New Roman"/>
                <w:sz w:val="24"/>
                <w:szCs w:val="24"/>
              </w:rPr>
              <w:t>a</w:t>
            </w:r>
            <w:r w:rsidRPr="00E958CE">
              <w:rPr>
                <w:rFonts w:ascii="Times New Roman" w:hAnsi="Times New Roman" w:cs="Times New Roman"/>
                <w:sz w:val="24"/>
                <w:szCs w:val="24"/>
              </w:rPr>
              <w:t>di</w:t>
            </w:r>
            <w:proofErr w:type="spellEnd"/>
            <w:r w:rsidRPr="00E958CE">
              <w:rPr>
                <w:rFonts w:ascii="Times New Roman" w:hAnsi="Times New Roman" w:cs="Times New Roman"/>
                <w:sz w:val="24"/>
                <w:szCs w:val="24"/>
              </w:rPr>
              <w:t xml:space="preserve"> ohutu kasutamine</w:t>
            </w:r>
          </w:p>
          <w:p w:rsidR="00C374A2" w:rsidRPr="00E958CE" w:rsidRDefault="00C374A2" w:rsidP="00617526">
            <w:pPr>
              <w:numPr>
                <w:ilvl w:val="0"/>
                <w:numId w:val="32"/>
              </w:numPr>
              <w:spacing w:line="276" w:lineRule="auto"/>
              <w:rPr>
                <w:rFonts w:ascii="Times New Roman" w:hAnsi="Times New Roman" w:cs="Times New Roman"/>
                <w:sz w:val="24"/>
                <w:szCs w:val="24"/>
              </w:rPr>
            </w:pPr>
            <w:r w:rsidRPr="00E958CE">
              <w:rPr>
                <w:rFonts w:ascii="Times New Roman" w:hAnsi="Times New Roman" w:cs="Times New Roman"/>
                <w:sz w:val="24"/>
                <w:szCs w:val="24"/>
              </w:rPr>
              <w:t>Taimetoiteainete leostumine</w:t>
            </w:r>
          </w:p>
          <w:p w:rsidR="00C374A2" w:rsidRPr="00E958CE" w:rsidRDefault="00C374A2" w:rsidP="00617526">
            <w:pPr>
              <w:numPr>
                <w:ilvl w:val="0"/>
                <w:numId w:val="32"/>
              </w:numPr>
              <w:spacing w:line="276" w:lineRule="auto"/>
              <w:rPr>
                <w:rFonts w:ascii="Times New Roman" w:hAnsi="Times New Roman" w:cs="Times New Roman"/>
                <w:sz w:val="24"/>
                <w:szCs w:val="24"/>
              </w:rPr>
            </w:pPr>
            <w:r w:rsidRPr="00E958CE">
              <w:rPr>
                <w:rFonts w:ascii="Times New Roman" w:hAnsi="Times New Roman" w:cs="Times New Roman"/>
                <w:sz w:val="24"/>
                <w:szCs w:val="24"/>
              </w:rPr>
              <w:t>Taimetoiteainete bilanss</w:t>
            </w:r>
          </w:p>
          <w:p w:rsidR="00C374A2" w:rsidRPr="00E958CE" w:rsidRDefault="00C374A2" w:rsidP="00617526">
            <w:pPr>
              <w:numPr>
                <w:ilvl w:val="0"/>
                <w:numId w:val="32"/>
              </w:numPr>
              <w:spacing w:line="276" w:lineRule="auto"/>
              <w:rPr>
                <w:rFonts w:ascii="Times New Roman" w:hAnsi="Times New Roman" w:cs="Times New Roman"/>
                <w:sz w:val="24"/>
                <w:szCs w:val="24"/>
              </w:rPr>
            </w:pPr>
            <w:r w:rsidRPr="00E958CE">
              <w:rPr>
                <w:rFonts w:ascii="Times New Roman" w:hAnsi="Times New Roman" w:cs="Times New Roman"/>
                <w:sz w:val="24"/>
                <w:szCs w:val="24"/>
              </w:rPr>
              <w:t>Mikroelemendid ja mulla mikrobioloogilist aktiivsust mõjutavad ained (nt biosüsi)</w:t>
            </w:r>
          </w:p>
        </w:tc>
        <w:tc>
          <w:tcPr>
            <w:tcW w:w="594" w:type="dxa"/>
            <w:shd w:val="clear" w:color="auto" w:fill="FEBCBC" w:themeFill="accent1" w:themeFillTint="33"/>
          </w:tcPr>
          <w:p w:rsidR="00C374A2" w:rsidRPr="00E958CE" w:rsidRDefault="00C374A2" w:rsidP="0050571B">
            <w:pPr>
              <w:spacing w:line="276"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594" w:type="dxa"/>
            <w:shd w:val="clear" w:color="auto" w:fill="FEBCBC" w:themeFill="accent1" w:themeFillTint="33"/>
          </w:tcPr>
          <w:p w:rsidR="00C374A2" w:rsidRPr="00E958CE" w:rsidRDefault="00C374A2" w:rsidP="0050571B">
            <w:pPr>
              <w:spacing w:line="276"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594" w:type="dxa"/>
            <w:shd w:val="clear" w:color="auto" w:fill="FEBCBC" w:themeFill="accent1" w:themeFillTint="33"/>
          </w:tcPr>
          <w:p w:rsidR="00C374A2" w:rsidRPr="00E958CE" w:rsidRDefault="00C374A2" w:rsidP="0050571B">
            <w:pPr>
              <w:spacing w:line="276"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594" w:type="dxa"/>
            <w:shd w:val="clear" w:color="auto" w:fill="FEBCBC" w:themeFill="accent1" w:themeFillTint="33"/>
          </w:tcPr>
          <w:p w:rsidR="00C374A2" w:rsidRPr="00E958CE" w:rsidRDefault="00C374A2" w:rsidP="0050571B">
            <w:pPr>
              <w:spacing w:line="276"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594" w:type="dxa"/>
            <w:shd w:val="clear" w:color="auto" w:fill="FEBCBC" w:themeFill="accent1" w:themeFillTint="33"/>
          </w:tcPr>
          <w:p w:rsidR="00C374A2" w:rsidRPr="00E958CE" w:rsidRDefault="00C374A2" w:rsidP="0050571B">
            <w:pPr>
              <w:spacing w:line="276"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594" w:type="dxa"/>
            <w:shd w:val="clear" w:color="auto" w:fill="FEBCBC" w:themeFill="accent1" w:themeFillTint="33"/>
          </w:tcPr>
          <w:p w:rsidR="00C374A2" w:rsidRPr="00E958CE" w:rsidRDefault="00C374A2" w:rsidP="0050571B">
            <w:pPr>
              <w:spacing w:line="276"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594" w:type="dxa"/>
            <w:shd w:val="clear" w:color="auto" w:fill="FEBCBC" w:themeFill="accent1" w:themeFillTint="33"/>
          </w:tcPr>
          <w:p w:rsidR="00C374A2" w:rsidRPr="00E958CE" w:rsidRDefault="00C374A2" w:rsidP="0050571B">
            <w:pPr>
              <w:spacing w:line="276" w:lineRule="auto"/>
              <w:jc w:val="center"/>
              <w:rPr>
                <w:rFonts w:ascii="Times New Roman" w:hAnsi="Times New Roman" w:cs="Times New Roman"/>
                <w:sz w:val="24"/>
                <w:szCs w:val="24"/>
              </w:rPr>
            </w:pPr>
            <w:r>
              <w:rPr>
                <w:rFonts w:ascii="Times New Roman" w:hAnsi="Times New Roman" w:cs="Times New Roman"/>
                <w:sz w:val="24"/>
                <w:szCs w:val="24"/>
              </w:rPr>
              <w:t>x</w:t>
            </w:r>
          </w:p>
        </w:tc>
      </w:tr>
      <w:tr w:rsidR="00C374A2" w:rsidRPr="00E958CE" w:rsidTr="001C77F4">
        <w:trPr>
          <w:trHeight w:val="2900"/>
        </w:trPr>
        <w:tc>
          <w:tcPr>
            <w:tcW w:w="5657" w:type="dxa"/>
          </w:tcPr>
          <w:p w:rsidR="00C374A2" w:rsidRPr="00E958CE" w:rsidRDefault="00C374A2" w:rsidP="00617526">
            <w:pPr>
              <w:spacing w:line="276" w:lineRule="auto"/>
              <w:rPr>
                <w:rFonts w:ascii="Times New Roman" w:hAnsi="Times New Roman" w:cs="Times New Roman"/>
                <w:b/>
                <w:sz w:val="24"/>
                <w:szCs w:val="24"/>
              </w:rPr>
            </w:pPr>
            <w:r w:rsidRPr="00E958CE">
              <w:rPr>
                <w:rFonts w:ascii="Times New Roman" w:hAnsi="Times New Roman" w:cs="Times New Roman"/>
                <w:b/>
                <w:sz w:val="24"/>
                <w:szCs w:val="24"/>
              </w:rPr>
              <w:t>Põllukultuuride agrotehnika alased uuringud</w:t>
            </w:r>
          </w:p>
          <w:p w:rsidR="00C374A2" w:rsidRPr="00E958CE" w:rsidRDefault="00C374A2" w:rsidP="00617526">
            <w:pPr>
              <w:spacing w:line="276" w:lineRule="auto"/>
              <w:rPr>
                <w:rFonts w:ascii="Times New Roman" w:hAnsi="Times New Roman" w:cs="Times New Roman"/>
                <w:sz w:val="24"/>
                <w:szCs w:val="24"/>
              </w:rPr>
            </w:pPr>
            <w:r w:rsidRPr="00E958CE">
              <w:rPr>
                <w:rFonts w:ascii="Times New Roman" w:hAnsi="Times New Roman" w:cs="Times New Roman"/>
                <w:sz w:val="24"/>
                <w:szCs w:val="24"/>
              </w:rPr>
              <w:t>Näiteks:</w:t>
            </w:r>
          </w:p>
          <w:p w:rsidR="00C374A2" w:rsidRPr="00E958CE" w:rsidRDefault="00C374A2" w:rsidP="00617526">
            <w:pPr>
              <w:numPr>
                <w:ilvl w:val="0"/>
                <w:numId w:val="33"/>
              </w:numPr>
              <w:spacing w:line="276" w:lineRule="auto"/>
              <w:rPr>
                <w:rFonts w:ascii="Times New Roman" w:hAnsi="Times New Roman" w:cs="Times New Roman"/>
                <w:sz w:val="24"/>
                <w:szCs w:val="24"/>
              </w:rPr>
            </w:pPr>
            <w:r w:rsidRPr="00E958CE">
              <w:rPr>
                <w:rFonts w:ascii="Times New Roman" w:hAnsi="Times New Roman" w:cs="Times New Roman"/>
                <w:sz w:val="24"/>
                <w:szCs w:val="24"/>
              </w:rPr>
              <w:t xml:space="preserve">Vähelevinud ja uute kultuuride (nt põld- ja sojauba, </w:t>
            </w:r>
            <w:proofErr w:type="spellStart"/>
            <w:r w:rsidRPr="00E958CE">
              <w:rPr>
                <w:rFonts w:ascii="Times New Roman" w:hAnsi="Times New Roman" w:cs="Times New Roman"/>
                <w:sz w:val="24"/>
                <w:szCs w:val="24"/>
              </w:rPr>
              <w:t>spelta</w:t>
            </w:r>
            <w:proofErr w:type="spellEnd"/>
            <w:r w:rsidRPr="00E958CE">
              <w:rPr>
                <w:rFonts w:ascii="Times New Roman" w:hAnsi="Times New Roman" w:cs="Times New Roman"/>
                <w:sz w:val="24"/>
                <w:szCs w:val="24"/>
              </w:rPr>
              <w:t xml:space="preserve"> nisu, mais) agrotehnika</w:t>
            </w:r>
          </w:p>
          <w:p w:rsidR="00C374A2" w:rsidRPr="00E958CE" w:rsidRDefault="00C374A2" w:rsidP="00617526">
            <w:pPr>
              <w:numPr>
                <w:ilvl w:val="0"/>
                <w:numId w:val="33"/>
              </w:numPr>
              <w:spacing w:line="276" w:lineRule="auto"/>
              <w:rPr>
                <w:rFonts w:ascii="Times New Roman" w:hAnsi="Times New Roman" w:cs="Times New Roman"/>
                <w:sz w:val="24"/>
                <w:szCs w:val="24"/>
              </w:rPr>
            </w:pPr>
            <w:r w:rsidRPr="00E958CE">
              <w:rPr>
                <w:rFonts w:ascii="Times New Roman" w:hAnsi="Times New Roman" w:cs="Times New Roman"/>
                <w:sz w:val="24"/>
                <w:szCs w:val="24"/>
              </w:rPr>
              <w:t xml:space="preserve">Erinevad viljelusmeetodid (nt otsekülv, ribasharimine) </w:t>
            </w:r>
          </w:p>
          <w:p w:rsidR="00C374A2" w:rsidRPr="00E958CE" w:rsidRDefault="00C374A2" w:rsidP="00617526">
            <w:pPr>
              <w:numPr>
                <w:ilvl w:val="0"/>
                <w:numId w:val="33"/>
              </w:numPr>
              <w:spacing w:line="276" w:lineRule="auto"/>
              <w:rPr>
                <w:rFonts w:ascii="Times New Roman" w:hAnsi="Times New Roman" w:cs="Times New Roman"/>
                <w:sz w:val="24"/>
                <w:szCs w:val="24"/>
              </w:rPr>
            </w:pPr>
            <w:r w:rsidRPr="00E958CE">
              <w:rPr>
                <w:rFonts w:ascii="Times New Roman" w:hAnsi="Times New Roman" w:cs="Times New Roman"/>
                <w:sz w:val="24"/>
                <w:szCs w:val="24"/>
              </w:rPr>
              <w:t>Pikaajaline dünaamika erinevate agrotehnoloogiliste võtete ja väetustasemete kasutamisel</w:t>
            </w:r>
          </w:p>
        </w:tc>
        <w:tc>
          <w:tcPr>
            <w:tcW w:w="594" w:type="dxa"/>
          </w:tcPr>
          <w:p w:rsidR="00C374A2" w:rsidRPr="00E958CE" w:rsidRDefault="00C374A2" w:rsidP="0050571B">
            <w:pPr>
              <w:spacing w:line="276"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594" w:type="dxa"/>
          </w:tcPr>
          <w:p w:rsidR="00C374A2" w:rsidRPr="00E958CE" w:rsidRDefault="00C374A2" w:rsidP="0050571B">
            <w:pPr>
              <w:spacing w:line="276"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594" w:type="dxa"/>
          </w:tcPr>
          <w:p w:rsidR="00C374A2" w:rsidRPr="00E958CE" w:rsidRDefault="00C374A2" w:rsidP="0050571B">
            <w:pPr>
              <w:spacing w:line="276"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594" w:type="dxa"/>
          </w:tcPr>
          <w:p w:rsidR="00C374A2" w:rsidRPr="00E958CE" w:rsidRDefault="00C374A2" w:rsidP="0050571B">
            <w:pPr>
              <w:spacing w:line="276"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594" w:type="dxa"/>
          </w:tcPr>
          <w:p w:rsidR="00C374A2" w:rsidRPr="00E958CE" w:rsidRDefault="00C374A2" w:rsidP="0050571B">
            <w:pPr>
              <w:spacing w:line="276"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594" w:type="dxa"/>
          </w:tcPr>
          <w:p w:rsidR="00C374A2" w:rsidRPr="00E958CE" w:rsidRDefault="00C374A2" w:rsidP="0050571B">
            <w:pPr>
              <w:spacing w:line="276"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594" w:type="dxa"/>
          </w:tcPr>
          <w:p w:rsidR="00C374A2" w:rsidRPr="00E958CE" w:rsidRDefault="00C374A2" w:rsidP="0050571B">
            <w:pPr>
              <w:spacing w:line="276" w:lineRule="auto"/>
              <w:jc w:val="center"/>
              <w:rPr>
                <w:rFonts w:ascii="Times New Roman" w:hAnsi="Times New Roman" w:cs="Times New Roman"/>
                <w:sz w:val="24"/>
                <w:szCs w:val="24"/>
              </w:rPr>
            </w:pPr>
            <w:r>
              <w:rPr>
                <w:rFonts w:ascii="Times New Roman" w:hAnsi="Times New Roman" w:cs="Times New Roman"/>
                <w:sz w:val="24"/>
                <w:szCs w:val="24"/>
              </w:rPr>
              <w:t>x</w:t>
            </w:r>
          </w:p>
        </w:tc>
      </w:tr>
      <w:tr w:rsidR="00C374A2" w:rsidRPr="00E958CE" w:rsidTr="00144D02">
        <w:trPr>
          <w:trHeight w:val="2595"/>
        </w:trPr>
        <w:tc>
          <w:tcPr>
            <w:tcW w:w="5657" w:type="dxa"/>
            <w:shd w:val="clear" w:color="auto" w:fill="FEBCBC" w:themeFill="accent1" w:themeFillTint="33"/>
          </w:tcPr>
          <w:p w:rsidR="00C374A2" w:rsidRPr="00E958CE" w:rsidRDefault="00C374A2" w:rsidP="00617526">
            <w:pPr>
              <w:spacing w:line="276" w:lineRule="auto"/>
              <w:rPr>
                <w:rFonts w:ascii="Times New Roman" w:hAnsi="Times New Roman" w:cs="Times New Roman"/>
                <w:b/>
                <w:sz w:val="24"/>
                <w:szCs w:val="24"/>
              </w:rPr>
            </w:pPr>
            <w:r w:rsidRPr="00E958CE">
              <w:rPr>
                <w:rFonts w:ascii="Times New Roman" w:hAnsi="Times New Roman" w:cs="Times New Roman"/>
                <w:b/>
                <w:sz w:val="24"/>
                <w:szCs w:val="24"/>
              </w:rPr>
              <w:t>Taimekaitse alased uuringud</w:t>
            </w:r>
          </w:p>
          <w:p w:rsidR="00C374A2" w:rsidRPr="00E958CE" w:rsidRDefault="00C374A2" w:rsidP="00617526">
            <w:pPr>
              <w:spacing w:line="276" w:lineRule="auto"/>
              <w:rPr>
                <w:rFonts w:ascii="Times New Roman" w:hAnsi="Times New Roman" w:cs="Times New Roman"/>
                <w:sz w:val="24"/>
                <w:szCs w:val="24"/>
              </w:rPr>
            </w:pPr>
            <w:r w:rsidRPr="00E958CE">
              <w:rPr>
                <w:rFonts w:ascii="Times New Roman" w:hAnsi="Times New Roman" w:cs="Times New Roman"/>
                <w:sz w:val="24"/>
                <w:szCs w:val="24"/>
              </w:rPr>
              <w:t>Näiteks:</w:t>
            </w:r>
          </w:p>
          <w:p w:rsidR="00C374A2" w:rsidRPr="00E958CE" w:rsidRDefault="00C374A2" w:rsidP="00617526">
            <w:pPr>
              <w:numPr>
                <w:ilvl w:val="0"/>
                <w:numId w:val="34"/>
              </w:numPr>
              <w:spacing w:line="276" w:lineRule="auto"/>
              <w:rPr>
                <w:rFonts w:ascii="Times New Roman" w:hAnsi="Times New Roman" w:cs="Times New Roman"/>
                <w:sz w:val="24"/>
                <w:szCs w:val="24"/>
              </w:rPr>
            </w:pPr>
            <w:r w:rsidRPr="00E958CE">
              <w:rPr>
                <w:rFonts w:ascii="Times New Roman" w:hAnsi="Times New Roman" w:cs="Times New Roman"/>
                <w:sz w:val="24"/>
                <w:szCs w:val="24"/>
              </w:rPr>
              <w:t>Taimekahjustajate levik ja pestitsiidiresistentsuse esinemine</w:t>
            </w:r>
          </w:p>
          <w:p w:rsidR="00C374A2" w:rsidRPr="00E958CE" w:rsidRDefault="00C374A2" w:rsidP="00617526">
            <w:pPr>
              <w:numPr>
                <w:ilvl w:val="0"/>
                <w:numId w:val="34"/>
              </w:numPr>
              <w:spacing w:line="276" w:lineRule="auto"/>
              <w:rPr>
                <w:rFonts w:ascii="Times New Roman" w:hAnsi="Times New Roman" w:cs="Times New Roman"/>
                <w:sz w:val="24"/>
                <w:szCs w:val="24"/>
              </w:rPr>
            </w:pPr>
            <w:r w:rsidRPr="00E958CE">
              <w:rPr>
                <w:rFonts w:ascii="Times New Roman" w:hAnsi="Times New Roman" w:cs="Times New Roman"/>
                <w:sz w:val="24"/>
                <w:szCs w:val="24"/>
              </w:rPr>
              <w:t>Taimekaitsevahendite optimaalne kasutamine ja jääkide seire</w:t>
            </w:r>
          </w:p>
          <w:p w:rsidR="00C374A2" w:rsidRPr="00E958CE" w:rsidRDefault="00C374A2" w:rsidP="00617526">
            <w:pPr>
              <w:numPr>
                <w:ilvl w:val="0"/>
                <w:numId w:val="34"/>
              </w:numPr>
              <w:spacing w:line="276" w:lineRule="auto"/>
              <w:rPr>
                <w:rFonts w:ascii="Times New Roman" w:hAnsi="Times New Roman" w:cs="Times New Roman"/>
                <w:sz w:val="24"/>
                <w:szCs w:val="24"/>
              </w:rPr>
            </w:pPr>
            <w:r w:rsidRPr="00E958CE">
              <w:rPr>
                <w:rFonts w:ascii="Times New Roman" w:hAnsi="Times New Roman" w:cs="Times New Roman"/>
                <w:sz w:val="24"/>
                <w:szCs w:val="24"/>
              </w:rPr>
              <w:t xml:space="preserve">Integreeritud taimekaitse (sh I-taimekaitse) efektiivsete võtete väljatöötamine ja kasutamine  </w:t>
            </w:r>
          </w:p>
        </w:tc>
        <w:tc>
          <w:tcPr>
            <w:tcW w:w="594" w:type="dxa"/>
            <w:shd w:val="clear" w:color="auto" w:fill="FEBCBC" w:themeFill="accent1" w:themeFillTint="33"/>
          </w:tcPr>
          <w:p w:rsidR="00C374A2" w:rsidRPr="00E958CE" w:rsidRDefault="00C374A2" w:rsidP="0050571B">
            <w:pPr>
              <w:spacing w:line="276"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594" w:type="dxa"/>
            <w:shd w:val="clear" w:color="auto" w:fill="FEBCBC" w:themeFill="accent1" w:themeFillTint="33"/>
          </w:tcPr>
          <w:p w:rsidR="00C374A2" w:rsidRPr="00E958CE" w:rsidRDefault="00C374A2" w:rsidP="0050571B">
            <w:pPr>
              <w:spacing w:line="276"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594" w:type="dxa"/>
            <w:shd w:val="clear" w:color="auto" w:fill="FEBCBC" w:themeFill="accent1" w:themeFillTint="33"/>
          </w:tcPr>
          <w:p w:rsidR="00C374A2" w:rsidRPr="00E958CE" w:rsidRDefault="00C374A2" w:rsidP="0050571B">
            <w:pPr>
              <w:spacing w:line="276"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594" w:type="dxa"/>
            <w:shd w:val="clear" w:color="auto" w:fill="FEBCBC" w:themeFill="accent1" w:themeFillTint="33"/>
          </w:tcPr>
          <w:p w:rsidR="00C374A2" w:rsidRPr="00E958CE" w:rsidRDefault="00C374A2" w:rsidP="0050571B">
            <w:pPr>
              <w:spacing w:line="276"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594" w:type="dxa"/>
            <w:shd w:val="clear" w:color="auto" w:fill="FEBCBC" w:themeFill="accent1" w:themeFillTint="33"/>
          </w:tcPr>
          <w:p w:rsidR="00C374A2" w:rsidRPr="00E958CE" w:rsidRDefault="00C374A2" w:rsidP="0050571B">
            <w:pPr>
              <w:spacing w:line="276"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594" w:type="dxa"/>
            <w:shd w:val="clear" w:color="auto" w:fill="FEBCBC" w:themeFill="accent1" w:themeFillTint="33"/>
          </w:tcPr>
          <w:p w:rsidR="00C374A2" w:rsidRPr="00E958CE" w:rsidRDefault="00C374A2" w:rsidP="0050571B">
            <w:pPr>
              <w:spacing w:line="276"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594" w:type="dxa"/>
            <w:shd w:val="clear" w:color="auto" w:fill="FEBCBC" w:themeFill="accent1" w:themeFillTint="33"/>
          </w:tcPr>
          <w:p w:rsidR="00C374A2" w:rsidRPr="00E958CE" w:rsidRDefault="00C374A2" w:rsidP="0050571B">
            <w:pPr>
              <w:spacing w:line="276" w:lineRule="auto"/>
              <w:jc w:val="center"/>
              <w:rPr>
                <w:rFonts w:ascii="Times New Roman" w:hAnsi="Times New Roman" w:cs="Times New Roman"/>
                <w:sz w:val="24"/>
                <w:szCs w:val="24"/>
              </w:rPr>
            </w:pPr>
            <w:r>
              <w:rPr>
                <w:rFonts w:ascii="Times New Roman" w:hAnsi="Times New Roman" w:cs="Times New Roman"/>
                <w:sz w:val="24"/>
                <w:szCs w:val="24"/>
              </w:rPr>
              <w:t>x</w:t>
            </w:r>
          </w:p>
        </w:tc>
      </w:tr>
      <w:tr w:rsidR="00C374A2" w:rsidRPr="00E958CE" w:rsidTr="001C77F4">
        <w:trPr>
          <w:trHeight w:val="317"/>
        </w:trPr>
        <w:tc>
          <w:tcPr>
            <w:tcW w:w="5657" w:type="dxa"/>
          </w:tcPr>
          <w:p w:rsidR="00C374A2" w:rsidRDefault="00C374A2" w:rsidP="00617526">
            <w:pPr>
              <w:spacing w:line="276" w:lineRule="auto"/>
              <w:rPr>
                <w:rFonts w:ascii="Times New Roman" w:hAnsi="Times New Roman" w:cs="Times New Roman"/>
                <w:b/>
                <w:sz w:val="24"/>
                <w:szCs w:val="24"/>
              </w:rPr>
            </w:pPr>
            <w:r w:rsidRPr="00E958CE">
              <w:rPr>
                <w:rFonts w:ascii="Times New Roman" w:hAnsi="Times New Roman" w:cs="Times New Roman"/>
                <w:b/>
                <w:sz w:val="24"/>
                <w:szCs w:val="24"/>
              </w:rPr>
              <w:t>Põllukultuuride kvaliteedi alased uuringud</w:t>
            </w:r>
          </w:p>
          <w:p w:rsidR="00C374A2" w:rsidRPr="00865B54" w:rsidRDefault="00C374A2" w:rsidP="00144D02">
            <w:pPr>
              <w:pStyle w:val="ListParagraph"/>
              <w:numPr>
                <w:ilvl w:val="0"/>
                <w:numId w:val="40"/>
              </w:numPr>
              <w:spacing w:line="276" w:lineRule="auto"/>
              <w:rPr>
                <w:rFonts w:ascii="Times New Roman" w:hAnsi="Times New Roman" w:cs="Times New Roman"/>
                <w:sz w:val="24"/>
                <w:szCs w:val="24"/>
              </w:rPr>
            </w:pPr>
            <w:r w:rsidRPr="00865B54">
              <w:rPr>
                <w:rFonts w:ascii="Times New Roman" w:hAnsi="Times New Roman" w:cs="Times New Roman"/>
                <w:sz w:val="24"/>
                <w:szCs w:val="24"/>
              </w:rPr>
              <w:t>Sobiliku kvaliteedi saavutamiseks vajalike võtete kompleksi väljatöötamine  teraviljale, rapsile ja alternatiivkultuuridele</w:t>
            </w:r>
          </w:p>
        </w:tc>
        <w:tc>
          <w:tcPr>
            <w:tcW w:w="594" w:type="dxa"/>
          </w:tcPr>
          <w:p w:rsidR="00C374A2" w:rsidRPr="00E958CE" w:rsidRDefault="00C374A2" w:rsidP="0050571B">
            <w:pPr>
              <w:spacing w:line="276"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594" w:type="dxa"/>
          </w:tcPr>
          <w:p w:rsidR="00C374A2" w:rsidRPr="00E958CE" w:rsidRDefault="00C374A2" w:rsidP="0050571B">
            <w:pPr>
              <w:spacing w:line="276"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594" w:type="dxa"/>
          </w:tcPr>
          <w:p w:rsidR="00C374A2" w:rsidRPr="00E958CE" w:rsidRDefault="00C374A2" w:rsidP="0050571B">
            <w:pPr>
              <w:spacing w:line="276"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594" w:type="dxa"/>
          </w:tcPr>
          <w:p w:rsidR="00C374A2" w:rsidRPr="00E958CE" w:rsidRDefault="00C374A2" w:rsidP="0050571B">
            <w:pPr>
              <w:spacing w:line="276"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594" w:type="dxa"/>
          </w:tcPr>
          <w:p w:rsidR="00C374A2" w:rsidRPr="00E958CE" w:rsidRDefault="00C374A2" w:rsidP="0050571B">
            <w:pPr>
              <w:spacing w:line="276"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594" w:type="dxa"/>
          </w:tcPr>
          <w:p w:rsidR="00C374A2" w:rsidRPr="00E958CE" w:rsidRDefault="00C374A2" w:rsidP="0050571B">
            <w:pPr>
              <w:spacing w:line="276"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594" w:type="dxa"/>
          </w:tcPr>
          <w:p w:rsidR="00C374A2" w:rsidRPr="00E958CE" w:rsidRDefault="00C374A2" w:rsidP="0050571B">
            <w:pPr>
              <w:spacing w:line="276" w:lineRule="auto"/>
              <w:jc w:val="center"/>
              <w:rPr>
                <w:rFonts w:ascii="Times New Roman" w:hAnsi="Times New Roman" w:cs="Times New Roman"/>
                <w:sz w:val="24"/>
                <w:szCs w:val="24"/>
              </w:rPr>
            </w:pPr>
            <w:r>
              <w:rPr>
                <w:rFonts w:ascii="Times New Roman" w:hAnsi="Times New Roman" w:cs="Times New Roman"/>
                <w:sz w:val="24"/>
                <w:szCs w:val="24"/>
              </w:rPr>
              <w:t>x</w:t>
            </w:r>
          </w:p>
        </w:tc>
      </w:tr>
      <w:tr w:rsidR="00C374A2" w:rsidRPr="00E958CE" w:rsidTr="00144D02">
        <w:trPr>
          <w:trHeight w:val="671"/>
        </w:trPr>
        <w:tc>
          <w:tcPr>
            <w:tcW w:w="5657" w:type="dxa"/>
            <w:shd w:val="clear" w:color="auto" w:fill="FEBCBC" w:themeFill="accent1" w:themeFillTint="33"/>
          </w:tcPr>
          <w:p w:rsidR="00C374A2" w:rsidRPr="00E958CE" w:rsidRDefault="00C374A2" w:rsidP="00617526">
            <w:pPr>
              <w:spacing w:line="276" w:lineRule="auto"/>
              <w:rPr>
                <w:rFonts w:ascii="Times New Roman" w:hAnsi="Times New Roman" w:cs="Times New Roman"/>
                <w:b/>
                <w:sz w:val="24"/>
                <w:szCs w:val="24"/>
              </w:rPr>
            </w:pPr>
            <w:r w:rsidRPr="00E958CE">
              <w:rPr>
                <w:rFonts w:ascii="Times New Roman" w:hAnsi="Times New Roman" w:cs="Times New Roman"/>
                <w:b/>
                <w:sz w:val="24"/>
                <w:szCs w:val="24"/>
              </w:rPr>
              <w:t xml:space="preserve">Agrometeoroloogilised prognoosid ja kokkuvõtted / Kliimamuutuste mõju põllukultuuridele </w:t>
            </w:r>
          </w:p>
        </w:tc>
        <w:tc>
          <w:tcPr>
            <w:tcW w:w="594" w:type="dxa"/>
            <w:shd w:val="clear" w:color="auto" w:fill="FEBCBC" w:themeFill="accent1" w:themeFillTint="33"/>
          </w:tcPr>
          <w:p w:rsidR="00C374A2" w:rsidRPr="00E958CE" w:rsidRDefault="00C374A2" w:rsidP="0050571B">
            <w:pPr>
              <w:spacing w:line="276"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594" w:type="dxa"/>
            <w:shd w:val="clear" w:color="auto" w:fill="FEBCBC" w:themeFill="accent1" w:themeFillTint="33"/>
          </w:tcPr>
          <w:p w:rsidR="00C374A2" w:rsidRPr="00E958CE" w:rsidRDefault="00C374A2" w:rsidP="0050571B">
            <w:pPr>
              <w:spacing w:line="276"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594" w:type="dxa"/>
            <w:shd w:val="clear" w:color="auto" w:fill="FEBCBC" w:themeFill="accent1" w:themeFillTint="33"/>
          </w:tcPr>
          <w:p w:rsidR="00C374A2" w:rsidRPr="00E958CE" w:rsidRDefault="00C374A2" w:rsidP="0050571B">
            <w:pPr>
              <w:spacing w:line="276"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594" w:type="dxa"/>
            <w:shd w:val="clear" w:color="auto" w:fill="FEBCBC" w:themeFill="accent1" w:themeFillTint="33"/>
          </w:tcPr>
          <w:p w:rsidR="00C374A2" w:rsidRPr="00E958CE" w:rsidRDefault="00C374A2" w:rsidP="0050571B">
            <w:pPr>
              <w:spacing w:line="276"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594" w:type="dxa"/>
            <w:shd w:val="clear" w:color="auto" w:fill="FEBCBC" w:themeFill="accent1" w:themeFillTint="33"/>
          </w:tcPr>
          <w:p w:rsidR="00C374A2" w:rsidRPr="00E958CE" w:rsidRDefault="00C374A2" w:rsidP="0050571B">
            <w:pPr>
              <w:spacing w:line="276"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594" w:type="dxa"/>
            <w:shd w:val="clear" w:color="auto" w:fill="FEBCBC" w:themeFill="accent1" w:themeFillTint="33"/>
          </w:tcPr>
          <w:p w:rsidR="00C374A2" w:rsidRPr="00E958CE" w:rsidRDefault="00C374A2" w:rsidP="0050571B">
            <w:pPr>
              <w:spacing w:line="276"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594" w:type="dxa"/>
            <w:shd w:val="clear" w:color="auto" w:fill="FEBCBC" w:themeFill="accent1" w:themeFillTint="33"/>
          </w:tcPr>
          <w:p w:rsidR="00C374A2" w:rsidRPr="00E958CE" w:rsidRDefault="00C374A2" w:rsidP="0050571B">
            <w:pPr>
              <w:spacing w:line="276" w:lineRule="auto"/>
              <w:jc w:val="center"/>
              <w:rPr>
                <w:rFonts w:ascii="Times New Roman" w:hAnsi="Times New Roman" w:cs="Times New Roman"/>
                <w:sz w:val="24"/>
                <w:szCs w:val="24"/>
              </w:rPr>
            </w:pPr>
            <w:r>
              <w:rPr>
                <w:rFonts w:ascii="Times New Roman" w:hAnsi="Times New Roman" w:cs="Times New Roman"/>
                <w:sz w:val="24"/>
                <w:szCs w:val="24"/>
              </w:rPr>
              <w:t>x</w:t>
            </w:r>
          </w:p>
        </w:tc>
      </w:tr>
      <w:tr w:rsidR="00C374A2" w:rsidRPr="00E958CE" w:rsidTr="001C77F4">
        <w:trPr>
          <w:trHeight w:val="330"/>
        </w:trPr>
        <w:tc>
          <w:tcPr>
            <w:tcW w:w="5657" w:type="dxa"/>
          </w:tcPr>
          <w:p w:rsidR="00C374A2" w:rsidRPr="00E958CE" w:rsidRDefault="00C374A2" w:rsidP="00617526">
            <w:pPr>
              <w:spacing w:line="276" w:lineRule="auto"/>
              <w:rPr>
                <w:rFonts w:ascii="Times New Roman" w:hAnsi="Times New Roman" w:cs="Times New Roman"/>
                <w:b/>
                <w:sz w:val="24"/>
                <w:szCs w:val="24"/>
              </w:rPr>
            </w:pPr>
            <w:r w:rsidRPr="00E958CE">
              <w:rPr>
                <w:rFonts w:ascii="Times New Roman" w:hAnsi="Times New Roman" w:cs="Times New Roman"/>
                <w:b/>
                <w:sz w:val="24"/>
                <w:szCs w:val="24"/>
              </w:rPr>
              <w:t>Põllukultuuride sordivalik</w:t>
            </w:r>
          </w:p>
        </w:tc>
        <w:tc>
          <w:tcPr>
            <w:tcW w:w="594" w:type="dxa"/>
          </w:tcPr>
          <w:p w:rsidR="00C374A2" w:rsidRPr="00E958CE" w:rsidRDefault="00C374A2" w:rsidP="0050571B">
            <w:pPr>
              <w:spacing w:line="276"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594" w:type="dxa"/>
          </w:tcPr>
          <w:p w:rsidR="00C374A2" w:rsidRPr="00E958CE" w:rsidRDefault="00C374A2" w:rsidP="0050571B">
            <w:pPr>
              <w:spacing w:line="276"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594" w:type="dxa"/>
          </w:tcPr>
          <w:p w:rsidR="00C374A2" w:rsidRPr="00E958CE" w:rsidRDefault="00C374A2" w:rsidP="0050571B">
            <w:pPr>
              <w:spacing w:line="276"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594" w:type="dxa"/>
          </w:tcPr>
          <w:p w:rsidR="00C374A2" w:rsidRPr="00E958CE" w:rsidRDefault="00C374A2" w:rsidP="0050571B">
            <w:pPr>
              <w:spacing w:line="276"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594" w:type="dxa"/>
          </w:tcPr>
          <w:p w:rsidR="00C374A2" w:rsidRPr="00E958CE" w:rsidRDefault="00C374A2" w:rsidP="0050571B">
            <w:pPr>
              <w:spacing w:line="276"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594" w:type="dxa"/>
          </w:tcPr>
          <w:p w:rsidR="00C374A2" w:rsidRPr="00E958CE" w:rsidRDefault="00C374A2" w:rsidP="0050571B">
            <w:pPr>
              <w:spacing w:line="276"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594" w:type="dxa"/>
          </w:tcPr>
          <w:p w:rsidR="00C374A2" w:rsidRPr="00E958CE" w:rsidRDefault="00C374A2" w:rsidP="0050571B">
            <w:pPr>
              <w:spacing w:line="276" w:lineRule="auto"/>
              <w:jc w:val="center"/>
              <w:rPr>
                <w:rFonts w:ascii="Times New Roman" w:hAnsi="Times New Roman" w:cs="Times New Roman"/>
                <w:sz w:val="24"/>
                <w:szCs w:val="24"/>
              </w:rPr>
            </w:pPr>
            <w:r>
              <w:rPr>
                <w:rFonts w:ascii="Times New Roman" w:hAnsi="Times New Roman" w:cs="Times New Roman"/>
                <w:sz w:val="24"/>
                <w:szCs w:val="24"/>
              </w:rPr>
              <w:t>x</w:t>
            </w:r>
          </w:p>
        </w:tc>
      </w:tr>
    </w:tbl>
    <w:p w:rsidR="00945F74" w:rsidRPr="00E958CE" w:rsidRDefault="00945F74" w:rsidP="00617526">
      <w:pPr>
        <w:spacing w:line="276" w:lineRule="auto"/>
        <w:rPr>
          <w:rFonts w:ascii="Times New Roman" w:hAnsi="Times New Roman" w:cs="Times New Roman"/>
        </w:rPr>
      </w:pPr>
    </w:p>
    <w:p w:rsidR="00945F74" w:rsidRPr="00E958CE" w:rsidRDefault="00945F74" w:rsidP="00617526">
      <w:pPr>
        <w:spacing w:line="276" w:lineRule="auto"/>
        <w:rPr>
          <w:rFonts w:ascii="Times New Roman" w:hAnsi="Times New Roman" w:cs="Times New Roman"/>
        </w:rPr>
      </w:pPr>
      <w:r w:rsidRPr="00E958CE">
        <w:rPr>
          <w:rFonts w:ascii="Times New Roman" w:hAnsi="Times New Roman" w:cs="Times New Roman"/>
        </w:rPr>
        <w:br w:type="page"/>
      </w:r>
    </w:p>
    <w:p w:rsidR="008A6A4F" w:rsidRPr="00F347C6" w:rsidRDefault="000675D3" w:rsidP="003F452C">
      <w:pPr>
        <w:pStyle w:val="Heading1"/>
        <w:spacing w:line="276" w:lineRule="auto"/>
        <w:jc w:val="both"/>
        <w:rPr>
          <w:rFonts w:ascii="Times New Roman" w:hAnsi="Times New Roman" w:cs="Times New Roman"/>
          <w:b w:val="0"/>
          <w:sz w:val="24"/>
          <w:szCs w:val="24"/>
        </w:rPr>
      </w:pPr>
      <w:bookmarkStart w:id="898" w:name="_Toc381633611"/>
      <w:bookmarkStart w:id="899" w:name="_Toc381633756"/>
      <w:bookmarkStart w:id="900" w:name="_Toc384050924"/>
      <w:bookmarkStart w:id="901" w:name="_Toc384052628"/>
      <w:bookmarkStart w:id="902" w:name="_Toc384283971"/>
      <w:bookmarkStart w:id="903" w:name="_Toc384284082"/>
      <w:bookmarkStart w:id="904" w:name="_Toc384386275"/>
      <w:bookmarkStart w:id="905" w:name="_Toc384386487"/>
      <w:bookmarkStart w:id="906" w:name="_Toc384392353"/>
      <w:bookmarkStart w:id="907" w:name="_Toc385253784"/>
      <w:bookmarkStart w:id="908" w:name="_Toc385335156"/>
      <w:bookmarkStart w:id="909" w:name="_Toc389128822"/>
      <w:bookmarkStart w:id="910" w:name="_Toc389131369"/>
      <w:bookmarkStart w:id="911" w:name="_Toc389223904"/>
      <w:bookmarkStart w:id="912" w:name="_Toc389223966"/>
      <w:bookmarkStart w:id="913" w:name="_Toc391908898"/>
      <w:bookmarkStart w:id="914" w:name="_Toc391991832"/>
      <w:bookmarkStart w:id="915" w:name="_Toc397593052"/>
      <w:bookmarkStart w:id="916" w:name="_Toc398896347"/>
      <w:bookmarkStart w:id="917" w:name="_Toc398896487"/>
      <w:bookmarkStart w:id="918" w:name="_Toc400972859"/>
      <w:r>
        <w:rPr>
          <w:rFonts w:ascii="Times New Roman" w:hAnsi="Times New Roman" w:cs="Times New Roman"/>
          <w:sz w:val="24"/>
          <w:szCs w:val="24"/>
        </w:rPr>
        <w:lastRenderedPageBreak/>
        <w:t xml:space="preserve">Lisa </w:t>
      </w:r>
      <w:r w:rsidR="00EF56EE">
        <w:rPr>
          <w:rFonts w:ascii="Times New Roman" w:hAnsi="Times New Roman" w:cs="Times New Roman"/>
          <w:sz w:val="24"/>
          <w:szCs w:val="24"/>
        </w:rPr>
        <w:t>3</w:t>
      </w:r>
      <w:r w:rsidR="00C0772E" w:rsidRPr="00F347C6">
        <w:rPr>
          <w:rFonts w:ascii="Times New Roman" w:hAnsi="Times New Roman" w:cs="Times New Roman"/>
          <w:sz w:val="24"/>
          <w:szCs w:val="24"/>
        </w:rPr>
        <w:t xml:space="preserve">. </w:t>
      </w:r>
      <w:r w:rsidR="001B2600" w:rsidRPr="00F347C6">
        <w:rPr>
          <w:rFonts w:ascii="Times New Roman" w:hAnsi="Times New Roman" w:cs="Times New Roman"/>
          <w:sz w:val="24"/>
          <w:szCs w:val="24"/>
        </w:rPr>
        <w:t>Kavandatavate t</w:t>
      </w:r>
      <w:r w:rsidR="00C0772E" w:rsidRPr="00F347C6">
        <w:rPr>
          <w:rFonts w:ascii="Times New Roman" w:hAnsi="Times New Roman" w:cs="Times New Roman"/>
          <w:sz w:val="24"/>
          <w:szCs w:val="24"/>
        </w:rPr>
        <w:t>aimekasvatusalaste väljaannete nimekiri</w:t>
      </w:r>
      <w:r w:rsidR="008A6A4F" w:rsidRPr="00F347C6">
        <w:rPr>
          <w:rFonts w:ascii="Times New Roman" w:hAnsi="Times New Roman" w:cs="Times New Roman"/>
          <w:sz w:val="24"/>
          <w:szCs w:val="24"/>
          <w:vertAlign w:val="superscript"/>
        </w:rPr>
        <w:footnoteReference w:id="31"/>
      </w:r>
      <w:r w:rsidR="00625799" w:rsidRPr="00F347C6">
        <w:rPr>
          <w:rFonts w:ascii="Times New Roman" w:hAnsi="Times New Roman" w:cs="Times New Roman"/>
          <w:sz w:val="24"/>
          <w:szCs w:val="24"/>
        </w:rPr>
        <w:t xml:space="preserve"> aastatel 2014–</w:t>
      </w:r>
      <w:r w:rsidR="00C0772E" w:rsidRPr="00F347C6">
        <w:rPr>
          <w:rFonts w:ascii="Times New Roman" w:hAnsi="Times New Roman" w:cs="Times New Roman"/>
          <w:sz w:val="24"/>
          <w:szCs w:val="24"/>
        </w:rPr>
        <w:t>2020</w:t>
      </w:r>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p>
    <w:p w:rsidR="00947D8C" w:rsidRPr="00E958CE" w:rsidRDefault="00947D8C" w:rsidP="00617526">
      <w:pPr>
        <w:spacing w:line="276" w:lineRule="auto"/>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60"/>
        <w:gridCol w:w="579"/>
        <w:gridCol w:w="579"/>
        <w:gridCol w:w="579"/>
        <w:gridCol w:w="579"/>
        <w:gridCol w:w="579"/>
        <w:gridCol w:w="579"/>
        <w:gridCol w:w="579"/>
      </w:tblGrid>
      <w:tr w:rsidR="00947D8C" w:rsidRPr="00E958CE" w:rsidTr="001C77F4">
        <w:trPr>
          <w:cantSplit/>
          <w:trHeight w:val="709"/>
        </w:trPr>
        <w:tc>
          <w:tcPr>
            <w:tcW w:w="5760" w:type="dxa"/>
            <w:shd w:val="clear" w:color="auto" w:fill="AD0101" w:themeFill="accent1"/>
            <w:vAlign w:val="center"/>
          </w:tcPr>
          <w:p w:rsidR="00947D8C" w:rsidRPr="00E958CE" w:rsidRDefault="00947D8C" w:rsidP="00617526">
            <w:pPr>
              <w:spacing w:line="276" w:lineRule="auto"/>
              <w:contextualSpacing/>
              <w:jc w:val="center"/>
              <w:rPr>
                <w:rFonts w:ascii="Times New Roman" w:hAnsi="Times New Roman" w:cs="Times New Roman"/>
                <w:b/>
                <w:sz w:val="24"/>
                <w:szCs w:val="24"/>
              </w:rPr>
            </w:pPr>
            <w:r w:rsidRPr="00E958CE">
              <w:rPr>
                <w:rFonts w:ascii="Times New Roman" w:hAnsi="Times New Roman" w:cs="Times New Roman"/>
                <w:b/>
                <w:sz w:val="24"/>
                <w:szCs w:val="24"/>
              </w:rPr>
              <w:t>Väljaande nimetus</w:t>
            </w:r>
          </w:p>
        </w:tc>
        <w:tc>
          <w:tcPr>
            <w:tcW w:w="579" w:type="dxa"/>
            <w:shd w:val="clear" w:color="auto" w:fill="AD0101" w:themeFill="accent1"/>
            <w:textDirection w:val="btLr"/>
          </w:tcPr>
          <w:p w:rsidR="00947D8C" w:rsidRPr="00E958CE" w:rsidRDefault="00947D8C" w:rsidP="00617526">
            <w:pPr>
              <w:spacing w:line="276" w:lineRule="auto"/>
              <w:contextualSpacing/>
              <w:jc w:val="center"/>
              <w:rPr>
                <w:rFonts w:ascii="Times New Roman" w:hAnsi="Times New Roman" w:cs="Times New Roman"/>
                <w:b/>
                <w:sz w:val="24"/>
                <w:szCs w:val="24"/>
              </w:rPr>
            </w:pPr>
            <w:r w:rsidRPr="00E958CE">
              <w:rPr>
                <w:rFonts w:ascii="Times New Roman" w:hAnsi="Times New Roman" w:cs="Times New Roman"/>
                <w:b/>
                <w:sz w:val="24"/>
                <w:szCs w:val="24"/>
              </w:rPr>
              <w:t>2014</w:t>
            </w:r>
          </w:p>
        </w:tc>
        <w:tc>
          <w:tcPr>
            <w:tcW w:w="579" w:type="dxa"/>
            <w:shd w:val="clear" w:color="auto" w:fill="AD0101" w:themeFill="accent1"/>
            <w:textDirection w:val="btLr"/>
          </w:tcPr>
          <w:p w:rsidR="00947D8C" w:rsidRPr="00E958CE" w:rsidRDefault="00947D8C" w:rsidP="00617526">
            <w:pPr>
              <w:spacing w:line="276" w:lineRule="auto"/>
              <w:contextualSpacing/>
              <w:jc w:val="center"/>
              <w:rPr>
                <w:rFonts w:ascii="Times New Roman" w:hAnsi="Times New Roman" w:cs="Times New Roman"/>
                <w:b/>
                <w:sz w:val="24"/>
                <w:szCs w:val="24"/>
              </w:rPr>
            </w:pPr>
            <w:r w:rsidRPr="00E958CE">
              <w:rPr>
                <w:rFonts w:ascii="Times New Roman" w:hAnsi="Times New Roman" w:cs="Times New Roman"/>
                <w:b/>
                <w:sz w:val="24"/>
                <w:szCs w:val="24"/>
              </w:rPr>
              <w:t>2015</w:t>
            </w:r>
          </w:p>
        </w:tc>
        <w:tc>
          <w:tcPr>
            <w:tcW w:w="579" w:type="dxa"/>
            <w:shd w:val="clear" w:color="auto" w:fill="AD0101" w:themeFill="accent1"/>
            <w:textDirection w:val="btLr"/>
          </w:tcPr>
          <w:p w:rsidR="00947D8C" w:rsidRPr="00E958CE" w:rsidRDefault="00947D8C" w:rsidP="00617526">
            <w:pPr>
              <w:spacing w:line="276" w:lineRule="auto"/>
              <w:contextualSpacing/>
              <w:jc w:val="center"/>
              <w:rPr>
                <w:rFonts w:ascii="Times New Roman" w:hAnsi="Times New Roman" w:cs="Times New Roman"/>
                <w:b/>
                <w:sz w:val="24"/>
                <w:szCs w:val="24"/>
              </w:rPr>
            </w:pPr>
            <w:r w:rsidRPr="00E958CE">
              <w:rPr>
                <w:rFonts w:ascii="Times New Roman" w:hAnsi="Times New Roman" w:cs="Times New Roman"/>
                <w:b/>
                <w:sz w:val="24"/>
                <w:szCs w:val="24"/>
              </w:rPr>
              <w:t>2016</w:t>
            </w:r>
          </w:p>
        </w:tc>
        <w:tc>
          <w:tcPr>
            <w:tcW w:w="579" w:type="dxa"/>
            <w:shd w:val="clear" w:color="auto" w:fill="AD0101" w:themeFill="accent1"/>
            <w:textDirection w:val="btLr"/>
          </w:tcPr>
          <w:p w:rsidR="00947D8C" w:rsidRPr="00E958CE" w:rsidRDefault="00947D8C" w:rsidP="00617526">
            <w:pPr>
              <w:spacing w:line="276" w:lineRule="auto"/>
              <w:contextualSpacing/>
              <w:jc w:val="center"/>
              <w:rPr>
                <w:rFonts w:ascii="Times New Roman" w:hAnsi="Times New Roman" w:cs="Times New Roman"/>
                <w:b/>
                <w:sz w:val="24"/>
                <w:szCs w:val="24"/>
              </w:rPr>
            </w:pPr>
            <w:r w:rsidRPr="00E958CE">
              <w:rPr>
                <w:rFonts w:ascii="Times New Roman" w:hAnsi="Times New Roman" w:cs="Times New Roman"/>
                <w:b/>
                <w:sz w:val="24"/>
                <w:szCs w:val="24"/>
              </w:rPr>
              <w:t>2017</w:t>
            </w:r>
          </w:p>
        </w:tc>
        <w:tc>
          <w:tcPr>
            <w:tcW w:w="579" w:type="dxa"/>
            <w:shd w:val="clear" w:color="auto" w:fill="AD0101" w:themeFill="accent1"/>
            <w:textDirection w:val="btLr"/>
          </w:tcPr>
          <w:p w:rsidR="00947D8C" w:rsidRPr="00E958CE" w:rsidRDefault="00947D8C" w:rsidP="00617526">
            <w:pPr>
              <w:spacing w:line="276" w:lineRule="auto"/>
              <w:contextualSpacing/>
              <w:jc w:val="center"/>
              <w:rPr>
                <w:rFonts w:ascii="Times New Roman" w:hAnsi="Times New Roman" w:cs="Times New Roman"/>
                <w:b/>
                <w:sz w:val="24"/>
                <w:szCs w:val="24"/>
              </w:rPr>
            </w:pPr>
            <w:r w:rsidRPr="00E958CE">
              <w:rPr>
                <w:rFonts w:ascii="Times New Roman" w:hAnsi="Times New Roman" w:cs="Times New Roman"/>
                <w:b/>
                <w:sz w:val="24"/>
                <w:szCs w:val="24"/>
              </w:rPr>
              <w:t>2018</w:t>
            </w:r>
          </w:p>
        </w:tc>
        <w:tc>
          <w:tcPr>
            <w:tcW w:w="579" w:type="dxa"/>
            <w:shd w:val="clear" w:color="auto" w:fill="AD0101" w:themeFill="accent1"/>
            <w:textDirection w:val="btLr"/>
          </w:tcPr>
          <w:p w:rsidR="00947D8C" w:rsidRPr="00E958CE" w:rsidRDefault="00947D8C" w:rsidP="00617526">
            <w:pPr>
              <w:spacing w:line="276" w:lineRule="auto"/>
              <w:contextualSpacing/>
              <w:jc w:val="center"/>
              <w:rPr>
                <w:rFonts w:ascii="Times New Roman" w:hAnsi="Times New Roman" w:cs="Times New Roman"/>
                <w:b/>
                <w:sz w:val="24"/>
                <w:szCs w:val="24"/>
              </w:rPr>
            </w:pPr>
            <w:r w:rsidRPr="00E958CE">
              <w:rPr>
                <w:rFonts w:ascii="Times New Roman" w:hAnsi="Times New Roman" w:cs="Times New Roman"/>
                <w:b/>
                <w:sz w:val="24"/>
                <w:szCs w:val="24"/>
              </w:rPr>
              <w:t>2019</w:t>
            </w:r>
          </w:p>
        </w:tc>
        <w:tc>
          <w:tcPr>
            <w:tcW w:w="579" w:type="dxa"/>
            <w:shd w:val="clear" w:color="auto" w:fill="AD0101" w:themeFill="accent1"/>
            <w:textDirection w:val="btLr"/>
          </w:tcPr>
          <w:p w:rsidR="00947D8C" w:rsidRPr="00E958CE" w:rsidRDefault="00947D8C" w:rsidP="00617526">
            <w:pPr>
              <w:spacing w:line="276" w:lineRule="auto"/>
              <w:contextualSpacing/>
              <w:jc w:val="center"/>
              <w:rPr>
                <w:rFonts w:ascii="Times New Roman" w:hAnsi="Times New Roman" w:cs="Times New Roman"/>
                <w:b/>
                <w:sz w:val="24"/>
                <w:szCs w:val="24"/>
              </w:rPr>
            </w:pPr>
            <w:r w:rsidRPr="00E958CE">
              <w:rPr>
                <w:rFonts w:ascii="Times New Roman" w:hAnsi="Times New Roman" w:cs="Times New Roman"/>
                <w:b/>
                <w:sz w:val="24"/>
                <w:szCs w:val="24"/>
              </w:rPr>
              <w:t>2020</w:t>
            </w:r>
          </w:p>
        </w:tc>
      </w:tr>
      <w:tr w:rsidR="00947D8C" w:rsidRPr="00E958CE" w:rsidTr="00405233">
        <w:trPr>
          <w:trHeight w:val="632"/>
        </w:trPr>
        <w:tc>
          <w:tcPr>
            <w:tcW w:w="5760" w:type="dxa"/>
          </w:tcPr>
          <w:p w:rsidR="00947D8C" w:rsidRPr="004B1F2C" w:rsidRDefault="00947D8C" w:rsidP="00617526">
            <w:pPr>
              <w:spacing w:before="120" w:line="276" w:lineRule="auto"/>
              <w:contextualSpacing/>
              <w:jc w:val="both"/>
              <w:rPr>
                <w:rFonts w:ascii="Times New Roman" w:hAnsi="Times New Roman" w:cs="Times New Roman"/>
                <w:sz w:val="24"/>
                <w:szCs w:val="24"/>
              </w:rPr>
            </w:pPr>
            <w:r w:rsidRPr="004B1F2C">
              <w:rPr>
                <w:rFonts w:ascii="Times New Roman" w:hAnsi="Times New Roman" w:cs="Times New Roman"/>
                <w:sz w:val="24"/>
                <w:szCs w:val="24"/>
              </w:rPr>
              <w:t xml:space="preserve">„Enim kasvatatavate põllukultuuride kasvufaasid ning erinevate taimekahjustajate </w:t>
            </w:r>
            <w:proofErr w:type="spellStart"/>
            <w:r w:rsidRPr="004B1F2C">
              <w:rPr>
                <w:rFonts w:ascii="Times New Roman" w:hAnsi="Times New Roman" w:cs="Times New Roman"/>
                <w:sz w:val="24"/>
                <w:szCs w:val="24"/>
              </w:rPr>
              <w:t>kahjustusaeg</w:t>
            </w:r>
            <w:r w:rsidR="004B1F2C" w:rsidRPr="004B1F2C">
              <w:rPr>
                <w:rFonts w:ascii="Times New Roman" w:hAnsi="Times New Roman" w:cs="Times New Roman"/>
                <w:bCs/>
                <w:sz w:val="24"/>
                <w:szCs w:val="24"/>
              </w:rPr>
              <w:t>ˮ</w:t>
            </w:r>
            <w:proofErr w:type="spellEnd"/>
          </w:p>
        </w:tc>
        <w:tc>
          <w:tcPr>
            <w:tcW w:w="579" w:type="dxa"/>
          </w:tcPr>
          <w:p w:rsidR="00947D8C" w:rsidRPr="00E958CE" w:rsidRDefault="00947D8C" w:rsidP="00617526">
            <w:pPr>
              <w:spacing w:line="276" w:lineRule="auto"/>
              <w:contextualSpacing/>
              <w:rPr>
                <w:rFonts w:ascii="Times New Roman" w:hAnsi="Times New Roman" w:cs="Times New Roman"/>
                <w:sz w:val="24"/>
                <w:szCs w:val="24"/>
              </w:rPr>
            </w:pPr>
          </w:p>
        </w:tc>
        <w:tc>
          <w:tcPr>
            <w:tcW w:w="579" w:type="dxa"/>
            <w:vAlign w:val="center"/>
          </w:tcPr>
          <w:p w:rsidR="00947D8C" w:rsidRPr="00E958CE" w:rsidRDefault="00F55662" w:rsidP="00617526">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79" w:type="dxa"/>
            <w:vAlign w:val="center"/>
          </w:tcPr>
          <w:p w:rsidR="00947D8C" w:rsidRPr="00E958CE" w:rsidRDefault="00947D8C" w:rsidP="00617526">
            <w:pPr>
              <w:spacing w:line="276" w:lineRule="auto"/>
              <w:contextualSpacing/>
              <w:jc w:val="center"/>
              <w:rPr>
                <w:rFonts w:ascii="Times New Roman" w:hAnsi="Times New Roman" w:cs="Times New Roman"/>
                <w:sz w:val="24"/>
                <w:szCs w:val="24"/>
              </w:rPr>
            </w:pPr>
          </w:p>
        </w:tc>
        <w:tc>
          <w:tcPr>
            <w:tcW w:w="579" w:type="dxa"/>
            <w:vAlign w:val="center"/>
          </w:tcPr>
          <w:p w:rsidR="00947D8C" w:rsidRPr="00E958CE" w:rsidRDefault="00947D8C" w:rsidP="00617526">
            <w:pPr>
              <w:spacing w:line="276" w:lineRule="auto"/>
              <w:contextualSpacing/>
              <w:jc w:val="center"/>
              <w:rPr>
                <w:rFonts w:ascii="Times New Roman" w:hAnsi="Times New Roman" w:cs="Times New Roman"/>
                <w:sz w:val="24"/>
                <w:szCs w:val="24"/>
              </w:rPr>
            </w:pPr>
          </w:p>
        </w:tc>
        <w:tc>
          <w:tcPr>
            <w:tcW w:w="579" w:type="dxa"/>
            <w:vAlign w:val="center"/>
          </w:tcPr>
          <w:p w:rsidR="00947D8C" w:rsidRPr="00E958CE" w:rsidRDefault="00947D8C" w:rsidP="00617526">
            <w:pPr>
              <w:spacing w:line="276" w:lineRule="auto"/>
              <w:contextualSpacing/>
              <w:jc w:val="center"/>
              <w:rPr>
                <w:rFonts w:ascii="Times New Roman" w:hAnsi="Times New Roman" w:cs="Times New Roman"/>
                <w:sz w:val="24"/>
                <w:szCs w:val="24"/>
              </w:rPr>
            </w:pPr>
          </w:p>
        </w:tc>
        <w:tc>
          <w:tcPr>
            <w:tcW w:w="579" w:type="dxa"/>
            <w:vAlign w:val="center"/>
          </w:tcPr>
          <w:p w:rsidR="00947D8C" w:rsidRPr="00E958CE" w:rsidRDefault="00947D8C" w:rsidP="00617526">
            <w:pPr>
              <w:spacing w:line="276" w:lineRule="auto"/>
              <w:contextualSpacing/>
              <w:jc w:val="center"/>
              <w:rPr>
                <w:rFonts w:ascii="Times New Roman" w:hAnsi="Times New Roman" w:cs="Times New Roman"/>
                <w:sz w:val="24"/>
                <w:szCs w:val="24"/>
              </w:rPr>
            </w:pPr>
          </w:p>
        </w:tc>
        <w:tc>
          <w:tcPr>
            <w:tcW w:w="579" w:type="dxa"/>
            <w:vAlign w:val="center"/>
          </w:tcPr>
          <w:p w:rsidR="00947D8C" w:rsidRPr="00E958CE" w:rsidRDefault="00947D8C" w:rsidP="00617526">
            <w:pPr>
              <w:spacing w:line="276" w:lineRule="auto"/>
              <w:contextualSpacing/>
              <w:jc w:val="center"/>
              <w:rPr>
                <w:rFonts w:ascii="Times New Roman" w:hAnsi="Times New Roman" w:cs="Times New Roman"/>
                <w:sz w:val="24"/>
                <w:szCs w:val="24"/>
              </w:rPr>
            </w:pPr>
          </w:p>
        </w:tc>
      </w:tr>
      <w:tr w:rsidR="00947D8C" w:rsidRPr="00E958CE" w:rsidTr="00DD0EE0">
        <w:trPr>
          <w:trHeight w:val="448"/>
        </w:trPr>
        <w:tc>
          <w:tcPr>
            <w:tcW w:w="5760" w:type="dxa"/>
            <w:shd w:val="clear" w:color="auto" w:fill="FEBCBC" w:themeFill="accent1" w:themeFillTint="33"/>
          </w:tcPr>
          <w:p w:rsidR="00947D8C" w:rsidRPr="004B1F2C" w:rsidRDefault="00DD0EE0" w:rsidP="00617526">
            <w:pPr>
              <w:spacing w:before="120" w:line="276" w:lineRule="auto"/>
              <w:contextualSpacing/>
              <w:jc w:val="both"/>
              <w:rPr>
                <w:rFonts w:ascii="Times New Roman" w:hAnsi="Times New Roman" w:cs="Times New Roman"/>
                <w:sz w:val="24"/>
                <w:szCs w:val="24"/>
              </w:rPr>
            </w:pPr>
            <w:r w:rsidRPr="004B1F2C">
              <w:rPr>
                <w:rFonts w:ascii="Times New Roman" w:hAnsi="Times New Roman" w:cs="Times New Roman"/>
                <w:sz w:val="24"/>
                <w:szCs w:val="24"/>
              </w:rPr>
              <w:t>„Eesti teravili“ (inglise keeles)</w:t>
            </w:r>
          </w:p>
        </w:tc>
        <w:tc>
          <w:tcPr>
            <w:tcW w:w="579" w:type="dxa"/>
            <w:shd w:val="clear" w:color="auto" w:fill="FEBCBC" w:themeFill="accent1" w:themeFillTint="33"/>
          </w:tcPr>
          <w:p w:rsidR="00947D8C" w:rsidRPr="00E958CE" w:rsidRDefault="00947D8C" w:rsidP="00617526">
            <w:pPr>
              <w:spacing w:line="276" w:lineRule="auto"/>
              <w:contextualSpacing/>
              <w:rPr>
                <w:rFonts w:ascii="Times New Roman" w:hAnsi="Times New Roman" w:cs="Times New Roman"/>
                <w:sz w:val="24"/>
                <w:szCs w:val="24"/>
              </w:rPr>
            </w:pPr>
          </w:p>
        </w:tc>
        <w:tc>
          <w:tcPr>
            <w:tcW w:w="579" w:type="dxa"/>
            <w:shd w:val="clear" w:color="auto" w:fill="FEBCBC" w:themeFill="accent1" w:themeFillTint="33"/>
            <w:vAlign w:val="center"/>
          </w:tcPr>
          <w:p w:rsidR="00947D8C" w:rsidRPr="00E958CE" w:rsidRDefault="00084224" w:rsidP="00617526">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79" w:type="dxa"/>
            <w:shd w:val="clear" w:color="auto" w:fill="FEBCBC" w:themeFill="accent1" w:themeFillTint="33"/>
            <w:vAlign w:val="center"/>
          </w:tcPr>
          <w:p w:rsidR="00947D8C" w:rsidRPr="00E958CE" w:rsidRDefault="00947D8C" w:rsidP="00617526">
            <w:pPr>
              <w:spacing w:line="276" w:lineRule="auto"/>
              <w:contextualSpacing/>
              <w:jc w:val="center"/>
              <w:rPr>
                <w:rFonts w:ascii="Times New Roman" w:hAnsi="Times New Roman" w:cs="Times New Roman"/>
                <w:sz w:val="24"/>
                <w:szCs w:val="24"/>
              </w:rPr>
            </w:pPr>
          </w:p>
        </w:tc>
        <w:tc>
          <w:tcPr>
            <w:tcW w:w="579" w:type="dxa"/>
            <w:shd w:val="clear" w:color="auto" w:fill="FEBCBC" w:themeFill="accent1" w:themeFillTint="33"/>
            <w:vAlign w:val="center"/>
          </w:tcPr>
          <w:p w:rsidR="00947D8C" w:rsidRPr="00E958CE" w:rsidRDefault="00947D8C" w:rsidP="00617526">
            <w:pPr>
              <w:spacing w:line="276" w:lineRule="auto"/>
              <w:contextualSpacing/>
              <w:jc w:val="center"/>
              <w:rPr>
                <w:rFonts w:ascii="Times New Roman" w:hAnsi="Times New Roman" w:cs="Times New Roman"/>
                <w:sz w:val="24"/>
                <w:szCs w:val="24"/>
              </w:rPr>
            </w:pPr>
          </w:p>
        </w:tc>
        <w:tc>
          <w:tcPr>
            <w:tcW w:w="579" w:type="dxa"/>
            <w:shd w:val="clear" w:color="auto" w:fill="FEBCBC" w:themeFill="accent1" w:themeFillTint="33"/>
            <w:vAlign w:val="center"/>
          </w:tcPr>
          <w:p w:rsidR="00947D8C" w:rsidRPr="00E958CE" w:rsidRDefault="00947D8C" w:rsidP="00617526">
            <w:pPr>
              <w:spacing w:line="276" w:lineRule="auto"/>
              <w:contextualSpacing/>
              <w:jc w:val="center"/>
              <w:rPr>
                <w:rFonts w:ascii="Times New Roman" w:hAnsi="Times New Roman" w:cs="Times New Roman"/>
                <w:sz w:val="24"/>
                <w:szCs w:val="24"/>
              </w:rPr>
            </w:pPr>
          </w:p>
        </w:tc>
        <w:tc>
          <w:tcPr>
            <w:tcW w:w="579" w:type="dxa"/>
            <w:shd w:val="clear" w:color="auto" w:fill="FEBCBC" w:themeFill="accent1" w:themeFillTint="33"/>
            <w:vAlign w:val="center"/>
          </w:tcPr>
          <w:p w:rsidR="00947D8C" w:rsidRPr="00E958CE" w:rsidRDefault="00947D8C" w:rsidP="00617526">
            <w:pPr>
              <w:spacing w:line="276" w:lineRule="auto"/>
              <w:contextualSpacing/>
              <w:jc w:val="center"/>
              <w:rPr>
                <w:rFonts w:ascii="Times New Roman" w:hAnsi="Times New Roman" w:cs="Times New Roman"/>
                <w:sz w:val="24"/>
                <w:szCs w:val="24"/>
              </w:rPr>
            </w:pPr>
          </w:p>
        </w:tc>
        <w:tc>
          <w:tcPr>
            <w:tcW w:w="579" w:type="dxa"/>
            <w:shd w:val="clear" w:color="auto" w:fill="FEBCBC" w:themeFill="accent1" w:themeFillTint="33"/>
            <w:vAlign w:val="center"/>
          </w:tcPr>
          <w:p w:rsidR="00947D8C" w:rsidRPr="00E958CE" w:rsidRDefault="00947D8C" w:rsidP="00617526">
            <w:pPr>
              <w:spacing w:line="276" w:lineRule="auto"/>
              <w:contextualSpacing/>
              <w:jc w:val="center"/>
              <w:rPr>
                <w:rFonts w:ascii="Times New Roman" w:hAnsi="Times New Roman" w:cs="Times New Roman"/>
                <w:sz w:val="24"/>
                <w:szCs w:val="24"/>
              </w:rPr>
            </w:pPr>
          </w:p>
        </w:tc>
      </w:tr>
      <w:tr w:rsidR="00947D8C" w:rsidRPr="00E958CE" w:rsidTr="00DD0EE0">
        <w:trPr>
          <w:trHeight w:val="411"/>
        </w:trPr>
        <w:tc>
          <w:tcPr>
            <w:tcW w:w="5760" w:type="dxa"/>
          </w:tcPr>
          <w:p w:rsidR="00947D8C" w:rsidRPr="004B1F2C" w:rsidRDefault="00947D8C" w:rsidP="00617526">
            <w:pPr>
              <w:spacing w:before="120" w:line="276" w:lineRule="auto"/>
              <w:contextualSpacing/>
              <w:jc w:val="both"/>
              <w:rPr>
                <w:rFonts w:ascii="Times New Roman" w:hAnsi="Times New Roman" w:cs="Times New Roman"/>
                <w:sz w:val="24"/>
                <w:szCs w:val="24"/>
              </w:rPr>
            </w:pPr>
            <w:r w:rsidRPr="004B1F2C">
              <w:rPr>
                <w:rFonts w:ascii="Times New Roman" w:hAnsi="Times New Roman" w:cs="Times New Roman"/>
                <w:sz w:val="24"/>
                <w:szCs w:val="24"/>
              </w:rPr>
              <w:t xml:space="preserve">„Teravilja ja rapsi kvaliteeti mõjutavad tegurid </w:t>
            </w:r>
            <w:proofErr w:type="spellStart"/>
            <w:r w:rsidRPr="004B1F2C">
              <w:rPr>
                <w:rFonts w:ascii="Times New Roman" w:hAnsi="Times New Roman" w:cs="Times New Roman"/>
                <w:sz w:val="24"/>
                <w:szCs w:val="24"/>
              </w:rPr>
              <w:t>Eestis</w:t>
            </w:r>
            <w:r w:rsidR="004B1F2C" w:rsidRPr="004B1F2C">
              <w:rPr>
                <w:rFonts w:ascii="Times New Roman" w:hAnsi="Times New Roman" w:cs="Times New Roman"/>
                <w:bCs/>
                <w:sz w:val="24"/>
                <w:szCs w:val="24"/>
              </w:rPr>
              <w:t>ˮ</w:t>
            </w:r>
            <w:proofErr w:type="spellEnd"/>
          </w:p>
        </w:tc>
        <w:tc>
          <w:tcPr>
            <w:tcW w:w="579" w:type="dxa"/>
          </w:tcPr>
          <w:p w:rsidR="00947D8C" w:rsidRPr="00E958CE" w:rsidRDefault="00947D8C" w:rsidP="00617526">
            <w:pPr>
              <w:spacing w:line="276" w:lineRule="auto"/>
              <w:contextualSpacing/>
              <w:rPr>
                <w:rFonts w:ascii="Times New Roman" w:hAnsi="Times New Roman" w:cs="Times New Roman"/>
                <w:sz w:val="24"/>
                <w:szCs w:val="24"/>
              </w:rPr>
            </w:pPr>
          </w:p>
        </w:tc>
        <w:tc>
          <w:tcPr>
            <w:tcW w:w="579" w:type="dxa"/>
            <w:vAlign w:val="center"/>
          </w:tcPr>
          <w:p w:rsidR="00947D8C" w:rsidRPr="00E958CE" w:rsidRDefault="00DD0EE0" w:rsidP="00617526">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x</w:t>
            </w:r>
          </w:p>
        </w:tc>
        <w:tc>
          <w:tcPr>
            <w:tcW w:w="579" w:type="dxa"/>
            <w:vAlign w:val="center"/>
          </w:tcPr>
          <w:p w:rsidR="00947D8C" w:rsidRPr="00E958CE" w:rsidRDefault="00947D8C" w:rsidP="00617526">
            <w:pPr>
              <w:spacing w:line="276" w:lineRule="auto"/>
              <w:contextualSpacing/>
              <w:jc w:val="center"/>
              <w:rPr>
                <w:rFonts w:ascii="Times New Roman" w:hAnsi="Times New Roman" w:cs="Times New Roman"/>
                <w:sz w:val="24"/>
                <w:szCs w:val="24"/>
              </w:rPr>
            </w:pPr>
          </w:p>
        </w:tc>
        <w:tc>
          <w:tcPr>
            <w:tcW w:w="579" w:type="dxa"/>
            <w:vAlign w:val="center"/>
          </w:tcPr>
          <w:p w:rsidR="00947D8C" w:rsidRPr="00E958CE" w:rsidRDefault="00947D8C" w:rsidP="00617526">
            <w:pPr>
              <w:spacing w:line="276" w:lineRule="auto"/>
              <w:contextualSpacing/>
              <w:jc w:val="center"/>
              <w:rPr>
                <w:rFonts w:ascii="Times New Roman" w:hAnsi="Times New Roman" w:cs="Times New Roman"/>
                <w:sz w:val="24"/>
                <w:szCs w:val="24"/>
              </w:rPr>
            </w:pPr>
          </w:p>
        </w:tc>
        <w:tc>
          <w:tcPr>
            <w:tcW w:w="579" w:type="dxa"/>
            <w:vAlign w:val="center"/>
          </w:tcPr>
          <w:p w:rsidR="00947D8C" w:rsidRPr="00E958CE" w:rsidRDefault="00947D8C" w:rsidP="00617526">
            <w:pPr>
              <w:spacing w:line="276" w:lineRule="auto"/>
              <w:contextualSpacing/>
              <w:jc w:val="center"/>
              <w:rPr>
                <w:rFonts w:ascii="Times New Roman" w:hAnsi="Times New Roman" w:cs="Times New Roman"/>
                <w:sz w:val="24"/>
                <w:szCs w:val="24"/>
              </w:rPr>
            </w:pPr>
          </w:p>
        </w:tc>
        <w:tc>
          <w:tcPr>
            <w:tcW w:w="579" w:type="dxa"/>
            <w:vAlign w:val="center"/>
          </w:tcPr>
          <w:p w:rsidR="00947D8C" w:rsidRPr="00E958CE" w:rsidRDefault="00947D8C" w:rsidP="00617526">
            <w:pPr>
              <w:spacing w:line="276" w:lineRule="auto"/>
              <w:contextualSpacing/>
              <w:jc w:val="center"/>
              <w:rPr>
                <w:rFonts w:ascii="Times New Roman" w:hAnsi="Times New Roman" w:cs="Times New Roman"/>
                <w:sz w:val="24"/>
                <w:szCs w:val="24"/>
              </w:rPr>
            </w:pPr>
          </w:p>
        </w:tc>
        <w:tc>
          <w:tcPr>
            <w:tcW w:w="579" w:type="dxa"/>
            <w:vAlign w:val="center"/>
          </w:tcPr>
          <w:p w:rsidR="00947D8C" w:rsidRPr="00E958CE" w:rsidRDefault="00947D8C" w:rsidP="00617526">
            <w:pPr>
              <w:spacing w:line="276" w:lineRule="auto"/>
              <w:contextualSpacing/>
              <w:jc w:val="center"/>
              <w:rPr>
                <w:rFonts w:ascii="Times New Roman" w:hAnsi="Times New Roman" w:cs="Times New Roman"/>
                <w:sz w:val="24"/>
                <w:szCs w:val="24"/>
              </w:rPr>
            </w:pPr>
          </w:p>
        </w:tc>
      </w:tr>
      <w:tr w:rsidR="00947D8C" w:rsidRPr="00E958CE" w:rsidTr="00405233">
        <w:trPr>
          <w:trHeight w:val="316"/>
        </w:trPr>
        <w:tc>
          <w:tcPr>
            <w:tcW w:w="5760" w:type="dxa"/>
          </w:tcPr>
          <w:p w:rsidR="00947D8C" w:rsidRPr="004B1F2C" w:rsidRDefault="00947D8C" w:rsidP="00617526">
            <w:pPr>
              <w:spacing w:before="120" w:line="276" w:lineRule="auto"/>
              <w:contextualSpacing/>
              <w:jc w:val="both"/>
              <w:rPr>
                <w:rFonts w:ascii="Times New Roman" w:hAnsi="Times New Roman" w:cs="Times New Roman"/>
                <w:sz w:val="24"/>
                <w:szCs w:val="24"/>
              </w:rPr>
            </w:pPr>
            <w:r w:rsidRPr="004B1F2C">
              <w:rPr>
                <w:rFonts w:ascii="Times New Roman" w:hAnsi="Times New Roman" w:cs="Times New Roman"/>
                <w:sz w:val="24"/>
                <w:szCs w:val="24"/>
              </w:rPr>
              <w:t xml:space="preserve">„Eesti põllumajanduslike muldade </w:t>
            </w:r>
            <w:proofErr w:type="spellStart"/>
            <w:r w:rsidRPr="004B1F2C">
              <w:rPr>
                <w:rFonts w:ascii="Times New Roman" w:hAnsi="Times New Roman" w:cs="Times New Roman"/>
                <w:sz w:val="24"/>
                <w:szCs w:val="24"/>
              </w:rPr>
              <w:t>mikrobioloogia</w:t>
            </w:r>
            <w:r w:rsidR="004B1F2C" w:rsidRPr="004B1F2C">
              <w:rPr>
                <w:rFonts w:ascii="Times New Roman" w:hAnsi="Times New Roman" w:cs="Times New Roman"/>
                <w:bCs/>
                <w:sz w:val="24"/>
                <w:szCs w:val="24"/>
              </w:rPr>
              <w:t>ˮ</w:t>
            </w:r>
            <w:proofErr w:type="spellEnd"/>
          </w:p>
        </w:tc>
        <w:tc>
          <w:tcPr>
            <w:tcW w:w="579" w:type="dxa"/>
          </w:tcPr>
          <w:p w:rsidR="00947D8C" w:rsidRPr="00E958CE" w:rsidRDefault="00947D8C" w:rsidP="00617526">
            <w:pPr>
              <w:spacing w:line="276" w:lineRule="auto"/>
              <w:contextualSpacing/>
              <w:rPr>
                <w:rFonts w:ascii="Times New Roman" w:hAnsi="Times New Roman" w:cs="Times New Roman"/>
                <w:sz w:val="24"/>
                <w:szCs w:val="24"/>
              </w:rPr>
            </w:pPr>
          </w:p>
        </w:tc>
        <w:tc>
          <w:tcPr>
            <w:tcW w:w="579" w:type="dxa"/>
            <w:vAlign w:val="center"/>
          </w:tcPr>
          <w:p w:rsidR="00947D8C" w:rsidRPr="00E958CE" w:rsidRDefault="00947D8C" w:rsidP="00617526">
            <w:pPr>
              <w:spacing w:line="276" w:lineRule="auto"/>
              <w:contextualSpacing/>
              <w:jc w:val="center"/>
              <w:rPr>
                <w:rFonts w:ascii="Times New Roman" w:hAnsi="Times New Roman" w:cs="Times New Roman"/>
                <w:sz w:val="24"/>
                <w:szCs w:val="24"/>
              </w:rPr>
            </w:pPr>
          </w:p>
        </w:tc>
        <w:tc>
          <w:tcPr>
            <w:tcW w:w="579" w:type="dxa"/>
            <w:vAlign w:val="center"/>
          </w:tcPr>
          <w:p w:rsidR="00947D8C" w:rsidRPr="00E958CE" w:rsidRDefault="00084224" w:rsidP="00617526">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79" w:type="dxa"/>
            <w:vAlign w:val="center"/>
          </w:tcPr>
          <w:p w:rsidR="00947D8C" w:rsidRPr="00E958CE" w:rsidRDefault="00947D8C" w:rsidP="00617526">
            <w:pPr>
              <w:spacing w:line="276" w:lineRule="auto"/>
              <w:contextualSpacing/>
              <w:jc w:val="center"/>
              <w:rPr>
                <w:rFonts w:ascii="Times New Roman" w:hAnsi="Times New Roman" w:cs="Times New Roman"/>
                <w:sz w:val="24"/>
                <w:szCs w:val="24"/>
              </w:rPr>
            </w:pPr>
          </w:p>
        </w:tc>
        <w:tc>
          <w:tcPr>
            <w:tcW w:w="579" w:type="dxa"/>
            <w:vAlign w:val="center"/>
          </w:tcPr>
          <w:p w:rsidR="00947D8C" w:rsidRPr="00E958CE" w:rsidRDefault="00947D8C" w:rsidP="00617526">
            <w:pPr>
              <w:spacing w:line="276" w:lineRule="auto"/>
              <w:contextualSpacing/>
              <w:jc w:val="center"/>
              <w:rPr>
                <w:rFonts w:ascii="Times New Roman" w:hAnsi="Times New Roman" w:cs="Times New Roman"/>
                <w:sz w:val="24"/>
                <w:szCs w:val="24"/>
              </w:rPr>
            </w:pPr>
          </w:p>
        </w:tc>
        <w:tc>
          <w:tcPr>
            <w:tcW w:w="579" w:type="dxa"/>
            <w:vAlign w:val="center"/>
          </w:tcPr>
          <w:p w:rsidR="00947D8C" w:rsidRPr="00E958CE" w:rsidRDefault="00947D8C" w:rsidP="00617526">
            <w:pPr>
              <w:spacing w:line="276" w:lineRule="auto"/>
              <w:contextualSpacing/>
              <w:jc w:val="center"/>
              <w:rPr>
                <w:rFonts w:ascii="Times New Roman" w:hAnsi="Times New Roman" w:cs="Times New Roman"/>
                <w:sz w:val="24"/>
                <w:szCs w:val="24"/>
              </w:rPr>
            </w:pPr>
          </w:p>
        </w:tc>
        <w:tc>
          <w:tcPr>
            <w:tcW w:w="579" w:type="dxa"/>
            <w:vAlign w:val="center"/>
          </w:tcPr>
          <w:p w:rsidR="00947D8C" w:rsidRPr="00E958CE" w:rsidRDefault="00947D8C" w:rsidP="00617526">
            <w:pPr>
              <w:spacing w:line="276" w:lineRule="auto"/>
              <w:contextualSpacing/>
              <w:jc w:val="center"/>
              <w:rPr>
                <w:rFonts w:ascii="Times New Roman" w:hAnsi="Times New Roman" w:cs="Times New Roman"/>
                <w:sz w:val="24"/>
                <w:szCs w:val="24"/>
              </w:rPr>
            </w:pPr>
          </w:p>
        </w:tc>
      </w:tr>
      <w:tr w:rsidR="00947D8C" w:rsidRPr="00E958CE" w:rsidTr="00405233">
        <w:trPr>
          <w:trHeight w:val="316"/>
        </w:trPr>
        <w:tc>
          <w:tcPr>
            <w:tcW w:w="5760" w:type="dxa"/>
            <w:shd w:val="clear" w:color="auto" w:fill="FEBCBC" w:themeFill="accent1" w:themeFillTint="33"/>
          </w:tcPr>
          <w:p w:rsidR="00947D8C" w:rsidRPr="004B1F2C" w:rsidRDefault="00947D8C" w:rsidP="00617526">
            <w:pPr>
              <w:spacing w:before="120" w:line="276" w:lineRule="auto"/>
              <w:contextualSpacing/>
              <w:jc w:val="both"/>
              <w:rPr>
                <w:rFonts w:ascii="Times New Roman" w:hAnsi="Times New Roman" w:cs="Times New Roman"/>
                <w:sz w:val="24"/>
                <w:szCs w:val="24"/>
              </w:rPr>
            </w:pPr>
            <w:r w:rsidRPr="004B1F2C">
              <w:rPr>
                <w:rFonts w:ascii="Times New Roman" w:hAnsi="Times New Roman" w:cs="Times New Roman"/>
                <w:sz w:val="24"/>
                <w:szCs w:val="24"/>
              </w:rPr>
              <w:t xml:space="preserve">„Taimekaitseseadmete ohutu </w:t>
            </w:r>
            <w:proofErr w:type="spellStart"/>
            <w:r w:rsidRPr="004B1F2C">
              <w:rPr>
                <w:rFonts w:ascii="Times New Roman" w:hAnsi="Times New Roman" w:cs="Times New Roman"/>
                <w:sz w:val="24"/>
                <w:szCs w:val="24"/>
              </w:rPr>
              <w:t>kasutamine</w:t>
            </w:r>
            <w:r w:rsidR="004B1F2C" w:rsidRPr="004B1F2C">
              <w:rPr>
                <w:rFonts w:ascii="Times New Roman" w:hAnsi="Times New Roman" w:cs="Times New Roman"/>
                <w:bCs/>
                <w:sz w:val="24"/>
                <w:szCs w:val="24"/>
              </w:rPr>
              <w:t>ˮ</w:t>
            </w:r>
            <w:proofErr w:type="spellEnd"/>
          </w:p>
        </w:tc>
        <w:tc>
          <w:tcPr>
            <w:tcW w:w="579" w:type="dxa"/>
            <w:shd w:val="clear" w:color="auto" w:fill="FEBCBC" w:themeFill="accent1" w:themeFillTint="33"/>
          </w:tcPr>
          <w:p w:rsidR="00947D8C" w:rsidRPr="00E958CE" w:rsidRDefault="00947D8C" w:rsidP="00617526">
            <w:pPr>
              <w:spacing w:line="276" w:lineRule="auto"/>
              <w:contextualSpacing/>
              <w:rPr>
                <w:rFonts w:ascii="Times New Roman" w:hAnsi="Times New Roman" w:cs="Times New Roman"/>
                <w:sz w:val="24"/>
                <w:szCs w:val="24"/>
              </w:rPr>
            </w:pPr>
          </w:p>
        </w:tc>
        <w:tc>
          <w:tcPr>
            <w:tcW w:w="579" w:type="dxa"/>
            <w:shd w:val="clear" w:color="auto" w:fill="FEBCBC" w:themeFill="accent1" w:themeFillTint="33"/>
            <w:vAlign w:val="center"/>
          </w:tcPr>
          <w:p w:rsidR="00947D8C" w:rsidRPr="00E958CE" w:rsidRDefault="00084224" w:rsidP="00617526">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79" w:type="dxa"/>
            <w:shd w:val="clear" w:color="auto" w:fill="FEBCBC" w:themeFill="accent1" w:themeFillTint="33"/>
            <w:vAlign w:val="center"/>
          </w:tcPr>
          <w:p w:rsidR="00947D8C" w:rsidRPr="00E958CE" w:rsidRDefault="00947D8C" w:rsidP="00617526">
            <w:pPr>
              <w:spacing w:line="276" w:lineRule="auto"/>
              <w:contextualSpacing/>
              <w:jc w:val="center"/>
              <w:rPr>
                <w:rFonts w:ascii="Times New Roman" w:hAnsi="Times New Roman" w:cs="Times New Roman"/>
                <w:sz w:val="24"/>
                <w:szCs w:val="24"/>
              </w:rPr>
            </w:pPr>
          </w:p>
        </w:tc>
        <w:tc>
          <w:tcPr>
            <w:tcW w:w="579" w:type="dxa"/>
            <w:shd w:val="clear" w:color="auto" w:fill="FEBCBC" w:themeFill="accent1" w:themeFillTint="33"/>
            <w:vAlign w:val="center"/>
          </w:tcPr>
          <w:p w:rsidR="00947D8C" w:rsidRPr="00E958CE" w:rsidRDefault="00947D8C" w:rsidP="00617526">
            <w:pPr>
              <w:spacing w:line="276" w:lineRule="auto"/>
              <w:contextualSpacing/>
              <w:jc w:val="center"/>
              <w:rPr>
                <w:rFonts w:ascii="Times New Roman" w:hAnsi="Times New Roman" w:cs="Times New Roman"/>
                <w:sz w:val="24"/>
                <w:szCs w:val="24"/>
              </w:rPr>
            </w:pPr>
          </w:p>
        </w:tc>
        <w:tc>
          <w:tcPr>
            <w:tcW w:w="579" w:type="dxa"/>
            <w:shd w:val="clear" w:color="auto" w:fill="FEBCBC" w:themeFill="accent1" w:themeFillTint="33"/>
            <w:vAlign w:val="center"/>
          </w:tcPr>
          <w:p w:rsidR="00947D8C" w:rsidRPr="00E958CE" w:rsidRDefault="00947D8C" w:rsidP="00617526">
            <w:pPr>
              <w:spacing w:line="276" w:lineRule="auto"/>
              <w:contextualSpacing/>
              <w:jc w:val="center"/>
              <w:rPr>
                <w:rFonts w:ascii="Times New Roman" w:hAnsi="Times New Roman" w:cs="Times New Roman"/>
                <w:sz w:val="24"/>
                <w:szCs w:val="24"/>
              </w:rPr>
            </w:pPr>
          </w:p>
        </w:tc>
        <w:tc>
          <w:tcPr>
            <w:tcW w:w="579" w:type="dxa"/>
            <w:shd w:val="clear" w:color="auto" w:fill="FEBCBC" w:themeFill="accent1" w:themeFillTint="33"/>
            <w:vAlign w:val="center"/>
          </w:tcPr>
          <w:p w:rsidR="00947D8C" w:rsidRPr="00E958CE" w:rsidRDefault="00947D8C" w:rsidP="00617526">
            <w:pPr>
              <w:spacing w:line="276" w:lineRule="auto"/>
              <w:contextualSpacing/>
              <w:jc w:val="center"/>
              <w:rPr>
                <w:rFonts w:ascii="Times New Roman" w:hAnsi="Times New Roman" w:cs="Times New Roman"/>
                <w:sz w:val="24"/>
                <w:szCs w:val="24"/>
              </w:rPr>
            </w:pPr>
          </w:p>
        </w:tc>
        <w:tc>
          <w:tcPr>
            <w:tcW w:w="579" w:type="dxa"/>
            <w:shd w:val="clear" w:color="auto" w:fill="FEBCBC" w:themeFill="accent1" w:themeFillTint="33"/>
            <w:vAlign w:val="center"/>
          </w:tcPr>
          <w:p w:rsidR="00947D8C" w:rsidRPr="00E958CE" w:rsidRDefault="00947D8C" w:rsidP="00617526">
            <w:pPr>
              <w:spacing w:line="276" w:lineRule="auto"/>
              <w:contextualSpacing/>
              <w:jc w:val="center"/>
              <w:rPr>
                <w:rFonts w:ascii="Times New Roman" w:hAnsi="Times New Roman" w:cs="Times New Roman"/>
                <w:sz w:val="24"/>
                <w:szCs w:val="24"/>
              </w:rPr>
            </w:pPr>
          </w:p>
        </w:tc>
      </w:tr>
      <w:tr w:rsidR="00947D8C" w:rsidRPr="00E958CE" w:rsidTr="00405233">
        <w:trPr>
          <w:trHeight w:val="329"/>
        </w:trPr>
        <w:tc>
          <w:tcPr>
            <w:tcW w:w="5760" w:type="dxa"/>
          </w:tcPr>
          <w:p w:rsidR="00947D8C" w:rsidRPr="004B1F2C" w:rsidRDefault="00947D8C" w:rsidP="00617526">
            <w:pPr>
              <w:spacing w:before="120" w:line="276" w:lineRule="auto"/>
              <w:contextualSpacing/>
              <w:jc w:val="both"/>
              <w:rPr>
                <w:rFonts w:ascii="Times New Roman" w:hAnsi="Times New Roman" w:cs="Times New Roman"/>
                <w:sz w:val="24"/>
                <w:szCs w:val="24"/>
              </w:rPr>
            </w:pPr>
            <w:r w:rsidRPr="004B1F2C">
              <w:rPr>
                <w:rFonts w:ascii="Times New Roman" w:hAnsi="Times New Roman" w:cs="Times New Roman"/>
                <w:sz w:val="24"/>
                <w:szCs w:val="24"/>
              </w:rPr>
              <w:t xml:space="preserve">„Erinevad mullaharimisviisid ja </w:t>
            </w:r>
            <w:proofErr w:type="spellStart"/>
            <w:r w:rsidRPr="004B1F2C">
              <w:rPr>
                <w:rFonts w:ascii="Times New Roman" w:hAnsi="Times New Roman" w:cs="Times New Roman"/>
                <w:sz w:val="24"/>
                <w:szCs w:val="24"/>
              </w:rPr>
              <w:t>otsekülv</w:t>
            </w:r>
            <w:r w:rsidR="004B1F2C" w:rsidRPr="004B1F2C">
              <w:rPr>
                <w:rFonts w:ascii="Times New Roman" w:hAnsi="Times New Roman" w:cs="Times New Roman"/>
                <w:bCs/>
                <w:sz w:val="24"/>
                <w:szCs w:val="24"/>
              </w:rPr>
              <w:t>ˮ</w:t>
            </w:r>
            <w:proofErr w:type="spellEnd"/>
          </w:p>
        </w:tc>
        <w:tc>
          <w:tcPr>
            <w:tcW w:w="579" w:type="dxa"/>
          </w:tcPr>
          <w:p w:rsidR="00947D8C" w:rsidRPr="00E958CE" w:rsidRDefault="00947D8C" w:rsidP="00617526">
            <w:pPr>
              <w:spacing w:line="276" w:lineRule="auto"/>
              <w:contextualSpacing/>
              <w:rPr>
                <w:rFonts w:ascii="Times New Roman" w:hAnsi="Times New Roman" w:cs="Times New Roman"/>
                <w:sz w:val="24"/>
                <w:szCs w:val="24"/>
              </w:rPr>
            </w:pPr>
          </w:p>
        </w:tc>
        <w:tc>
          <w:tcPr>
            <w:tcW w:w="579" w:type="dxa"/>
            <w:vAlign w:val="center"/>
          </w:tcPr>
          <w:p w:rsidR="00947D8C" w:rsidRPr="00E958CE" w:rsidRDefault="00947D8C" w:rsidP="00617526">
            <w:pPr>
              <w:spacing w:line="276" w:lineRule="auto"/>
              <w:contextualSpacing/>
              <w:jc w:val="center"/>
              <w:rPr>
                <w:rFonts w:ascii="Times New Roman" w:hAnsi="Times New Roman" w:cs="Times New Roman"/>
                <w:sz w:val="24"/>
                <w:szCs w:val="24"/>
              </w:rPr>
            </w:pPr>
          </w:p>
        </w:tc>
        <w:tc>
          <w:tcPr>
            <w:tcW w:w="579" w:type="dxa"/>
            <w:vAlign w:val="center"/>
          </w:tcPr>
          <w:p w:rsidR="00947D8C" w:rsidRPr="00E958CE" w:rsidRDefault="00947D8C" w:rsidP="00617526">
            <w:pPr>
              <w:spacing w:line="276" w:lineRule="auto"/>
              <w:contextualSpacing/>
              <w:jc w:val="center"/>
              <w:rPr>
                <w:rFonts w:ascii="Times New Roman" w:hAnsi="Times New Roman" w:cs="Times New Roman"/>
                <w:sz w:val="24"/>
                <w:szCs w:val="24"/>
              </w:rPr>
            </w:pPr>
          </w:p>
        </w:tc>
        <w:tc>
          <w:tcPr>
            <w:tcW w:w="579" w:type="dxa"/>
            <w:vAlign w:val="center"/>
          </w:tcPr>
          <w:p w:rsidR="00947D8C" w:rsidRPr="00E958CE" w:rsidRDefault="00084224" w:rsidP="00617526">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79" w:type="dxa"/>
            <w:vAlign w:val="center"/>
          </w:tcPr>
          <w:p w:rsidR="00947D8C" w:rsidRPr="00E958CE" w:rsidRDefault="00947D8C" w:rsidP="00617526">
            <w:pPr>
              <w:spacing w:line="276" w:lineRule="auto"/>
              <w:contextualSpacing/>
              <w:jc w:val="center"/>
              <w:rPr>
                <w:rFonts w:ascii="Times New Roman" w:hAnsi="Times New Roman" w:cs="Times New Roman"/>
                <w:sz w:val="24"/>
                <w:szCs w:val="24"/>
              </w:rPr>
            </w:pPr>
          </w:p>
        </w:tc>
        <w:tc>
          <w:tcPr>
            <w:tcW w:w="579" w:type="dxa"/>
            <w:vAlign w:val="center"/>
          </w:tcPr>
          <w:p w:rsidR="00947D8C" w:rsidRPr="00E958CE" w:rsidRDefault="00947D8C" w:rsidP="00617526">
            <w:pPr>
              <w:spacing w:line="276" w:lineRule="auto"/>
              <w:contextualSpacing/>
              <w:jc w:val="center"/>
              <w:rPr>
                <w:rFonts w:ascii="Times New Roman" w:hAnsi="Times New Roman" w:cs="Times New Roman"/>
                <w:sz w:val="24"/>
                <w:szCs w:val="24"/>
              </w:rPr>
            </w:pPr>
          </w:p>
        </w:tc>
        <w:tc>
          <w:tcPr>
            <w:tcW w:w="579" w:type="dxa"/>
            <w:vAlign w:val="center"/>
          </w:tcPr>
          <w:p w:rsidR="00947D8C" w:rsidRPr="00E958CE" w:rsidRDefault="00947D8C" w:rsidP="00617526">
            <w:pPr>
              <w:spacing w:line="276" w:lineRule="auto"/>
              <w:contextualSpacing/>
              <w:jc w:val="center"/>
              <w:rPr>
                <w:rFonts w:ascii="Times New Roman" w:hAnsi="Times New Roman" w:cs="Times New Roman"/>
                <w:sz w:val="24"/>
                <w:szCs w:val="24"/>
              </w:rPr>
            </w:pPr>
          </w:p>
        </w:tc>
      </w:tr>
      <w:tr w:rsidR="00947D8C" w:rsidRPr="00E958CE" w:rsidTr="00405233">
        <w:trPr>
          <w:trHeight w:val="316"/>
        </w:trPr>
        <w:tc>
          <w:tcPr>
            <w:tcW w:w="5760" w:type="dxa"/>
            <w:shd w:val="clear" w:color="auto" w:fill="FEBCBC" w:themeFill="accent1" w:themeFillTint="33"/>
          </w:tcPr>
          <w:p w:rsidR="00947D8C" w:rsidRPr="004B1F2C" w:rsidRDefault="00947D8C" w:rsidP="00617526">
            <w:pPr>
              <w:spacing w:before="120" w:line="276" w:lineRule="auto"/>
              <w:contextualSpacing/>
              <w:jc w:val="both"/>
              <w:rPr>
                <w:rFonts w:ascii="Times New Roman" w:hAnsi="Times New Roman" w:cs="Times New Roman"/>
                <w:sz w:val="24"/>
                <w:szCs w:val="24"/>
              </w:rPr>
            </w:pPr>
            <w:r w:rsidRPr="004B1F2C">
              <w:rPr>
                <w:rFonts w:ascii="Times New Roman" w:hAnsi="Times New Roman" w:cs="Times New Roman"/>
                <w:sz w:val="24"/>
                <w:szCs w:val="24"/>
              </w:rPr>
              <w:t xml:space="preserve">ETKI teadustööde kogumik „Teaduselt </w:t>
            </w:r>
            <w:proofErr w:type="spellStart"/>
            <w:r w:rsidRPr="004B1F2C">
              <w:rPr>
                <w:rFonts w:ascii="Times New Roman" w:hAnsi="Times New Roman" w:cs="Times New Roman"/>
                <w:sz w:val="24"/>
                <w:szCs w:val="24"/>
              </w:rPr>
              <w:t>tootmisele</w:t>
            </w:r>
            <w:r w:rsidR="004B1F2C" w:rsidRPr="004B1F2C">
              <w:rPr>
                <w:rFonts w:ascii="Times New Roman" w:hAnsi="Times New Roman" w:cs="Times New Roman"/>
                <w:bCs/>
                <w:sz w:val="24"/>
                <w:szCs w:val="24"/>
              </w:rPr>
              <w:t>ˮ</w:t>
            </w:r>
            <w:proofErr w:type="spellEnd"/>
          </w:p>
        </w:tc>
        <w:tc>
          <w:tcPr>
            <w:tcW w:w="579" w:type="dxa"/>
            <w:shd w:val="clear" w:color="auto" w:fill="FEBCBC" w:themeFill="accent1" w:themeFillTint="33"/>
          </w:tcPr>
          <w:p w:rsidR="00947D8C" w:rsidRPr="00E958CE" w:rsidRDefault="00947D8C" w:rsidP="00617526">
            <w:pPr>
              <w:spacing w:line="276" w:lineRule="auto"/>
              <w:contextualSpacing/>
              <w:rPr>
                <w:rFonts w:ascii="Times New Roman" w:hAnsi="Times New Roman" w:cs="Times New Roman"/>
                <w:sz w:val="24"/>
                <w:szCs w:val="24"/>
              </w:rPr>
            </w:pPr>
          </w:p>
        </w:tc>
        <w:tc>
          <w:tcPr>
            <w:tcW w:w="579" w:type="dxa"/>
            <w:shd w:val="clear" w:color="auto" w:fill="FEBCBC" w:themeFill="accent1" w:themeFillTint="33"/>
            <w:vAlign w:val="center"/>
          </w:tcPr>
          <w:p w:rsidR="00947D8C" w:rsidRPr="00E958CE" w:rsidRDefault="00947D8C" w:rsidP="00617526">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79" w:type="dxa"/>
            <w:shd w:val="clear" w:color="auto" w:fill="FEBCBC" w:themeFill="accent1" w:themeFillTint="33"/>
            <w:vAlign w:val="center"/>
          </w:tcPr>
          <w:p w:rsidR="00947D8C" w:rsidRPr="00E958CE" w:rsidRDefault="00947D8C" w:rsidP="00617526">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79" w:type="dxa"/>
            <w:shd w:val="clear" w:color="auto" w:fill="FEBCBC" w:themeFill="accent1" w:themeFillTint="33"/>
            <w:vAlign w:val="center"/>
          </w:tcPr>
          <w:p w:rsidR="00947D8C" w:rsidRPr="00E958CE" w:rsidRDefault="00947D8C" w:rsidP="00617526">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79" w:type="dxa"/>
            <w:shd w:val="clear" w:color="auto" w:fill="FEBCBC" w:themeFill="accent1" w:themeFillTint="33"/>
            <w:vAlign w:val="center"/>
          </w:tcPr>
          <w:p w:rsidR="00947D8C" w:rsidRPr="00E958CE" w:rsidRDefault="00947D8C" w:rsidP="00617526">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79" w:type="dxa"/>
            <w:shd w:val="clear" w:color="auto" w:fill="FEBCBC" w:themeFill="accent1" w:themeFillTint="33"/>
            <w:vAlign w:val="center"/>
          </w:tcPr>
          <w:p w:rsidR="00947D8C" w:rsidRPr="00E958CE" w:rsidRDefault="00947D8C" w:rsidP="00617526">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79" w:type="dxa"/>
            <w:shd w:val="clear" w:color="auto" w:fill="FEBCBC" w:themeFill="accent1" w:themeFillTint="33"/>
            <w:vAlign w:val="center"/>
          </w:tcPr>
          <w:p w:rsidR="00947D8C" w:rsidRPr="00E958CE" w:rsidRDefault="00947D8C" w:rsidP="00617526">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r>
      <w:tr w:rsidR="00947D8C" w:rsidRPr="00E958CE" w:rsidTr="00405233">
        <w:trPr>
          <w:trHeight w:val="329"/>
        </w:trPr>
        <w:tc>
          <w:tcPr>
            <w:tcW w:w="5760" w:type="dxa"/>
          </w:tcPr>
          <w:p w:rsidR="00947D8C" w:rsidRPr="004B1F2C" w:rsidRDefault="00947D8C" w:rsidP="00617526">
            <w:pPr>
              <w:spacing w:before="120" w:line="276" w:lineRule="auto"/>
              <w:contextualSpacing/>
              <w:jc w:val="both"/>
              <w:rPr>
                <w:rFonts w:ascii="Times New Roman" w:hAnsi="Times New Roman" w:cs="Times New Roman"/>
                <w:sz w:val="24"/>
                <w:szCs w:val="24"/>
              </w:rPr>
            </w:pPr>
            <w:r w:rsidRPr="004B1F2C">
              <w:rPr>
                <w:rFonts w:ascii="Times New Roman" w:hAnsi="Times New Roman" w:cs="Times New Roman"/>
                <w:sz w:val="24"/>
                <w:szCs w:val="24"/>
              </w:rPr>
              <w:t xml:space="preserve">Kogumik „Sordilehe sortide </w:t>
            </w:r>
            <w:proofErr w:type="spellStart"/>
            <w:r w:rsidRPr="004B1F2C">
              <w:rPr>
                <w:rFonts w:ascii="Times New Roman" w:hAnsi="Times New Roman" w:cs="Times New Roman"/>
                <w:sz w:val="24"/>
                <w:szCs w:val="24"/>
              </w:rPr>
              <w:t>omadused</w:t>
            </w:r>
            <w:r w:rsidR="004B1F2C" w:rsidRPr="004B1F2C">
              <w:rPr>
                <w:rFonts w:ascii="Times New Roman" w:hAnsi="Times New Roman" w:cs="Times New Roman"/>
                <w:bCs/>
                <w:sz w:val="24"/>
                <w:szCs w:val="24"/>
              </w:rPr>
              <w:t>ˮ</w:t>
            </w:r>
            <w:proofErr w:type="spellEnd"/>
          </w:p>
        </w:tc>
        <w:tc>
          <w:tcPr>
            <w:tcW w:w="579" w:type="dxa"/>
          </w:tcPr>
          <w:p w:rsidR="00947D8C" w:rsidRPr="00E958CE" w:rsidRDefault="00947D8C" w:rsidP="00617526">
            <w:pPr>
              <w:spacing w:line="276" w:lineRule="auto"/>
              <w:contextualSpacing/>
              <w:rPr>
                <w:rFonts w:ascii="Times New Roman" w:hAnsi="Times New Roman" w:cs="Times New Roman"/>
                <w:sz w:val="24"/>
                <w:szCs w:val="24"/>
              </w:rPr>
            </w:pPr>
          </w:p>
        </w:tc>
        <w:tc>
          <w:tcPr>
            <w:tcW w:w="579" w:type="dxa"/>
            <w:vAlign w:val="center"/>
          </w:tcPr>
          <w:p w:rsidR="00947D8C" w:rsidRPr="00E958CE" w:rsidRDefault="00947D8C" w:rsidP="00617526">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79" w:type="dxa"/>
            <w:vAlign w:val="center"/>
          </w:tcPr>
          <w:p w:rsidR="00947D8C" w:rsidRPr="00E958CE" w:rsidRDefault="00947D8C" w:rsidP="00617526">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79" w:type="dxa"/>
            <w:vAlign w:val="center"/>
          </w:tcPr>
          <w:p w:rsidR="00947D8C" w:rsidRPr="00E958CE" w:rsidRDefault="00947D8C" w:rsidP="00617526">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79" w:type="dxa"/>
            <w:vAlign w:val="center"/>
          </w:tcPr>
          <w:p w:rsidR="00947D8C" w:rsidRPr="00E958CE" w:rsidRDefault="00947D8C" w:rsidP="00617526">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79" w:type="dxa"/>
            <w:vAlign w:val="center"/>
          </w:tcPr>
          <w:p w:rsidR="00947D8C" w:rsidRPr="00E958CE" w:rsidRDefault="00947D8C" w:rsidP="00617526">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79" w:type="dxa"/>
            <w:vAlign w:val="center"/>
          </w:tcPr>
          <w:p w:rsidR="00947D8C" w:rsidRPr="00E958CE" w:rsidRDefault="00947D8C" w:rsidP="00617526">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r>
    </w:tbl>
    <w:p w:rsidR="00556DB0" w:rsidRDefault="00556DB0" w:rsidP="00617526">
      <w:pPr>
        <w:spacing w:line="276" w:lineRule="auto"/>
        <w:rPr>
          <w:rFonts w:ascii="Times New Roman" w:hAnsi="Times New Roman" w:cs="Times New Roman"/>
          <w:b/>
        </w:rPr>
      </w:pPr>
    </w:p>
    <w:p w:rsidR="00556DB0" w:rsidRDefault="00556DB0" w:rsidP="00617526">
      <w:pPr>
        <w:spacing w:line="276" w:lineRule="auto"/>
        <w:rPr>
          <w:rFonts w:ascii="Times New Roman" w:hAnsi="Times New Roman" w:cs="Times New Roman"/>
          <w:b/>
        </w:rPr>
      </w:pPr>
    </w:p>
    <w:p w:rsidR="00556DB0" w:rsidRDefault="00556DB0" w:rsidP="00617526">
      <w:pPr>
        <w:spacing w:line="276" w:lineRule="auto"/>
        <w:rPr>
          <w:rFonts w:ascii="Times New Roman" w:hAnsi="Times New Roman" w:cs="Times New Roman"/>
          <w:sz w:val="24"/>
          <w:szCs w:val="24"/>
        </w:rPr>
      </w:pPr>
    </w:p>
    <w:p w:rsidR="00556DB0" w:rsidRDefault="00556DB0" w:rsidP="00617526">
      <w:pPr>
        <w:spacing w:line="276" w:lineRule="auto"/>
        <w:rPr>
          <w:rFonts w:ascii="Times New Roman" w:hAnsi="Times New Roman" w:cs="Times New Roman"/>
          <w:sz w:val="24"/>
          <w:szCs w:val="24"/>
        </w:rPr>
      </w:pPr>
    </w:p>
    <w:p w:rsidR="008A6A4F" w:rsidRPr="00E958CE" w:rsidRDefault="008A6A4F" w:rsidP="00617526">
      <w:pPr>
        <w:spacing w:line="276" w:lineRule="auto"/>
        <w:rPr>
          <w:rFonts w:ascii="Times New Roman" w:hAnsi="Times New Roman" w:cs="Times New Roman"/>
          <w:b/>
        </w:rPr>
      </w:pPr>
      <w:r w:rsidRPr="00E958CE">
        <w:rPr>
          <w:rFonts w:ascii="Times New Roman" w:hAnsi="Times New Roman" w:cs="Times New Roman"/>
          <w:b/>
        </w:rPr>
        <w:br w:type="page"/>
      </w:r>
    </w:p>
    <w:p w:rsidR="008A6A4F" w:rsidRPr="00BF6BAE" w:rsidRDefault="000675D3" w:rsidP="00617526">
      <w:pPr>
        <w:pStyle w:val="Heading1"/>
        <w:spacing w:line="276" w:lineRule="auto"/>
        <w:jc w:val="both"/>
        <w:rPr>
          <w:rFonts w:ascii="Times New Roman" w:hAnsi="Times New Roman" w:cs="Times New Roman"/>
          <w:b w:val="0"/>
          <w:sz w:val="24"/>
          <w:szCs w:val="24"/>
        </w:rPr>
      </w:pPr>
      <w:bookmarkStart w:id="919" w:name="_Toc381633612"/>
      <w:bookmarkStart w:id="920" w:name="_Toc381633757"/>
      <w:bookmarkStart w:id="921" w:name="_Toc384050925"/>
      <w:bookmarkStart w:id="922" w:name="_Toc384052629"/>
      <w:bookmarkStart w:id="923" w:name="_Toc384283972"/>
      <w:bookmarkStart w:id="924" w:name="_Toc384284083"/>
      <w:bookmarkStart w:id="925" w:name="_Toc384386276"/>
      <w:bookmarkStart w:id="926" w:name="_Toc384386488"/>
      <w:bookmarkStart w:id="927" w:name="_Toc384392354"/>
      <w:bookmarkStart w:id="928" w:name="_Toc385253785"/>
      <w:bookmarkStart w:id="929" w:name="_Toc385335157"/>
      <w:bookmarkStart w:id="930" w:name="_Toc389128823"/>
      <w:bookmarkStart w:id="931" w:name="_Toc389131370"/>
      <w:bookmarkStart w:id="932" w:name="_Toc389223905"/>
      <w:bookmarkStart w:id="933" w:name="_Toc389223967"/>
      <w:bookmarkStart w:id="934" w:name="_Toc391908899"/>
      <w:bookmarkStart w:id="935" w:name="_Toc391991833"/>
      <w:bookmarkStart w:id="936" w:name="_Toc397593053"/>
      <w:bookmarkStart w:id="937" w:name="_Toc398896348"/>
      <w:bookmarkStart w:id="938" w:name="_Toc398896488"/>
      <w:bookmarkStart w:id="939" w:name="_Toc400972860"/>
      <w:r>
        <w:rPr>
          <w:rFonts w:ascii="Times New Roman" w:hAnsi="Times New Roman" w:cs="Times New Roman"/>
          <w:sz w:val="24"/>
          <w:szCs w:val="24"/>
        </w:rPr>
        <w:lastRenderedPageBreak/>
        <w:t xml:space="preserve">Lisa </w:t>
      </w:r>
      <w:r w:rsidR="00EF56EE">
        <w:rPr>
          <w:rFonts w:ascii="Times New Roman" w:hAnsi="Times New Roman" w:cs="Times New Roman"/>
          <w:sz w:val="24"/>
          <w:szCs w:val="24"/>
        </w:rPr>
        <w:t>4</w:t>
      </w:r>
      <w:r w:rsidR="00C0772E" w:rsidRPr="00BF6BAE">
        <w:rPr>
          <w:rFonts w:ascii="Times New Roman" w:hAnsi="Times New Roman" w:cs="Times New Roman"/>
          <w:sz w:val="24"/>
          <w:szCs w:val="24"/>
        </w:rPr>
        <w:t xml:space="preserve">. </w:t>
      </w:r>
      <w:r w:rsidR="001B2600" w:rsidRPr="00BF6BAE">
        <w:rPr>
          <w:rFonts w:ascii="Times New Roman" w:hAnsi="Times New Roman" w:cs="Times New Roman"/>
          <w:sz w:val="24"/>
          <w:szCs w:val="24"/>
        </w:rPr>
        <w:t>Kavandatavad t</w:t>
      </w:r>
      <w:r w:rsidR="00C0772E" w:rsidRPr="00BF6BAE">
        <w:rPr>
          <w:rFonts w:ascii="Times New Roman" w:hAnsi="Times New Roman" w:cs="Times New Roman"/>
          <w:sz w:val="24"/>
          <w:szCs w:val="24"/>
        </w:rPr>
        <w:t>aimekasvatusalased koolitused, infopäevad ja</w:t>
      </w:r>
      <w:r w:rsidR="00F7277F" w:rsidRPr="00BF6BAE">
        <w:rPr>
          <w:rFonts w:ascii="Times New Roman" w:hAnsi="Times New Roman" w:cs="Times New Roman"/>
          <w:sz w:val="24"/>
          <w:szCs w:val="24"/>
        </w:rPr>
        <w:t xml:space="preserve"> teavitusüritused aastatel 2014–</w:t>
      </w:r>
      <w:r w:rsidR="00C0772E" w:rsidRPr="00BF6BAE">
        <w:rPr>
          <w:rFonts w:ascii="Times New Roman" w:hAnsi="Times New Roman" w:cs="Times New Roman"/>
          <w:sz w:val="24"/>
          <w:szCs w:val="24"/>
        </w:rPr>
        <w:t>2020</w:t>
      </w:r>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p>
    <w:p w:rsidR="008A6A4F" w:rsidRPr="00E958CE" w:rsidRDefault="008A6A4F" w:rsidP="00617526">
      <w:pPr>
        <w:spacing w:line="276" w:lineRule="auto"/>
        <w:rPr>
          <w:rFonts w:ascii="Times New Roman" w:hAnsi="Times New Roman" w:cs="Times New Roman"/>
          <w:b/>
          <w:sz w:val="24"/>
          <w:szCs w:val="24"/>
        </w:rPr>
      </w:pPr>
    </w:p>
    <w:tbl>
      <w:tblPr>
        <w:tblW w:w="9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67"/>
        <w:gridCol w:w="580"/>
        <w:gridCol w:w="580"/>
        <w:gridCol w:w="580"/>
        <w:gridCol w:w="580"/>
        <w:gridCol w:w="580"/>
        <w:gridCol w:w="580"/>
        <w:gridCol w:w="580"/>
      </w:tblGrid>
      <w:tr w:rsidR="001C77F4" w:rsidRPr="00E958CE" w:rsidTr="001C77F4">
        <w:trPr>
          <w:cantSplit/>
          <w:trHeight w:val="724"/>
        </w:trPr>
        <w:tc>
          <w:tcPr>
            <w:tcW w:w="5767" w:type="dxa"/>
            <w:shd w:val="clear" w:color="auto" w:fill="AD0101" w:themeFill="accent1"/>
            <w:vAlign w:val="center"/>
          </w:tcPr>
          <w:p w:rsidR="00947D8C" w:rsidRPr="00E958CE" w:rsidRDefault="00947D8C" w:rsidP="00617526">
            <w:pPr>
              <w:spacing w:line="276" w:lineRule="auto"/>
              <w:contextualSpacing/>
              <w:jc w:val="center"/>
              <w:rPr>
                <w:rFonts w:ascii="Times New Roman" w:hAnsi="Times New Roman" w:cs="Times New Roman"/>
                <w:b/>
                <w:sz w:val="24"/>
                <w:szCs w:val="24"/>
              </w:rPr>
            </w:pPr>
            <w:r w:rsidRPr="00E958CE">
              <w:rPr>
                <w:rFonts w:ascii="Times New Roman" w:hAnsi="Times New Roman" w:cs="Times New Roman"/>
                <w:b/>
                <w:sz w:val="24"/>
                <w:szCs w:val="24"/>
              </w:rPr>
              <w:t>Koolituse, infopäeva jms nimetus</w:t>
            </w:r>
          </w:p>
        </w:tc>
        <w:tc>
          <w:tcPr>
            <w:tcW w:w="580" w:type="dxa"/>
            <w:shd w:val="clear" w:color="auto" w:fill="AD0101" w:themeFill="accent1"/>
            <w:textDirection w:val="btLr"/>
          </w:tcPr>
          <w:p w:rsidR="00947D8C" w:rsidRPr="00E958CE" w:rsidRDefault="00947D8C" w:rsidP="00617526">
            <w:pPr>
              <w:spacing w:line="276" w:lineRule="auto"/>
              <w:contextualSpacing/>
              <w:jc w:val="center"/>
              <w:rPr>
                <w:rFonts w:ascii="Times New Roman" w:hAnsi="Times New Roman" w:cs="Times New Roman"/>
                <w:b/>
                <w:sz w:val="24"/>
                <w:szCs w:val="24"/>
              </w:rPr>
            </w:pPr>
            <w:r w:rsidRPr="00E958CE">
              <w:rPr>
                <w:rFonts w:ascii="Times New Roman" w:hAnsi="Times New Roman" w:cs="Times New Roman"/>
                <w:b/>
                <w:sz w:val="24"/>
                <w:szCs w:val="24"/>
              </w:rPr>
              <w:t>2014</w:t>
            </w:r>
          </w:p>
        </w:tc>
        <w:tc>
          <w:tcPr>
            <w:tcW w:w="580" w:type="dxa"/>
            <w:shd w:val="clear" w:color="auto" w:fill="AD0101" w:themeFill="accent1"/>
            <w:textDirection w:val="btLr"/>
          </w:tcPr>
          <w:p w:rsidR="00947D8C" w:rsidRPr="00E958CE" w:rsidRDefault="00947D8C" w:rsidP="00617526">
            <w:pPr>
              <w:spacing w:line="276" w:lineRule="auto"/>
              <w:contextualSpacing/>
              <w:jc w:val="center"/>
              <w:rPr>
                <w:rFonts w:ascii="Times New Roman" w:hAnsi="Times New Roman" w:cs="Times New Roman"/>
                <w:b/>
                <w:sz w:val="24"/>
                <w:szCs w:val="24"/>
              </w:rPr>
            </w:pPr>
            <w:r w:rsidRPr="00E958CE">
              <w:rPr>
                <w:rFonts w:ascii="Times New Roman" w:hAnsi="Times New Roman" w:cs="Times New Roman"/>
                <w:b/>
                <w:sz w:val="24"/>
                <w:szCs w:val="24"/>
              </w:rPr>
              <w:t>2015</w:t>
            </w:r>
          </w:p>
        </w:tc>
        <w:tc>
          <w:tcPr>
            <w:tcW w:w="580" w:type="dxa"/>
            <w:shd w:val="clear" w:color="auto" w:fill="AD0101" w:themeFill="accent1"/>
            <w:textDirection w:val="btLr"/>
          </w:tcPr>
          <w:p w:rsidR="00947D8C" w:rsidRPr="00E958CE" w:rsidRDefault="00947D8C" w:rsidP="00617526">
            <w:pPr>
              <w:spacing w:line="276" w:lineRule="auto"/>
              <w:contextualSpacing/>
              <w:jc w:val="center"/>
              <w:rPr>
                <w:rFonts w:ascii="Times New Roman" w:hAnsi="Times New Roman" w:cs="Times New Roman"/>
                <w:b/>
                <w:sz w:val="24"/>
                <w:szCs w:val="24"/>
              </w:rPr>
            </w:pPr>
            <w:r w:rsidRPr="00E958CE">
              <w:rPr>
                <w:rFonts w:ascii="Times New Roman" w:hAnsi="Times New Roman" w:cs="Times New Roman"/>
                <w:b/>
                <w:sz w:val="24"/>
                <w:szCs w:val="24"/>
              </w:rPr>
              <w:t>2016</w:t>
            </w:r>
          </w:p>
        </w:tc>
        <w:tc>
          <w:tcPr>
            <w:tcW w:w="580" w:type="dxa"/>
            <w:shd w:val="clear" w:color="auto" w:fill="AD0101" w:themeFill="accent1"/>
            <w:textDirection w:val="btLr"/>
          </w:tcPr>
          <w:p w:rsidR="00947D8C" w:rsidRPr="00E958CE" w:rsidRDefault="00947D8C" w:rsidP="00617526">
            <w:pPr>
              <w:spacing w:line="276" w:lineRule="auto"/>
              <w:contextualSpacing/>
              <w:jc w:val="center"/>
              <w:rPr>
                <w:rFonts w:ascii="Times New Roman" w:hAnsi="Times New Roman" w:cs="Times New Roman"/>
                <w:b/>
                <w:sz w:val="24"/>
                <w:szCs w:val="24"/>
              </w:rPr>
            </w:pPr>
            <w:r w:rsidRPr="00E958CE">
              <w:rPr>
                <w:rFonts w:ascii="Times New Roman" w:hAnsi="Times New Roman" w:cs="Times New Roman"/>
                <w:b/>
                <w:sz w:val="24"/>
                <w:szCs w:val="24"/>
              </w:rPr>
              <w:t>2017</w:t>
            </w:r>
          </w:p>
        </w:tc>
        <w:tc>
          <w:tcPr>
            <w:tcW w:w="580" w:type="dxa"/>
            <w:shd w:val="clear" w:color="auto" w:fill="AD0101" w:themeFill="accent1"/>
            <w:textDirection w:val="btLr"/>
          </w:tcPr>
          <w:p w:rsidR="00947D8C" w:rsidRPr="00E958CE" w:rsidRDefault="00947D8C" w:rsidP="00617526">
            <w:pPr>
              <w:spacing w:line="276" w:lineRule="auto"/>
              <w:contextualSpacing/>
              <w:jc w:val="center"/>
              <w:rPr>
                <w:rFonts w:ascii="Times New Roman" w:hAnsi="Times New Roman" w:cs="Times New Roman"/>
                <w:b/>
                <w:sz w:val="24"/>
                <w:szCs w:val="24"/>
              </w:rPr>
            </w:pPr>
            <w:r w:rsidRPr="00E958CE">
              <w:rPr>
                <w:rFonts w:ascii="Times New Roman" w:hAnsi="Times New Roman" w:cs="Times New Roman"/>
                <w:b/>
                <w:sz w:val="24"/>
                <w:szCs w:val="24"/>
              </w:rPr>
              <w:t>2018</w:t>
            </w:r>
          </w:p>
        </w:tc>
        <w:tc>
          <w:tcPr>
            <w:tcW w:w="580" w:type="dxa"/>
            <w:shd w:val="clear" w:color="auto" w:fill="AD0101" w:themeFill="accent1"/>
            <w:textDirection w:val="btLr"/>
          </w:tcPr>
          <w:p w:rsidR="00947D8C" w:rsidRPr="00E958CE" w:rsidRDefault="00947D8C" w:rsidP="00617526">
            <w:pPr>
              <w:spacing w:line="276" w:lineRule="auto"/>
              <w:contextualSpacing/>
              <w:jc w:val="center"/>
              <w:rPr>
                <w:rFonts w:ascii="Times New Roman" w:hAnsi="Times New Roman" w:cs="Times New Roman"/>
                <w:b/>
                <w:sz w:val="24"/>
                <w:szCs w:val="24"/>
              </w:rPr>
            </w:pPr>
            <w:r w:rsidRPr="00E958CE">
              <w:rPr>
                <w:rFonts w:ascii="Times New Roman" w:hAnsi="Times New Roman" w:cs="Times New Roman"/>
                <w:b/>
                <w:sz w:val="24"/>
                <w:szCs w:val="24"/>
              </w:rPr>
              <w:t>2019</w:t>
            </w:r>
          </w:p>
        </w:tc>
        <w:tc>
          <w:tcPr>
            <w:tcW w:w="580" w:type="dxa"/>
            <w:shd w:val="clear" w:color="auto" w:fill="AD0101" w:themeFill="accent1"/>
            <w:textDirection w:val="btLr"/>
          </w:tcPr>
          <w:p w:rsidR="00947D8C" w:rsidRPr="00E958CE" w:rsidRDefault="00947D8C" w:rsidP="00617526">
            <w:pPr>
              <w:spacing w:line="276" w:lineRule="auto"/>
              <w:contextualSpacing/>
              <w:jc w:val="center"/>
              <w:rPr>
                <w:rFonts w:ascii="Times New Roman" w:hAnsi="Times New Roman" w:cs="Times New Roman"/>
                <w:b/>
                <w:sz w:val="24"/>
                <w:szCs w:val="24"/>
              </w:rPr>
            </w:pPr>
            <w:r w:rsidRPr="00E958CE">
              <w:rPr>
                <w:rFonts w:ascii="Times New Roman" w:hAnsi="Times New Roman" w:cs="Times New Roman"/>
                <w:b/>
                <w:sz w:val="24"/>
                <w:szCs w:val="24"/>
              </w:rPr>
              <w:t>2020</w:t>
            </w:r>
          </w:p>
        </w:tc>
      </w:tr>
      <w:tr w:rsidR="00947D8C" w:rsidRPr="00E958CE" w:rsidTr="00405233">
        <w:trPr>
          <w:trHeight w:val="658"/>
        </w:trPr>
        <w:tc>
          <w:tcPr>
            <w:tcW w:w="5767" w:type="dxa"/>
          </w:tcPr>
          <w:p w:rsidR="00947D8C" w:rsidRPr="00E958CE" w:rsidRDefault="00947D8C" w:rsidP="00617526">
            <w:pPr>
              <w:spacing w:before="120" w:line="276" w:lineRule="auto"/>
              <w:contextualSpacing/>
              <w:jc w:val="both"/>
              <w:rPr>
                <w:rFonts w:ascii="Times New Roman" w:hAnsi="Times New Roman" w:cs="Times New Roman"/>
                <w:sz w:val="24"/>
                <w:szCs w:val="24"/>
              </w:rPr>
            </w:pPr>
            <w:r w:rsidRPr="00E958CE">
              <w:rPr>
                <w:rFonts w:ascii="Times New Roman" w:hAnsi="Times New Roman" w:cs="Times New Roman"/>
                <w:sz w:val="24"/>
                <w:szCs w:val="24"/>
              </w:rPr>
              <w:t>Üleriigilised temaatilised infopäevad, s</w:t>
            </w:r>
            <w:r w:rsidR="004458DD">
              <w:rPr>
                <w:rFonts w:ascii="Times New Roman" w:hAnsi="Times New Roman" w:cs="Times New Roman"/>
                <w:sz w:val="24"/>
                <w:szCs w:val="24"/>
              </w:rPr>
              <w:t>eal</w:t>
            </w:r>
            <w:r w:rsidRPr="00E958CE">
              <w:rPr>
                <w:rFonts w:ascii="Times New Roman" w:hAnsi="Times New Roman" w:cs="Times New Roman"/>
                <w:sz w:val="24"/>
                <w:szCs w:val="24"/>
              </w:rPr>
              <w:t>h</w:t>
            </w:r>
            <w:r w:rsidR="004458DD">
              <w:rPr>
                <w:rFonts w:ascii="Times New Roman" w:hAnsi="Times New Roman" w:cs="Times New Roman"/>
                <w:sz w:val="24"/>
                <w:szCs w:val="24"/>
              </w:rPr>
              <w:t>ulgas</w:t>
            </w:r>
            <w:r w:rsidRPr="00E958CE">
              <w:rPr>
                <w:rFonts w:ascii="Times New Roman" w:hAnsi="Times New Roman" w:cs="Times New Roman"/>
                <w:sz w:val="24"/>
                <w:szCs w:val="24"/>
              </w:rPr>
              <w:t xml:space="preserve"> viljelus- ja künnipäevad</w:t>
            </w:r>
          </w:p>
        </w:tc>
        <w:tc>
          <w:tcPr>
            <w:tcW w:w="580" w:type="dxa"/>
            <w:vAlign w:val="center"/>
          </w:tcPr>
          <w:p w:rsidR="00947D8C" w:rsidRPr="00E958CE" w:rsidRDefault="00976E09" w:rsidP="00617526">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vAlign w:val="center"/>
          </w:tcPr>
          <w:p w:rsidR="00947D8C" w:rsidRPr="00E958CE" w:rsidRDefault="00976E09" w:rsidP="00617526">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vAlign w:val="center"/>
          </w:tcPr>
          <w:p w:rsidR="00947D8C" w:rsidRPr="00E958CE" w:rsidRDefault="00976E09" w:rsidP="00617526">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vAlign w:val="center"/>
          </w:tcPr>
          <w:p w:rsidR="00947D8C" w:rsidRPr="00E958CE" w:rsidRDefault="00976E09" w:rsidP="00617526">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vAlign w:val="center"/>
          </w:tcPr>
          <w:p w:rsidR="00947D8C" w:rsidRPr="00E958CE" w:rsidRDefault="00976E09" w:rsidP="00617526">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vAlign w:val="center"/>
          </w:tcPr>
          <w:p w:rsidR="00947D8C" w:rsidRPr="00E958CE" w:rsidRDefault="00976E09" w:rsidP="00617526">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vAlign w:val="center"/>
          </w:tcPr>
          <w:p w:rsidR="00947D8C" w:rsidRPr="00E958CE" w:rsidRDefault="00976E09" w:rsidP="00617526">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r>
      <w:tr w:rsidR="00947D8C" w:rsidRPr="00E958CE" w:rsidTr="00405233">
        <w:trPr>
          <w:trHeight w:val="323"/>
        </w:trPr>
        <w:tc>
          <w:tcPr>
            <w:tcW w:w="5767" w:type="dxa"/>
            <w:shd w:val="clear" w:color="auto" w:fill="FEBCBC" w:themeFill="accent1" w:themeFillTint="33"/>
          </w:tcPr>
          <w:p w:rsidR="00947D8C" w:rsidRPr="00E958CE" w:rsidRDefault="00947D8C" w:rsidP="00617526">
            <w:pPr>
              <w:spacing w:before="120" w:line="276" w:lineRule="auto"/>
              <w:contextualSpacing/>
              <w:jc w:val="both"/>
              <w:rPr>
                <w:rFonts w:ascii="Times New Roman" w:hAnsi="Times New Roman" w:cs="Times New Roman"/>
                <w:sz w:val="24"/>
                <w:szCs w:val="24"/>
              </w:rPr>
            </w:pPr>
            <w:r w:rsidRPr="00E958CE">
              <w:rPr>
                <w:rFonts w:ascii="Times New Roman" w:hAnsi="Times New Roman" w:cs="Times New Roman"/>
                <w:sz w:val="24"/>
                <w:szCs w:val="24"/>
              </w:rPr>
              <w:t>Viljelusvõistlus</w:t>
            </w:r>
          </w:p>
        </w:tc>
        <w:tc>
          <w:tcPr>
            <w:tcW w:w="580" w:type="dxa"/>
            <w:shd w:val="clear" w:color="auto" w:fill="FEBCBC" w:themeFill="accent1" w:themeFillTint="33"/>
            <w:vAlign w:val="center"/>
          </w:tcPr>
          <w:p w:rsidR="00947D8C" w:rsidRPr="00E958CE" w:rsidRDefault="00A14D65" w:rsidP="00617526">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shd w:val="clear" w:color="auto" w:fill="FEBCBC" w:themeFill="accent1" w:themeFillTint="33"/>
            <w:vAlign w:val="center"/>
          </w:tcPr>
          <w:p w:rsidR="00947D8C" w:rsidRPr="00E958CE" w:rsidRDefault="00A14D65" w:rsidP="00617526">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shd w:val="clear" w:color="auto" w:fill="FEBCBC" w:themeFill="accent1" w:themeFillTint="33"/>
            <w:vAlign w:val="center"/>
          </w:tcPr>
          <w:p w:rsidR="00947D8C" w:rsidRPr="00E958CE" w:rsidRDefault="00A14D65" w:rsidP="00617526">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shd w:val="clear" w:color="auto" w:fill="FEBCBC" w:themeFill="accent1" w:themeFillTint="33"/>
            <w:vAlign w:val="center"/>
          </w:tcPr>
          <w:p w:rsidR="00947D8C" w:rsidRPr="00E958CE" w:rsidRDefault="00A14D65" w:rsidP="00617526">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shd w:val="clear" w:color="auto" w:fill="FEBCBC" w:themeFill="accent1" w:themeFillTint="33"/>
            <w:vAlign w:val="center"/>
          </w:tcPr>
          <w:p w:rsidR="00947D8C" w:rsidRPr="00E958CE" w:rsidRDefault="00A14D65" w:rsidP="00617526">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shd w:val="clear" w:color="auto" w:fill="FEBCBC" w:themeFill="accent1" w:themeFillTint="33"/>
            <w:vAlign w:val="center"/>
          </w:tcPr>
          <w:p w:rsidR="00947D8C" w:rsidRPr="00E958CE" w:rsidRDefault="00A14D65" w:rsidP="00617526">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shd w:val="clear" w:color="auto" w:fill="FEBCBC" w:themeFill="accent1" w:themeFillTint="33"/>
            <w:vAlign w:val="center"/>
          </w:tcPr>
          <w:p w:rsidR="00947D8C" w:rsidRPr="00E958CE" w:rsidRDefault="00A14D65" w:rsidP="00617526">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r>
      <w:tr w:rsidR="00947D8C" w:rsidRPr="00E958CE" w:rsidTr="00405233">
        <w:trPr>
          <w:trHeight w:val="323"/>
        </w:trPr>
        <w:tc>
          <w:tcPr>
            <w:tcW w:w="5767" w:type="dxa"/>
          </w:tcPr>
          <w:p w:rsidR="00947D8C" w:rsidRPr="00E958CE" w:rsidRDefault="00947D8C" w:rsidP="00617526">
            <w:pPr>
              <w:spacing w:before="120" w:line="276" w:lineRule="auto"/>
              <w:contextualSpacing/>
              <w:jc w:val="both"/>
              <w:rPr>
                <w:rFonts w:ascii="Times New Roman" w:hAnsi="Times New Roman" w:cs="Times New Roman"/>
                <w:sz w:val="24"/>
                <w:szCs w:val="24"/>
              </w:rPr>
            </w:pPr>
            <w:r w:rsidRPr="00E958CE">
              <w:rPr>
                <w:rFonts w:ascii="Times New Roman" w:hAnsi="Times New Roman" w:cs="Times New Roman"/>
                <w:sz w:val="24"/>
                <w:szCs w:val="24"/>
              </w:rPr>
              <w:t>ETKI Teraviljapäev (põllupäev)</w:t>
            </w:r>
          </w:p>
        </w:tc>
        <w:tc>
          <w:tcPr>
            <w:tcW w:w="580" w:type="dxa"/>
            <w:vAlign w:val="center"/>
          </w:tcPr>
          <w:p w:rsidR="00947D8C" w:rsidRPr="00E958CE" w:rsidRDefault="00947D8C" w:rsidP="00617526">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vAlign w:val="center"/>
          </w:tcPr>
          <w:p w:rsidR="00947D8C" w:rsidRPr="00E958CE" w:rsidRDefault="00947D8C" w:rsidP="00617526">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vAlign w:val="center"/>
          </w:tcPr>
          <w:p w:rsidR="00947D8C" w:rsidRPr="00E958CE" w:rsidRDefault="00947D8C" w:rsidP="00617526">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vAlign w:val="center"/>
          </w:tcPr>
          <w:p w:rsidR="00947D8C" w:rsidRPr="00E958CE" w:rsidRDefault="00947D8C" w:rsidP="00617526">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vAlign w:val="center"/>
          </w:tcPr>
          <w:p w:rsidR="00947D8C" w:rsidRPr="00E958CE" w:rsidRDefault="00947D8C" w:rsidP="00617526">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vAlign w:val="center"/>
          </w:tcPr>
          <w:p w:rsidR="00947D8C" w:rsidRPr="00E958CE" w:rsidRDefault="00947D8C" w:rsidP="00617526">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vAlign w:val="center"/>
          </w:tcPr>
          <w:p w:rsidR="00947D8C" w:rsidRPr="00E958CE" w:rsidRDefault="00947D8C" w:rsidP="00617526">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r>
      <w:tr w:rsidR="00947D8C" w:rsidRPr="00E958CE" w:rsidTr="00405233">
        <w:trPr>
          <w:trHeight w:val="323"/>
        </w:trPr>
        <w:tc>
          <w:tcPr>
            <w:tcW w:w="5767" w:type="dxa"/>
            <w:shd w:val="clear" w:color="auto" w:fill="FEBCBC" w:themeFill="accent1" w:themeFillTint="33"/>
          </w:tcPr>
          <w:p w:rsidR="00947D8C" w:rsidRPr="00E958CE" w:rsidRDefault="00947D8C" w:rsidP="00617526">
            <w:pPr>
              <w:spacing w:before="120" w:line="276" w:lineRule="auto"/>
              <w:contextualSpacing/>
              <w:jc w:val="both"/>
              <w:rPr>
                <w:rFonts w:ascii="Times New Roman" w:hAnsi="Times New Roman" w:cs="Times New Roman"/>
                <w:sz w:val="24"/>
                <w:szCs w:val="24"/>
              </w:rPr>
            </w:pPr>
            <w:r w:rsidRPr="00E958CE">
              <w:rPr>
                <w:rFonts w:ascii="Times New Roman" w:hAnsi="Times New Roman" w:cs="Times New Roman"/>
                <w:sz w:val="24"/>
                <w:szCs w:val="24"/>
              </w:rPr>
              <w:t>ETKI Mahepäev  (põllupäev)</w:t>
            </w:r>
          </w:p>
        </w:tc>
        <w:tc>
          <w:tcPr>
            <w:tcW w:w="580" w:type="dxa"/>
            <w:shd w:val="clear" w:color="auto" w:fill="FEBCBC" w:themeFill="accent1" w:themeFillTint="33"/>
            <w:vAlign w:val="center"/>
          </w:tcPr>
          <w:p w:rsidR="00947D8C" w:rsidRPr="00E958CE" w:rsidRDefault="00947D8C" w:rsidP="00617526">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shd w:val="clear" w:color="auto" w:fill="FEBCBC" w:themeFill="accent1" w:themeFillTint="33"/>
            <w:vAlign w:val="center"/>
          </w:tcPr>
          <w:p w:rsidR="00947D8C" w:rsidRPr="00E958CE" w:rsidRDefault="00947D8C" w:rsidP="00617526">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shd w:val="clear" w:color="auto" w:fill="FEBCBC" w:themeFill="accent1" w:themeFillTint="33"/>
            <w:vAlign w:val="center"/>
          </w:tcPr>
          <w:p w:rsidR="00947D8C" w:rsidRPr="00E958CE" w:rsidRDefault="00947D8C" w:rsidP="00617526">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shd w:val="clear" w:color="auto" w:fill="FEBCBC" w:themeFill="accent1" w:themeFillTint="33"/>
            <w:vAlign w:val="center"/>
          </w:tcPr>
          <w:p w:rsidR="00947D8C" w:rsidRPr="00E958CE" w:rsidRDefault="00947D8C" w:rsidP="00617526">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shd w:val="clear" w:color="auto" w:fill="FEBCBC" w:themeFill="accent1" w:themeFillTint="33"/>
            <w:vAlign w:val="center"/>
          </w:tcPr>
          <w:p w:rsidR="00947D8C" w:rsidRPr="00E958CE" w:rsidRDefault="00947D8C" w:rsidP="00617526">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shd w:val="clear" w:color="auto" w:fill="FEBCBC" w:themeFill="accent1" w:themeFillTint="33"/>
            <w:vAlign w:val="center"/>
          </w:tcPr>
          <w:p w:rsidR="00947D8C" w:rsidRPr="00E958CE" w:rsidRDefault="00947D8C" w:rsidP="00617526">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shd w:val="clear" w:color="auto" w:fill="FEBCBC" w:themeFill="accent1" w:themeFillTint="33"/>
            <w:vAlign w:val="center"/>
          </w:tcPr>
          <w:p w:rsidR="00947D8C" w:rsidRPr="00E958CE" w:rsidRDefault="00947D8C" w:rsidP="00617526">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r>
      <w:tr w:rsidR="00144D02" w:rsidRPr="00E958CE" w:rsidTr="00405233">
        <w:trPr>
          <w:trHeight w:val="323"/>
        </w:trPr>
        <w:tc>
          <w:tcPr>
            <w:tcW w:w="5767" w:type="dxa"/>
          </w:tcPr>
          <w:p w:rsidR="00144D02" w:rsidRPr="00E958CE" w:rsidRDefault="00144D02" w:rsidP="00617526">
            <w:pPr>
              <w:spacing w:before="120" w:line="276" w:lineRule="auto"/>
              <w:contextualSpacing/>
              <w:jc w:val="both"/>
              <w:rPr>
                <w:rFonts w:ascii="Times New Roman" w:hAnsi="Times New Roman" w:cs="Times New Roman"/>
                <w:sz w:val="24"/>
                <w:szCs w:val="24"/>
              </w:rPr>
            </w:pPr>
            <w:r w:rsidRPr="00E958CE">
              <w:rPr>
                <w:rFonts w:ascii="Times New Roman" w:hAnsi="Times New Roman" w:cs="Times New Roman"/>
                <w:sz w:val="24"/>
                <w:szCs w:val="24"/>
              </w:rPr>
              <w:t xml:space="preserve">ETKI aastaseminar „Teaduselt </w:t>
            </w:r>
            <w:proofErr w:type="spellStart"/>
            <w:r w:rsidRPr="00E958CE">
              <w:rPr>
                <w:rFonts w:ascii="Times New Roman" w:hAnsi="Times New Roman" w:cs="Times New Roman"/>
                <w:sz w:val="24"/>
                <w:szCs w:val="24"/>
              </w:rPr>
              <w:t>tootmisele</w:t>
            </w:r>
            <w:r w:rsidR="004458DD" w:rsidRPr="004458DD">
              <w:rPr>
                <w:rFonts w:ascii="Times New Roman" w:hAnsi="Times New Roman" w:cs="Times New Roman"/>
                <w:bCs/>
                <w:sz w:val="24"/>
                <w:szCs w:val="24"/>
              </w:rPr>
              <w:t>ˮ</w:t>
            </w:r>
            <w:proofErr w:type="spellEnd"/>
          </w:p>
        </w:tc>
        <w:tc>
          <w:tcPr>
            <w:tcW w:w="580" w:type="dxa"/>
            <w:vAlign w:val="center"/>
          </w:tcPr>
          <w:p w:rsidR="00144D02" w:rsidRPr="00E958CE" w:rsidRDefault="00144D02" w:rsidP="0050571B">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vAlign w:val="center"/>
          </w:tcPr>
          <w:p w:rsidR="00144D02" w:rsidRPr="00E958CE" w:rsidRDefault="00144D02" w:rsidP="0050571B">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vAlign w:val="center"/>
          </w:tcPr>
          <w:p w:rsidR="00144D02" w:rsidRPr="00E958CE" w:rsidRDefault="00144D02" w:rsidP="0050571B">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vAlign w:val="center"/>
          </w:tcPr>
          <w:p w:rsidR="00144D02" w:rsidRPr="00E958CE" w:rsidRDefault="00144D02" w:rsidP="0050571B">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vAlign w:val="center"/>
          </w:tcPr>
          <w:p w:rsidR="00144D02" w:rsidRPr="00E958CE" w:rsidRDefault="00144D02" w:rsidP="0050571B">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vAlign w:val="center"/>
          </w:tcPr>
          <w:p w:rsidR="00144D02" w:rsidRPr="00E958CE" w:rsidRDefault="00144D02" w:rsidP="0050571B">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vAlign w:val="center"/>
          </w:tcPr>
          <w:p w:rsidR="00144D02" w:rsidRPr="00E958CE" w:rsidRDefault="00144D02" w:rsidP="0050571B">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r>
      <w:tr w:rsidR="00E27B26" w:rsidRPr="00E958CE" w:rsidTr="00405233">
        <w:trPr>
          <w:trHeight w:val="323"/>
        </w:trPr>
        <w:tc>
          <w:tcPr>
            <w:tcW w:w="5767" w:type="dxa"/>
            <w:shd w:val="clear" w:color="auto" w:fill="FEBCBC" w:themeFill="accent1" w:themeFillTint="33"/>
          </w:tcPr>
          <w:p w:rsidR="00E27B26" w:rsidRPr="00E958CE" w:rsidRDefault="00E27B26" w:rsidP="00617526">
            <w:pPr>
              <w:spacing w:before="120" w:line="276" w:lineRule="auto"/>
              <w:contextualSpacing/>
              <w:jc w:val="both"/>
              <w:rPr>
                <w:rFonts w:ascii="Times New Roman" w:hAnsi="Times New Roman" w:cs="Times New Roman"/>
                <w:sz w:val="24"/>
                <w:szCs w:val="24"/>
              </w:rPr>
            </w:pPr>
            <w:r w:rsidRPr="00E958CE">
              <w:rPr>
                <w:rFonts w:ascii="Times New Roman" w:hAnsi="Times New Roman" w:cs="Times New Roman"/>
                <w:sz w:val="24"/>
                <w:szCs w:val="24"/>
              </w:rPr>
              <w:t>Efektiivsed masintehnoloogiad teraviljakasvatuses</w:t>
            </w:r>
          </w:p>
        </w:tc>
        <w:tc>
          <w:tcPr>
            <w:tcW w:w="580" w:type="dxa"/>
            <w:shd w:val="clear" w:color="auto" w:fill="FEBCBC" w:themeFill="accent1" w:themeFillTint="33"/>
            <w:vAlign w:val="center"/>
          </w:tcPr>
          <w:p w:rsidR="00E27B26" w:rsidRPr="00E958CE" w:rsidRDefault="00E27B26" w:rsidP="0050571B">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shd w:val="clear" w:color="auto" w:fill="FEBCBC" w:themeFill="accent1" w:themeFillTint="33"/>
            <w:vAlign w:val="center"/>
          </w:tcPr>
          <w:p w:rsidR="00E27B26" w:rsidRPr="00E958CE" w:rsidRDefault="00E27B26" w:rsidP="0050571B">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shd w:val="clear" w:color="auto" w:fill="FEBCBC" w:themeFill="accent1" w:themeFillTint="33"/>
            <w:vAlign w:val="center"/>
          </w:tcPr>
          <w:p w:rsidR="00E27B26" w:rsidRPr="00E958CE" w:rsidRDefault="00E27B26" w:rsidP="0050571B">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shd w:val="clear" w:color="auto" w:fill="FEBCBC" w:themeFill="accent1" w:themeFillTint="33"/>
            <w:vAlign w:val="center"/>
          </w:tcPr>
          <w:p w:rsidR="00E27B26" w:rsidRPr="00E958CE" w:rsidRDefault="00E27B26" w:rsidP="0050571B">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shd w:val="clear" w:color="auto" w:fill="FEBCBC" w:themeFill="accent1" w:themeFillTint="33"/>
            <w:vAlign w:val="center"/>
          </w:tcPr>
          <w:p w:rsidR="00E27B26" w:rsidRPr="00E958CE" w:rsidRDefault="00E27B26" w:rsidP="0050571B">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shd w:val="clear" w:color="auto" w:fill="FEBCBC" w:themeFill="accent1" w:themeFillTint="33"/>
            <w:vAlign w:val="center"/>
          </w:tcPr>
          <w:p w:rsidR="00E27B26" w:rsidRPr="00E958CE" w:rsidRDefault="00E27B26" w:rsidP="0050571B">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shd w:val="clear" w:color="auto" w:fill="FEBCBC" w:themeFill="accent1" w:themeFillTint="33"/>
            <w:vAlign w:val="center"/>
          </w:tcPr>
          <w:p w:rsidR="00E27B26" w:rsidRPr="00E958CE" w:rsidRDefault="00E27B26" w:rsidP="0050571B">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r>
      <w:tr w:rsidR="00144D02" w:rsidRPr="00E958CE" w:rsidTr="00405233">
        <w:trPr>
          <w:trHeight w:val="336"/>
        </w:trPr>
        <w:tc>
          <w:tcPr>
            <w:tcW w:w="5767" w:type="dxa"/>
          </w:tcPr>
          <w:p w:rsidR="00144D02" w:rsidRPr="00E958CE" w:rsidRDefault="00144D02" w:rsidP="00617526">
            <w:pPr>
              <w:spacing w:before="120" w:line="276" w:lineRule="auto"/>
              <w:contextualSpacing/>
              <w:jc w:val="both"/>
              <w:rPr>
                <w:rFonts w:ascii="Times New Roman" w:hAnsi="Times New Roman" w:cs="Times New Roman"/>
                <w:sz w:val="24"/>
                <w:szCs w:val="24"/>
              </w:rPr>
            </w:pPr>
            <w:r w:rsidRPr="00E958CE">
              <w:rPr>
                <w:rFonts w:ascii="Times New Roman" w:hAnsi="Times New Roman" w:cs="Times New Roman"/>
                <w:sz w:val="24"/>
                <w:szCs w:val="24"/>
              </w:rPr>
              <w:t>Põllupäevad PMK katsekeskuses</w:t>
            </w:r>
          </w:p>
        </w:tc>
        <w:tc>
          <w:tcPr>
            <w:tcW w:w="580" w:type="dxa"/>
            <w:vAlign w:val="center"/>
          </w:tcPr>
          <w:p w:rsidR="00144D02" w:rsidRPr="00E958CE" w:rsidRDefault="00144D02" w:rsidP="00617526">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vAlign w:val="center"/>
          </w:tcPr>
          <w:p w:rsidR="00144D02" w:rsidRPr="00E958CE" w:rsidRDefault="00144D02" w:rsidP="00617526">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vAlign w:val="center"/>
          </w:tcPr>
          <w:p w:rsidR="00144D02" w:rsidRPr="00E958CE" w:rsidRDefault="00144D02" w:rsidP="00617526">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vAlign w:val="center"/>
          </w:tcPr>
          <w:p w:rsidR="00144D02" w:rsidRPr="00E958CE" w:rsidRDefault="00144D02" w:rsidP="00617526">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vAlign w:val="center"/>
          </w:tcPr>
          <w:p w:rsidR="00144D02" w:rsidRPr="00E958CE" w:rsidRDefault="00144D02" w:rsidP="00617526">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vAlign w:val="center"/>
          </w:tcPr>
          <w:p w:rsidR="00144D02" w:rsidRPr="00E958CE" w:rsidRDefault="00144D02" w:rsidP="00617526">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vAlign w:val="center"/>
          </w:tcPr>
          <w:p w:rsidR="00144D02" w:rsidRPr="00E958CE" w:rsidRDefault="00144D02" w:rsidP="00617526">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r>
      <w:tr w:rsidR="00CF6D50" w:rsidRPr="00E958CE" w:rsidTr="00CF6D50">
        <w:trPr>
          <w:trHeight w:val="336"/>
        </w:trPr>
        <w:tc>
          <w:tcPr>
            <w:tcW w:w="5767" w:type="dxa"/>
            <w:shd w:val="clear" w:color="auto" w:fill="FEBCBC" w:themeFill="accent1" w:themeFillTint="33"/>
          </w:tcPr>
          <w:p w:rsidR="00CF6D50" w:rsidRPr="00E958CE" w:rsidRDefault="00CF6D50" w:rsidP="00617526">
            <w:pPr>
              <w:spacing w:before="120" w:line="276" w:lineRule="auto"/>
              <w:contextualSpacing/>
              <w:jc w:val="both"/>
              <w:rPr>
                <w:rFonts w:ascii="Times New Roman" w:hAnsi="Times New Roman" w:cs="Times New Roman"/>
                <w:sz w:val="24"/>
                <w:szCs w:val="24"/>
              </w:rPr>
            </w:pPr>
            <w:r>
              <w:rPr>
                <w:rFonts w:ascii="Times New Roman" w:hAnsi="Times New Roman" w:cs="Times New Roman"/>
                <w:sz w:val="24"/>
                <w:szCs w:val="24"/>
              </w:rPr>
              <w:t>Leivaliidu korraldatav leivanädal</w:t>
            </w:r>
          </w:p>
        </w:tc>
        <w:tc>
          <w:tcPr>
            <w:tcW w:w="580" w:type="dxa"/>
            <w:shd w:val="clear" w:color="auto" w:fill="FEBCBC" w:themeFill="accent1" w:themeFillTint="33"/>
            <w:vAlign w:val="center"/>
          </w:tcPr>
          <w:p w:rsidR="00CF6D50" w:rsidRPr="00E958CE" w:rsidRDefault="00CF6D50" w:rsidP="0050571B">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shd w:val="clear" w:color="auto" w:fill="FEBCBC" w:themeFill="accent1" w:themeFillTint="33"/>
            <w:vAlign w:val="center"/>
          </w:tcPr>
          <w:p w:rsidR="00CF6D50" w:rsidRPr="00E958CE" w:rsidRDefault="00CF6D50" w:rsidP="0050571B">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shd w:val="clear" w:color="auto" w:fill="FEBCBC" w:themeFill="accent1" w:themeFillTint="33"/>
            <w:vAlign w:val="center"/>
          </w:tcPr>
          <w:p w:rsidR="00CF6D50" w:rsidRPr="00E958CE" w:rsidRDefault="00CF6D50" w:rsidP="0050571B">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shd w:val="clear" w:color="auto" w:fill="FEBCBC" w:themeFill="accent1" w:themeFillTint="33"/>
            <w:vAlign w:val="center"/>
          </w:tcPr>
          <w:p w:rsidR="00CF6D50" w:rsidRPr="00E958CE" w:rsidRDefault="00CF6D50" w:rsidP="0050571B">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shd w:val="clear" w:color="auto" w:fill="FEBCBC" w:themeFill="accent1" w:themeFillTint="33"/>
            <w:vAlign w:val="center"/>
          </w:tcPr>
          <w:p w:rsidR="00CF6D50" w:rsidRPr="00E958CE" w:rsidRDefault="00CF6D50" w:rsidP="0050571B">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shd w:val="clear" w:color="auto" w:fill="FEBCBC" w:themeFill="accent1" w:themeFillTint="33"/>
            <w:vAlign w:val="center"/>
          </w:tcPr>
          <w:p w:rsidR="00CF6D50" w:rsidRPr="00E958CE" w:rsidRDefault="00CF6D50" w:rsidP="0050571B">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shd w:val="clear" w:color="auto" w:fill="FEBCBC" w:themeFill="accent1" w:themeFillTint="33"/>
            <w:vAlign w:val="center"/>
          </w:tcPr>
          <w:p w:rsidR="00CF6D50" w:rsidRPr="00E958CE" w:rsidRDefault="00CF6D50" w:rsidP="0050571B">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r>
      <w:tr w:rsidR="00CF6D50" w:rsidRPr="00E958CE" w:rsidTr="00615AB9">
        <w:trPr>
          <w:trHeight w:val="336"/>
        </w:trPr>
        <w:tc>
          <w:tcPr>
            <w:tcW w:w="5767" w:type="dxa"/>
            <w:shd w:val="clear" w:color="auto" w:fill="FFFFFF" w:themeFill="background1"/>
          </w:tcPr>
          <w:p w:rsidR="00CF6D50" w:rsidRDefault="00CF6D50" w:rsidP="00617526">
            <w:pPr>
              <w:spacing w:before="120" w:line="276" w:lineRule="auto"/>
              <w:contextualSpacing/>
              <w:jc w:val="both"/>
              <w:rPr>
                <w:rFonts w:ascii="Times New Roman" w:hAnsi="Times New Roman" w:cs="Times New Roman"/>
                <w:sz w:val="24"/>
                <w:szCs w:val="24"/>
              </w:rPr>
            </w:pPr>
            <w:r>
              <w:rPr>
                <w:rFonts w:ascii="Times New Roman" w:hAnsi="Times New Roman" w:cs="Times New Roman"/>
                <w:sz w:val="24"/>
                <w:szCs w:val="24"/>
              </w:rPr>
              <w:t>L</w:t>
            </w:r>
            <w:r w:rsidR="00615AB9">
              <w:rPr>
                <w:rFonts w:ascii="Times New Roman" w:hAnsi="Times New Roman" w:cs="Times New Roman"/>
                <w:sz w:val="24"/>
                <w:szCs w:val="24"/>
              </w:rPr>
              <w:t>eivaliidu korraldatav l</w:t>
            </w:r>
            <w:r>
              <w:rPr>
                <w:rFonts w:ascii="Times New Roman" w:hAnsi="Times New Roman" w:cs="Times New Roman"/>
                <w:sz w:val="24"/>
                <w:szCs w:val="24"/>
              </w:rPr>
              <w:t>eivapäev</w:t>
            </w:r>
          </w:p>
        </w:tc>
        <w:tc>
          <w:tcPr>
            <w:tcW w:w="580" w:type="dxa"/>
            <w:shd w:val="clear" w:color="auto" w:fill="FFFFFF" w:themeFill="background1"/>
            <w:vAlign w:val="center"/>
          </w:tcPr>
          <w:p w:rsidR="00CF6D50" w:rsidRPr="00E958CE" w:rsidRDefault="00CF6D50" w:rsidP="0050571B">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shd w:val="clear" w:color="auto" w:fill="FFFFFF" w:themeFill="background1"/>
            <w:vAlign w:val="center"/>
          </w:tcPr>
          <w:p w:rsidR="00CF6D50" w:rsidRPr="00E958CE" w:rsidRDefault="00CF6D50" w:rsidP="0050571B">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shd w:val="clear" w:color="auto" w:fill="FFFFFF" w:themeFill="background1"/>
            <w:vAlign w:val="center"/>
          </w:tcPr>
          <w:p w:rsidR="00CF6D50" w:rsidRPr="00E958CE" w:rsidRDefault="00CF6D50" w:rsidP="0050571B">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shd w:val="clear" w:color="auto" w:fill="FFFFFF" w:themeFill="background1"/>
            <w:vAlign w:val="center"/>
          </w:tcPr>
          <w:p w:rsidR="00CF6D50" w:rsidRPr="00E958CE" w:rsidRDefault="00CF6D50" w:rsidP="0050571B">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shd w:val="clear" w:color="auto" w:fill="FFFFFF" w:themeFill="background1"/>
            <w:vAlign w:val="center"/>
          </w:tcPr>
          <w:p w:rsidR="00CF6D50" w:rsidRPr="00E958CE" w:rsidRDefault="00CF6D50" w:rsidP="0050571B">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shd w:val="clear" w:color="auto" w:fill="FFFFFF" w:themeFill="background1"/>
            <w:vAlign w:val="center"/>
          </w:tcPr>
          <w:p w:rsidR="00CF6D50" w:rsidRPr="00E958CE" w:rsidRDefault="00CF6D50" w:rsidP="0050571B">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shd w:val="clear" w:color="auto" w:fill="FFFFFF" w:themeFill="background1"/>
            <w:vAlign w:val="center"/>
          </w:tcPr>
          <w:p w:rsidR="00CF6D50" w:rsidRPr="00E958CE" w:rsidRDefault="00CF6D50" w:rsidP="0050571B">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r>
      <w:tr w:rsidR="00CF6D50" w:rsidRPr="00E958CE" w:rsidTr="00CF6D50">
        <w:trPr>
          <w:trHeight w:val="336"/>
        </w:trPr>
        <w:tc>
          <w:tcPr>
            <w:tcW w:w="5767" w:type="dxa"/>
            <w:shd w:val="clear" w:color="auto" w:fill="FEBCBC" w:themeFill="accent1" w:themeFillTint="33"/>
          </w:tcPr>
          <w:p w:rsidR="00CF6D50" w:rsidRDefault="00615AB9" w:rsidP="00617526">
            <w:pPr>
              <w:spacing w:before="120" w:line="276" w:lineRule="auto"/>
              <w:contextualSpacing/>
              <w:jc w:val="both"/>
              <w:rPr>
                <w:rFonts w:ascii="Times New Roman" w:hAnsi="Times New Roman" w:cs="Times New Roman"/>
                <w:sz w:val="24"/>
                <w:szCs w:val="24"/>
              </w:rPr>
            </w:pPr>
            <w:r>
              <w:rPr>
                <w:rFonts w:ascii="Times New Roman" w:hAnsi="Times New Roman" w:cs="Times New Roman"/>
                <w:sz w:val="24"/>
                <w:szCs w:val="24"/>
              </w:rPr>
              <w:t>Leivaliidu korraldatav k</w:t>
            </w:r>
            <w:r w:rsidR="00CF6D50">
              <w:rPr>
                <w:rFonts w:ascii="Times New Roman" w:hAnsi="Times New Roman" w:cs="Times New Roman"/>
                <w:sz w:val="24"/>
                <w:szCs w:val="24"/>
              </w:rPr>
              <w:t>oolileiva projekt</w:t>
            </w:r>
          </w:p>
        </w:tc>
        <w:tc>
          <w:tcPr>
            <w:tcW w:w="580" w:type="dxa"/>
            <w:shd w:val="clear" w:color="auto" w:fill="FEBCBC" w:themeFill="accent1" w:themeFillTint="33"/>
            <w:vAlign w:val="center"/>
          </w:tcPr>
          <w:p w:rsidR="00CF6D50" w:rsidRPr="00E958CE" w:rsidRDefault="00CF6D50" w:rsidP="0050571B">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shd w:val="clear" w:color="auto" w:fill="FEBCBC" w:themeFill="accent1" w:themeFillTint="33"/>
            <w:vAlign w:val="center"/>
          </w:tcPr>
          <w:p w:rsidR="00CF6D50" w:rsidRPr="00E958CE" w:rsidRDefault="00CF6D50" w:rsidP="0050571B">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shd w:val="clear" w:color="auto" w:fill="FEBCBC" w:themeFill="accent1" w:themeFillTint="33"/>
            <w:vAlign w:val="center"/>
          </w:tcPr>
          <w:p w:rsidR="00CF6D50" w:rsidRPr="00E958CE" w:rsidRDefault="00CF6D50" w:rsidP="0050571B">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shd w:val="clear" w:color="auto" w:fill="FEBCBC" w:themeFill="accent1" w:themeFillTint="33"/>
            <w:vAlign w:val="center"/>
          </w:tcPr>
          <w:p w:rsidR="00CF6D50" w:rsidRPr="00E958CE" w:rsidRDefault="00CF6D50" w:rsidP="0050571B">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shd w:val="clear" w:color="auto" w:fill="FEBCBC" w:themeFill="accent1" w:themeFillTint="33"/>
            <w:vAlign w:val="center"/>
          </w:tcPr>
          <w:p w:rsidR="00CF6D50" w:rsidRPr="00E958CE" w:rsidRDefault="00CF6D50" w:rsidP="0050571B">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shd w:val="clear" w:color="auto" w:fill="FEBCBC" w:themeFill="accent1" w:themeFillTint="33"/>
            <w:vAlign w:val="center"/>
          </w:tcPr>
          <w:p w:rsidR="00CF6D50" w:rsidRPr="00E958CE" w:rsidRDefault="00CF6D50" w:rsidP="0050571B">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c>
          <w:tcPr>
            <w:tcW w:w="580" w:type="dxa"/>
            <w:shd w:val="clear" w:color="auto" w:fill="FEBCBC" w:themeFill="accent1" w:themeFillTint="33"/>
            <w:vAlign w:val="center"/>
          </w:tcPr>
          <w:p w:rsidR="00CF6D50" w:rsidRPr="00E958CE" w:rsidRDefault="00CF6D50" w:rsidP="0050571B">
            <w:pPr>
              <w:spacing w:line="276" w:lineRule="auto"/>
              <w:contextualSpacing/>
              <w:jc w:val="center"/>
              <w:rPr>
                <w:rFonts w:ascii="Times New Roman" w:hAnsi="Times New Roman" w:cs="Times New Roman"/>
                <w:sz w:val="24"/>
                <w:szCs w:val="24"/>
              </w:rPr>
            </w:pPr>
            <w:r w:rsidRPr="00E958CE">
              <w:rPr>
                <w:rFonts w:ascii="Times New Roman" w:hAnsi="Times New Roman" w:cs="Times New Roman"/>
                <w:sz w:val="24"/>
                <w:szCs w:val="24"/>
              </w:rPr>
              <w:t>x</w:t>
            </w:r>
          </w:p>
        </w:tc>
      </w:tr>
      <w:tr w:rsidR="007C5AEF" w:rsidRPr="00E958CE" w:rsidTr="007C5AEF">
        <w:trPr>
          <w:trHeight w:val="336"/>
        </w:trPr>
        <w:tc>
          <w:tcPr>
            <w:tcW w:w="5767" w:type="dxa"/>
            <w:tcBorders>
              <w:top w:val="single" w:sz="4" w:space="0" w:color="auto"/>
              <w:left w:val="single" w:sz="4" w:space="0" w:color="auto"/>
              <w:bottom w:val="single" w:sz="4" w:space="0" w:color="auto"/>
              <w:right w:val="single" w:sz="4" w:space="0" w:color="auto"/>
            </w:tcBorders>
            <w:shd w:val="clear" w:color="auto" w:fill="FEBCBC" w:themeFill="accent1" w:themeFillTint="33"/>
          </w:tcPr>
          <w:p w:rsidR="007C5AEF" w:rsidRPr="00E958CE" w:rsidRDefault="007C5AEF" w:rsidP="00204942">
            <w:pPr>
              <w:spacing w:before="120" w:line="276" w:lineRule="auto"/>
              <w:contextualSpacing/>
              <w:jc w:val="both"/>
              <w:rPr>
                <w:rFonts w:ascii="Times New Roman" w:hAnsi="Times New Roman" w:cs="Times New Roman"/>
                <w:sz w:val="24"/>
                <w:szCs w:val="24"/>
              </w:rPr>
            </w:pPr>
            <w:r>
              <w:rPr>
                <w:rFonts w:ascii="Times New Roman" w:hAnsi="Times New Roman" w:cs="Times New Roman"/>
                <w:sz w:val="24"/>
                <w:szCs w:val="24"/>
              </w:rPr>
              <w:t>EPKK konverents „</w:t>
            </w:r>
            <w:proofErr w:type="spellStart"/>
            <w:r>
              <w:rPr>
                <w:rFonts w:ascii="Times New Roman" w:hAnsi="Times New Roman" w:cs="Times New Roman"/>
                <w:sz w:val="24"/>
                <w:szCs w:val="24"/>
              </w:rPr>
              <w:t>Teraviljafoorum</w:t>
            </w:r>
            <w:r w:rsidR="004458DD" w:rsidRPr="004458DD">
              <w:rPr>
                <w:rFonts w:ascii="Times New Roman" w:hAnsi="Times New Roman" w:cs="Times New Roman"/>
                <w:bCs/>
                <w:sz w:val="24"/>
                <w:szCs w:val="24"/>
              </w:rPr>
              <w:t>ˮ</w:t>
            </w:r>
            <w:proofErr w:type="spellEnd"/>
          </w:p>
        </w:tc>
        <w:tc>
          <w:tcPr>
            <w:tcW w:w="580" w:type="dxa"/>
            <w:tcBorders>
              <w:top w:val="single" w:sz="4" w:space="0" w:color="auto"/>
              <w:left w:val="single" w:sz="4" w:space="0" w:color="auto"/>
              <w:bottom w:val="single" w:sz="4" w:space="0" w:color="auto"/>
              <w:right w:val="single" w:sz="4" w:space="0" w:color="auto"/>
            </w:tcBorders>
            <w:shd w:val="clear" w:color="auto" w:fill="FEBCBC" w:themeFill="accent1" w:themeFillTint="33"/>
            <w:vAlign w:val="center"/>
          </w:tcPr>
          <w:p w:rsidR="007C5AEF" w:rsidRPr="00E958CE" w:rsidRDefault="007C5AEF" w:rsidP="007C5AEF">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x</w:t>
            </w:r>
          </w:p>
        </w:tc>
        <w:tc>
          <w:tcPr>
            <w:tcW w:w="580" w:type="dxa"/>
            <w:tcBorders>
              <w:top w:val="single" w:sz="4" w:space="0" w:color="auto"/>
              <w:left w:val="single" w:sz="4" w:space="0" w:color="auto"/>
              <w:bottom w:val="single" w:sz="4" w:space="0" w:color="auto"/>
              <w:right w:val="single" w:sz="4" w:space="0" w:color="auto"/>
            </w:tcBorders>
            <w:shd w:val="clear" w:color="auto" w:fill="FEBCBC" w:themeFill="accent1" w:themeFillTint="33"/>
            <w:vAlign w:val="center"/>
          </w:tcPr>
          <w:p w:rsidR="007C5AEF" w:rsidRPr="00E958CE" w:rsidRDefault="007C5AEF" w:rsidP="00204942">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x</w:t>
            </w:r>
          </w:p>
        </w:tc>
        <w:tc>
          <w:tcPr>
            <w:tcW w:w="580" w:type="dxa"/>
            <w:tcBorders>
              <w:top w:val="single" w:sz="4" w:space="0" w:color="auto"/>
              <w:left w:val="single" w:sz="4" w:space="0" w:color="auto"/>
              <w:bottom w:val="single" w:sz="4" w:space="0" w:color="auto"/>
              <w:right w:val="single" w:sz="4" w:space="0" w:color="auto"/>
            </w:tcBorders>
            <w:shd w:val="clear" w:color="auto" w:fill="FEBCBC" w:themeFill="accent1" w:themeFillTint="33"/>
            <w:vAlign w:val="center"/>
          </w:tcPr>
          <w:p w:rsidR="007C5AEF" w:rsidRPr="00E958CE" w:rsidRDefault="007C5AEF" w:rsidP="00204942">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x</w:t>
            </w:r>
          </w:p>
        </w:tc>
        <w:tc>
          <w:tcPr>
            <w:tcW w:w="580" w:type="dxa"/>
            <w:tcBorders>
              <w:top w:val="single" w:sz="4" w:space="0" w:color="auto"/>
              <w:left w:val="single" w:sz="4" w:space="0" w:color="auto"/>
              <w:bottom w:val="single" w:sz="4" w:space="0" w:color="auto"/>
              <w:right w:val="single" w:sz="4" w:space="0" w:color="auto"/>
            </w:tcBorders>
            <w:shd w:val="clear" w:color="auto" w:fill="FEBCBC" w:themeFill="accent1" w:themeFillTint="33"/>
            <w:vAlign w:val="center"/>
          </w:tcPr>
          <w:p w:rsidR="007C5AEF" w:rsidRPr="00E958CE" w:rsidRDefault="007C5AEF" w:rsidP="00204942">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x</w:t>
            </w:r>
          </w:p>
        </w:tc>
        <w:tc>
          <w:tcPr>
            <w:tcW w:w="580" w:type="dxa"/>
            <w:tcBorders>
              <w:top w:val="single" w:sz="4" w:space="0" w:color="auto"/>
              <w:left w:val="single" w:sz="4" w:space="0" w:color="auto"/>
              <w:bottom w:val="single" w:sz="4" w:space="0" w:color="auto"/>
              <w:right w:val="single" w:sz="4" w:space="0" w:color="auto"/>
            </w:tcBorders>
            <w:shd w:val="clear" w:color="auto" w:fill="FEBCBC" w:themeFill="accent1" w:themeFillTint="33"/>
            <w:vAlign w:val="center"/>
          </w:tcPr>
          <w:p w:rsidR="007C5AEF" w:rsidRPr="00E958CE" w:rsidRDefault="007C5AEF" w:rsidP="00204942">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x</w:t>
            </w:r>
          </w:p>
        </w:tc>
        <w:tc>
          <w:tcPr>
            <w:tcW w:w="580" w:type="dxa"/>
            <w:tcBorders>
              <w:top w:val="single" w:sz="4" w:space="0" w:color="auto"/>
              <w:left w:val="single" w:sz="4" w:space="0" w:color="auto"/>
              <w:bottom w:val="single" w:sz="4" w:space="0" w:color="auto"/>
              <w:right w:val="single" w:sz="4" w:space="0" w:color="auto"/>
            </w:tcBorders>
            <w:shd w:val="clear" w:color="auto" w:fill="FEBCBC" w:themeFill="accent1" w:themeFillTint="33"/>
            <w:vAlign w:val="center"/>
          </w:tcPr>
          <w:p w:rsidR="007C5AEF" w:rsidRPr="00E958CE" w:rsidRDefault="007C5AEF" w:rsidP="00204942">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x</w:t>
            </w:r>
          </w:p>
        </w:tc>
        <w:tc>
          <w:tcPr>
            <w:tcW w:w="580" w:type="dxa"/>
            <w:tcBorders>
              <w:top w:val="single" w:sz="4" w:space="0" w:color="auto"/>
              <w:left w:val="single" w:sz="4" w:space="0" w:color="auto"/>
              <w:bottom w:val="single" w:sz="4" w:space="0" w:color="auto"/>
              <w:right w:val="single" w:sz="4" w:space="0" w:color="auto"/>
            </w:tcBorders>
            <w:shd w:val="clear" w:color="auto" w:fill="FEBCBC" w:themeFill="accent1" w:themeFillTint="33"/>
            <w:vAlign w:val="center"/>
          </w:tcPr>
          <w:p w:rsidR="007C5AEF" w:rsidRPr="00E958CE" w:rsidRDefault="007C5AEF" w:rsidP="00204942">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x</w:t>
            </w:r>
          </w:p>
        </w:tc>
      </w:tr>
    </w:tbl>
    <w:p w:rsidR="006F11C7" w:rsidRDefault="006F11C7" w:rsidP="00475D45"/>
    <w:p w:rsidR="00232155" w:rsidRDefault="00232155" w:rsidP="00475D45"/>
    <w:p w:rsidR="00232155" w:rsidRDefault="00232155" w:rsidP="00475D45"/>
    <w:p w:rsidR="00232155" w:rsidRDefault="00232155" w:rsidP="00475D45"/>
    <w:p w:rsidR="00232155" w:rsidRPr="00556DB0" w:rsidRDefault="00232155" w:rsidP="00232155">
      <w:pPr>
        <w:spacing w:line="276" w:lineRule="auto"/>
        <w:rPr>
          <w:rFonts w:ascii="Times New Roman" w:hAnsi="Times New Roman" w:cs="Times New Roman"/>
          <w:sz w:val="24"/>
          <w:szCs w:val="24"/>
        </w:rPr>
      </w:pPr>
      <w:r w:rsidRPr="00556DB0">
        <w:rPr>
          <w:rFonts w:ascii="Times New Roman" w:hAnsi="Times New Roman" w:cs="Times New Roman"/>
          <w:sz w:val="24"/>
          <w:szCs w:val="24"/>
        </w:rPr>
        <w:t>Ants Noot</w:t>
      </w:r>
    </w:p>
    <w:p w:rsidR="00232155" w:rsidRDefault="00232155" w:rsidP="00232155">
      <w:pPr>
        <w:rPr>
          <w:rFonts w:ascii="Times New Roman" w:hAnsi="Times New Roman" w:cs="Times New Roman"/>
          <w:sz w:val="24"/>
          <w:szCs w:val="24"/>
        </w:rPr>
      </w:pPr>
      <w:r w:rsidRPr="00556DB0">
        <w:rPr>
          <w:rFonts w:ascii="Times New Roman" w:hAnsi="Times New Roman" w:cs="Times New Roman"/>
          <w:sz w:val="24"/>
          <w:szCs w:val="24"/>
        </w:rPr>
        <w:t>Kantsler</w:t>
      </w:r>
    </w:p>
    <w:p w:rsidR="00263C4D" w:rsidRDefault="00263C4D" w:rsidP="00232155">
      <w:pPr>
        <w:rPr>
          <w:rFonts w:ascii="Times New Roman" w:hAnsi="Times New Roman" w:cs="Times New Roman"/>
          <w:sz w:val="24"/>
          <w:szCs w:val="24"/>
        </w:rPr>
      </w:pPr>
    </w:p>
    <w:p w:rsidR="00263C4D" w:rsidRDefault="00263C4D" w:rsidP="00232155">
      <w:pPr>
        <w:rPr>
          <w:rFonts w:ascii="Times New Roman" w:hAnsi="Times New Roman" w:cs="Times New Roman"/>
          <w:sz w:val="24"/>
          <w:szCs w:val="24"/>
        </w:rPr>
      </w:pPr>
    </w:p>
    <w:p w:rsidR="00263C4D" w:rsidRDefault="00263C4D" w:rsidP="00232155">
      <w:pPr>
        <w:rPr>
          <w:rFonts w:ascii="Times New Roman" w:hAnsi="Times New Roman" w:cs="Times New Roman"/>
          <w:sz w:val="24"/>
          <w:szCs w:val="24"/>
        </w:rPr>
      </w:pPr>
    </w:p>
    <w:p w:rsidR="00263C4D" w:rsidRDefault="00263C4D" w:rsidP="00232155">
      <w:pPr>
        <w:rPr>
          <w:rFonts w:ascii="Times New Roman" w:hAnsi="Times New Roman" w:cs="Times New Roman"/>
          <w:sz w:val="24"/>
          <w:szCs w:val="24"/>
        </w:rPr>
      </w:pPr>
    </w:p>
    <w:p w:rsidR="00263C4D" w:rsidRDefault="00263C4D" w:rsidP="00232155">
      <w:pPr>
        <w:rPr>
          <w:rFonts w:ascii="Times New Roman" w:hAnsi="Times New Roman" w:cs="Times New Roman"/>
          <w:sz w:val="24"/>
          <w:szCs w:val="24"/>
        </w:rPr>
      </w:pPr>
    </w:p>
    <w:p w:rsidR="00263C4D" w:rsidRDefault="00263C4D" w:rsidP="00232155">
      <w:pPr>
        <w:rPr>
          <w:rFonts w:ascii="Times New Roman" w:hAnsi="Times New Roman" w:cs="Times New Roman"/>
          <w:sz w:val="24"/>
          <w:szCs w:val="24"/>
        </w:rPr>
      </w:pPr>
    </w:p>
    <w:p w:rsidR="00263C4D" w:rsidRDefault="00263C4D" w:rsidP="00232155">
      <w:pPr>
        <w:rPr>
          <w:rFonts w:ascii="Times New Roman" w:hAnsi="Times New Roman" w:cs="Times New Roman"/>
          <w:sz w:val="24"/>
          <w:szCs w:val="24"/>
        </w:rPr>
      </w:pPr>
    </w:p>
    <w:p w:rsidR="00263C4D" w:rsidRDefault="00263C4D" w:rsidP="00232155">
      <w:pPr>
        <w:rPr>
          <w:rFonts w:ascii="Times New Roman" w:hAnsi="Times New Roman" w:cs="Times New Roman"/>
          <w:sz w:val="24"/>
          <w:szCs w:val="24"/>
        </w:rPr>
      </w:pPr>
    </w:p>
    <w:p w:rsidR="00263C4D" w:rsidRDefault="00263C4D" w:rsidP="00232155">
      <w:pPr>
        <w:rPr>
          <w:rFonts w:ascii="Times New Roman" w:hAnsi="Times New Roman" w:cs="Times New Roman"/>
          <w:sz w:val="24"/>
          <w:szCs w:val="24"/>
        </w:rPr>
      </w:pPr>
    </w:p>
    <w:p w:rsidR="00263C4D" w:rsidRDefault="00263C4D" w:rsidP="00232155">
      <w:pPr>
        <w:rPr>
          <w:rFonts w:ascii="Times New Roman" w:hAnsi="Times New Roman" w:cs="Times New Roman"/>
          <w:sz w:val="24"/>
          <w:szCs w:val="24"/>
        </w:rPr>
      </w:pPr>
    </w:p>
    <w:p w:rsidR="00263C4D" w:rsidRDefault="00263C4D" w:rsidP="00232155">
      <w:pPr>
        <w:rPr>
          <w:rFonts w:ascii="Times New Roman" w:hAnsi="Times New Roman" w:cs="Times New Roman"/>
          <w:sz w:val="24"/>
          <w:szCs w:val="24"/>
        </w:rPr>
      </w:pPr>
    </w:p>
    <w:p w:rsidR="00263C4D" w:rsidRDefault="00263C4D" w:rsidP="00232155">
      <w:pPr>
        <w:rPr>
          <w:rFonts w:ascii="Times New Roman" w:hAnsi="Times New Roman" w:cs="Times New Roman"/>
          <w:sz w:val="24"/>
          <w:szCs w:val="24"/>
        </w:rPr>
      </w:pPr>
    </w:p>
    <w:p w:rsidR="00263C4D" w:rsidRDefault="00263C4D" w:rsidP="00232155">
      <w:pPr>
        <w:rPr>
          <w:rFonts w:ascii="Times New Roman" w:hAnsi="Times New Roman" w:cs="Times New Roman"/>
          <w:sz w:val="24"/>
          <w:szCs w:val="24"/>
        </w:rPr>
      </w:pPr>
    </w:p>
    <w:p w:rsidR="00263C4D" w:rsidRDefault="00263C4D" w:rsidP="00232155">
      <w:pPr>
        <w:rPr>
          <w:rFonts w:ascii="Times New Roman" w:hAnsi="Times New Roman" w:cs="Times New Roman"/>
          <w:sz w:val="24"/>
          <w:szCs w:val="24"/>
        </w:rPr>
      </w:pPr>
    </w:p>
    <w:p w:rsidR="00263C4D" w:rsidRDefault="00263C4D" w:rsidP="00232155">
      <w:pPr>
        <w:rPr>
          <w:rFonts w:ascii="Times New Roman" w:hAnsi="Times New Roman" w:cs="Times New Roman"/>
          <w:sz w:val="24"/>
          <w:szCs w:val="24"/>
        </w:rPr>
      </w:pPr>
    </w:p>
    <w:p w:rsidR="00263C4D" w:rsidRDefault="00263C4D" w:rsidP="00232155">
      <w:pPr>
        <w:rPr>
          <w:rFonts w:ascii="Times New Roman" w:hAnsi="Times New Roman" w:cs="Times New Roman"/>
          <w:sz w:val="24"/>
          <w:szCs w:val="24"/>
        </w:rPr>
      </w:pPr>
    </w:p>
    <w:p w:rsidR="00263C4D" w:rsidRDefault="00263C4D" w:rsidP="00232155">
      <w:pPr>
        <w:rPr>
          <w:rFonts w:ascii="Times New Roman" w:hAnsi="Times New Roman" w:cs="Times New Roman"/>
          <w:sz w:val="24"/>
          <w:szCs w:val="24"/>
        </w:rPr>
      </w:pPr>
    </w:p>
    <w:p w:rsidR="00263C4D" w:rsidRDefault="00263C4D" w:rsidP="00232155">
      <w:pPr>
        <w:rPr>
          <w:rFonts w:ascii="Times New Roman" w:hAnsi="Times New Roman" w:cs="Times New Roman"/>
          <w:sz w:val="24"/>
          <w:szCs w:val="24"/>
        </w:rPr>
      </w:pPr>
    </w:p>
    <w:p w:rsidR="00263C4D" w:rsidRDefault="00263C4D" w:rsidP="00232155">
      <w:pPr>
        <w:rPr>
          <w:rFonts w:ascii="Times New Roman" w:hAnsi="Times New Roman" w:cs="Times New Roman"/>
          <w:sz w:val="24"/>
          <w:szCs w:val="24"/>
        </w:rPr>
      </w:pPr>
    </w:p>
    <w:p w:rsidR="00263C4D" w:rsidRDefault="00263C4D" w:rsidP="00232155">
      <w:pPr>
        <w:rPr>
          <w:rFonts w:ascii="Times New Roman" w:hAnsi="Times New Roman" w:cs="Times New Roman"/>
          <w:sz w:val="24"/>
          <w:szCs w:val="24"/>
        </w:rPr>
      </w:pPr>
    </w:p>
    <w:p w:rsidR="00263C4D" w:rsidRDefault="00263C4D" w:rsidP="00232155">
      <w:pPr>
        <w:rPr>
          <w:rFonts w:ascii="Times New Roman" w:hAnsi="Times New Roman" w:cs="Times New Roman"/>
          <w:sz w:val="24"/>
          <w:szCs w:val="24"/>
        </w:rPr>
      </w:pPr>
    </w:p>
    <w:p w:rsidR="00263C4D" w:rsidRDefault="00263C4D" w:rsidP="00232155">
      <w:pPr>
        <w:rPr>
          <w:rFonts w:ascii="Times New Roman" w:hAnsi="Times New Roman" w:cs="Times New Roman"/>
          <w:sz w:val="24"/>
          <w:szCs w:val="24"/>
        </w:rPr>
      </w:pPr>
    </w:p>
    <w:p w:rsidR="00D670EF" w:rsidRDefault="00D670EF" w:rsidP="00937973">
      <w:pPr>
        <w:pStyle w:val="AK"/>
        <w:sectPr w:rsidR="00D670EF" w:rsidSect="001D0179">
          <w:footerReference w:type="first" r:id="rId60"/>
          <w:pgSz w:w="11906" w:h="16838"/>
          <w:pgMar w:top="851" w:right="1134" w:bottom="1418" w:left="1134" w:header="709" w:footer="709" w:gutter="0"/>
          <w:cols w:space="708"/>
          <w:docGrid w:linePitch="360"/>
        </w:sectPr>
      </w:pPr>
    </w:p>
    <w:tbl>
      <w:tblPr>
        <w:tblW w:w="14459" w:type="dxa"/>
        <w:tblLayout w:type="fixed"/>
        <w:tblCellMar>
          <w:left w:w="0" w:type="dxa"/>
          <w:right w:w="0" w:type="dxa"/>
        </w:tblCellMar>
        <w:tblLook w:val="0000" w:firstRow="0" w:lastRow="0" w:firstColumn="0" w:lastColumn="0" w:noHBand="0" w:noVBand="0"/>
      </w:tblPr>
      <w:tblGrid>
        <w:gridCol w:w="11199"/>
        <w:gridCol w:w="3260"/>
      </w:tblGrid>
      <w:tr w:rsidR="00937973" w:rsidRPr="00BC1A62" w:rsidTr="00937973">
        <w:trPr>
          <w:trHeight w:val="2353"/>
        </w:trPr>
        <w:tc>
          <w:tcPr>
            <w:tcW w:w="11199" w:type="dxa"/>
            <w:shd w:val="clear" w:color="auto" w:fill="auto"/>
          </w:tcPr>
          <w:p w:rsidR="00937973" w:rsidRPr="00A10E66" w:rsidRDefault="00937973" w:rsidP="00F541B2">
            <w:pPr>
              <w:pStyle w:val="TableContents"/>
              <w:rPr>
                <w:b/>
              </w:rPr>
            </w:pPr>
            <w:r>
              <w:rPr>
                <w:b/>
                <w:noProof/>
                <w:lang w:eastAsia="et-EE" w:bidi="ar-SA"/>
              </w:rPr>
              <w:lastRenderedPageBreak/>
              <w:drawing>
                <wp:anchor distT="0" distB="0" distL="114300" distR="114300" simplePos="0" relativeHeight="251668480" behindDoc="0" locked="0" layoutInCell="1" allowOverlap="1" wp14:anchorId="6519FB3D" wp14:editId="30C834CB">
                  <wp:simplePos x="0" y="0"/>
                  <wp:positionH relativeFrom="page">
                    <wp:posOffset>-864235</wp:posOffset>
                  </wp:positionH>
                  <wp:positionV relativeFrom="page">
                    <wp:posOffset>-144145</wp:posOffset>
                  </wp:positionV>
                  <wp:extent cx="2944800" cy="957600"/>
                  <wp:effectExtent l="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pollumaj_vapp_est_blac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4800" cy="957600"/>
                          </a:xfrm>
                          <a:prstGeom prst="rect">
                            <a:avLst/>
                          </a:prstGeom>
                        </pic:spPr>
                      </pic:pic>
                    </a:graphicData>
                  </a:graphic>
                  <wp14:sizeRelH relativeFrom="page">
                    <wp14:pctWidth>0</wp14:pctWidth>
                  </wp14:sizeRelH>
                  <wp14:sizeRelV relativeFrom="page">
                    <wp14:pctHeight>0</wp14:pctHeight>
                  </wp14:sizeRelV>
                </wp:anchor>
              </w:drawing>
            </w:r>
          </w:p>
        </w:tc>
        <w:tc>
          <w:tcPr>
            <w:tcW w:w="3260" w:type="dxa"/>
            <w:shd w:val="clear" w:color="auto" w:fill="auto"/>
          </w:tcPr>
          <w:p w:rsidR="00937973" w:rsidRDefault="00937973" w:rsidP="00F541B2">
            <w:pPr>
              <w:pStyle w:val="AK"/>
            </w:pPr>
            <w:r>
              <w:t xml:space="preserve">Kinnitatud  </w:t>
            </w:r>
          </w:p>
          <w:p w:rsidR="00895F3B" w:rsidRDefault="00937973" w:rsidP="00F541B2">
            <w:pPr>
              <w:pStyle w:val="AK"/>
            </w:pPr>
            <w:r>
              <w:rPr>
                <w:noProof/>
                <w:lang w:eastAsia="et-EE" w:bidi="ar-SA"/>
              </w:rPr>
              <mc:AlternateContent>
                <mc:Choice Requires="wps">
                  <w:drawing>
                    <wp:anchor distT="0" distB="0" distL="114300" distR="114300" simplePos="0" relativeHeight="251669504" behindDoc="0" locked="0" layoutInCell="1" allowOverlap="1" wp14:anchorId="755D7D4E" wp14:editId="1E9D1E69">
                      <wp:simplePos x="0" y="0"/>
                      <wp:positionH relativeFrom="column">
                        <wp:posOffset>922656</wp:posOffset>
                      </wp:positionH>
                      <wp:positionV relativeFrom="paragraph">
                        <wp:posOffset>763270</wp:posOffset>
                      </wp:positionV>
                      <wp:extent cx="1047750" cy="419100"/>
                      <wp:effectExtent l="0" t="0" r="0" b="0"/>
                      <wp:wrapNone/>
                      <wp:docPr id="22" name="Tekstiväli 22"/>
                      <wp:cNvGraphicFramePr/>
                      <a:graphic xmlns:a="http://schemas.openxmlformats.org/drawingml/2006/main">
                        <a:graphicData uri="http://schemas.microsoft.com/office/word/2010/wordprocessingShape">
                          <wps:wsp>
                            <wps:cNvSpPr txBox="1"/>
                            <wps:spPr>
                              <a:xfrm>
                                <a:off x="0" y="0"/>
                                <a:ext cx="1047750"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14C0" w:rsidRPr="00B916C1" w:rsidRDefault="00A514C0" w:rsidP="00937973">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väli 22" o:spid="_x0000_s1027" type="#_x0000_t202" style="position:absolute;left:0;text-align:left;margin-left:72.65pt;margin-top:60.1pt;width:82.5pt;height: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" filled="f" stroked="f" strokeweight=".5pt">
                      <v:textbox>
                        <w:txbxContent>
                          <w:p w:rsidR="00A514C0" w:rsidRPr="00B916C1" w:rsidRDefault="00A514C0" w:rsidP="00937973">
                            <w:pPr>
                              <w:jc w:val="right"/>
                            </w:pPr>
                          </w:p>
                        </w:txbxContent>
                      </v:textbox>
                    </v:shape>
                  </w:pict>
                </mc:Fallback>
              </mc:AlternateContent>
            </w:r>
            <w:r w:rsidR="00895F3B">
              <w:t>põllumajandusministri</w:t>
            </w:r>
            <w:r w:rsidR="004A48A1">
              <w:t xml:space="preserve"> </w:t>
            </w:r>
          </w:p>
          <w:p w:rsidR="004A48A1" w:rsidRDefault="00616C7D" w:rsidP="00F541B2">
            <w:pPr>
              <w:pStyle w:val="AK"/>
            </w:pPr>
            <w:r>
              <w:t>.10</w:t>
            </w:r>
            <w:r w:rsidR="00937973">
              <w:t>.2014 käskkirjaga nr</w:t>
            </w:r>
            <w:r w:rsidR="004A48A1">
              <w:t xml:space="preserve"> </w:t>
            </w:r>
          </w:p>
          <w:p w:rsidR="004A48A1" w:rsidRDefault="004A48A1" w:rsidP="00F541B2">
            <w:pPr>
              <w:pStyle w:val="AK"/>
            </w:pPr>
          </w:p>
          <w:p w:rsidR="00937973" w:rsidRPr="00BC1A62" w:rsidRDefault="004A48A1" w:rsidP="00F541B2">
            <w:pPr>
              <w:pStyle w:val="AK"/>
            </w:pPr>
            <w:r>
              <w:t>Lisa 2</w:t>
            </w:r>
            <w:r w:rsidR="00937973">
              <w:t xml:space="preserve">  </w:t>
            </w:r>
          </w:p>
        </w:tc>
      </w:tr>
      <w:tr w:rsidR="00937973" w:rsidRPr="0076054B" w:rsidTr="00937973">
        <w:trPr>
          <w:trHeight w:val="1531"/>
        </w:trPr>
        <w:tc>
          <w:tcPr>
            <w:tcW w:w="11199" w:type="dxa"/>
            <w:shd w:val="clear" w:color="auto" w:fill="auto"/>
          </w:tcPr>
          <w:p w:rsidR="00937973" w:rsidRDefault="00937973" w:rsidP="00F541B2">
            <w:pPr>
              <w:pStyle w:val="Liik"/>
            </w:pPr>
            <w:r>
              <w:t>RAKENDUSPLAAN</w:t>
            </w:r>
          </w:p>
          <w:p w:rsidR="00937973" w:rsidRPr="006B118C" w:rsidRDefault="00937973" w:rsidP="00F541B2"/>
          <w:p w:rsidR="00937973" w:rsidRPr="006B118C" w:rsidRDefault="00937973" w:rsidP="00F541B2"/>
        </w:tc>
        <w:tc>
          <w:tcPr>
            <w:tcW w:w="3260" w:type="dxa"/>
            <w:shd w:val="clear" w:color="auto" w:fill="auto"/>
          </w:tcPr>
          <w:p w:rsidR="00937973" w:rsidRPr="0076054B" w:rsidRDefault="00964A64" w:rsidP="00F541B2">
            <w:pPr>
              <w:pStyle w:val="Kuupev1"/>
            </w:pPr>
            <w:r>
              <w:t xml:space="preserve">             </w:t>
            </w:r>
            <w:r w:rsidR="00143989">
              <w:t xml:space="preserve">        </w:t>
            </w:r>
            <w:r>
              <w:t xml:space="preserve"> </w:t>
            </w:r>
            <w:r w:rsidR="00D5216A">
              <w:t xml:space="preserve">                </w:t>
            </w:r>
            <w:r>
              <w:t xml:space="preserve"> </w:t>
            </w:r>
            <w:r w:rsidR="000D3D5C">
              <w:t>.10</w:t>
            </w:r>
            <w:r w:rsidR="00937973">
              <w:t>.2014</w:t>
            </w:r>
          </w:p>
        </w:tc>
      </w:tr>
      <w:tr w:rsidR="00937973" w:rsidTr="00937973">
        <w:trPr>
          <w:trHeight w:val="624"/>
        </w:trPr>
        <w:tc>
          <w:tcPr>
            <w:tcW w:w="11199" w:type="dxa"/>
            <w:shd w:val="clear" w:color="auto" w:fill="auto"/>
          </w:tcPr>
          <w:p w:rsidR="00937973" w:rsidRPr="004A48A1" w:rsidRDefault="00D42F9F" w:rsidP="00D42F9F">
            <w:pPr>
              <w:pStyle w:val="Pealkiri"/>
            </w:pPr>
            <w:r w:rsidRPr="00D42F9F">
              <w:t>Teraviljasektori arengukava aastateks 2014</w:t>
            </w:r>
            <w:r w:rsidRPr="004A48A1">
              <w:t>–2020 rakendusplaan</w:t>
            </w:r>
          </w:p>
        </w:tc>
        <w:tc>
          <w:tcPr>
            <w:tcW w:w="3260" w:type="dxa"/>
            <w:shd w:val="clear" w:color="auto" w:fill="auto"/>
          </w:tcPr>
          <w:p w:rsidR="00937973" w:rsidRDefault="00937973" w:rsidP="00F541B2">
            <w:r>
              <w:t xml:space="preserve"> </w:t>
            </w:r>
          </w:p>
        </w:tc>
      </w:tr>
    </w:tbl>
    <w:p w:rsidR="00937973" w:rsidRDefault="00937973" w:rsidP="00D42F9F">
      <w:pPr>
        <w:pStyle w:val="AK"/>
        <w:jc w:val="left"/>
      </w:pPr>
    </w:p>
    <w:p w:rsidR="00263C4D" w:rsidRDefault="00263C4D" w:rsidP="00D42F9F">
      <w:pPr>
        <w:pStyle w:val="AK"/>
        <w:jc w:val="left"/>
      </w:pPr>
    </w:p>
    <w:tbl>
      <w:tblPr>
        <w:tblpPr w:leftFromText="141" w:rightFromText="141" w:vertAnchor="text" w:tblpY="1"/>
        <w:tblOverlap w:val="never"/>
        <w:tblW w:w="14584" w:type="dxa"/>
        <w:tblInd w:w="55" w:type="dxa"/>
        <w:tblLayout w:type="fixed"/>
        <w:tblCellMar>
          <w:left w:w="70" w:type="dxa"/>
          <w:right w:w="70" w:type="dxa"/>
        </w:tblCellMar>
        <w:tblLook w:val="04A0" w:firstRow="1" w:lastRow="0" w:firstColumn="1" w:lastColumn="0" w:noHBand="0" w:noVBand="1"/>
      </w:tblPr>
      <w:tblGrid>
        <w:gridCol w:w="4453"/>
        <w:gridCol w:w="553"/>
        <w:gridCol w:w="561"/>
        <w:gridCol w:w="1426"/>
        <w:gridCol w:w="1084"/>
        <w:gridCol w:w="1084"/>
        <w:gridCol w:w="1084"/>
        <w:gridCol w:w="1084"/>
        <w:gridCol w:w="1084"/>
        <w:gridCol w:w="1084"/>
        <w:gridCol w:w="1087"/>
      </w:tblGrid>
      <w:tr w:rsidR="00263C4D" w:rsidRPr="00E958CE" w:rsidTr="00F541B2">
        <w:trPr>
          <w:trHeight w:val="142"/>
        </w:trPr>
        <w:tc>
          <w:tcPr>
            <w:tcW w:w="4453" w:type="dxa"/>
            <w:tcBorders>
              <w:top w:val="nil"/>
              <w:left w:val="nil"/>
              <w:bottom w:val="nil"/>
              <w:right w:val="nil"/>
            </w:tcBorders>
            <w:shd w:val="clear" w:color="auto" w:fill="auto"/>
            <w:noWrap/>
            <w:vAlign w:val="bottom"/>
            <w:hideMark/>
          </w:tcPr>
          <w:p w:rsidR="00263C4D" w:rsidRPr="00F01A9E" w:rsidRDefault="00263C4D" w:rsidP="00F541B2">
            <w:pPr>
              <w:spacing w:line="276" w:lineRule="auto"/>
              <w:rPr>
                <w:rFonts w:ascii="Times New Roman" w:hAnsi="Times New Roman" w:cs="Times New Roman"/>
                <w:color w:val="000000"/>
                <w:sz w:val="16"/>
                <w:szCs w:val="16"/>
              </w:rPr>
            </w:pPr>
          </w:p>
        </w:tc>
        <w:tc>
          <w:tcPr>
            <w:tcW w:w="1114" w:type="dxa"/>
            <w:gridSpan w:val="2"/>
            <w:tcBorders>
              <w:top w:val="nil"/>
              <w:left w:val="nil"/>
              <w:bottom w:val="nil"/>
              <w:right w:val="nil"/>
            </w:tcBorders>
            <w:shd w:val="clear" w:color="auto" w:fill="auto"/>
            <w:noWrap/>
            <w:vAlign w:val="bottom"/>
            <w:hideMark/>
          </w:tcPr>
          <w:p w:rsidR="00263C4D" w:rsidRPr="00DC54E8" w:rsidRDefault="00263C4D" w:rsidP="00F541B2">
            <w:pPr>
              <w:spacing w:line="276" w:lineRule="auto"/>
              <w:rPr>
                <w:rFonts w:ascii="Times New Roman" w:hAnsi="Times New Roman" w:cs="Times New Roman"/>
                <w:color w:val="000000"/>
                <w:sz w:val="16"/>
                <w:szCs w:val="16"/>
              </w:rPr>
            </w:pPr>
          </w:p>
        </w:tc>
        <w:tc>
          <w:tcPr>
            <w:tcW w:w="1426" w:type="dxa"/>
            <w:tcBorders>
              <w:top w:val="nil"/>
              <w:left w:val="nil"/>
              <w:bottom w:val="nil"/>
              <w:right w:val="nil"/>
            </w:tcBorders>
            <w:shd w:val="clear" w:color="auto" w:fill="auto"/>
            <w:noWrap/>
            <w:vAlign w:val="bottom"/>
            <w:hideMark/>
          </w:tcPr>
          <w:p w:rsidR="00263C4D" w:rsidRPr="00E958CE" w:rsidRDefault="00263C4D" w:rsidP="00F541B2">
            <w:pPr>
              <w:spacing w:line="276" w:lineRule="auto"/>
              <w:rPr>
                <w:rFonts w:ascii="Times New Roman" w:hAnsi="Times New Roman" w:cs="Times New Roman"/>
                <w:color w:val="000000"/>
              </w:rPr>
            </w:pPr>
          </w:p>
        </w:tc>
        <w:tc>
          <w:tcPr>
            <w:tcW w:w="1084" w:type="dxa"/>
            <w:tcBorders>
              <w:top w:val="nil"/>
              <w:left w:val="nil"/>
              <w:bottom w:val="nil"/>
              <w:right w:val="nil"/>
            </w:tcBorders>
            <w:shd w:val="clear" w:color="auto" w:fill="auto"/>
            <w:noWrap/>
            <w:vAlign w:val="bottom"/>
            <w:hideMark/>
          </w:tcPr>
          <w:p w:rsidR="00263C4D" w:rsidRPr="00E958CE" w:rsidRDefault="00263C4D" w:rsidP="00F541B2">
            <w:pPr>
              <w:spacing w:line="276" w:lineRule="auto"/>
              <w:rPr>
                <w:rFonts w:ascii="Times New Roman" w:hAnsi="Times New Roman" w:cs="Times New Roman"/>
                <w:color w:val="000000"/>
              </w:rPr>
            </w:pPr>
          </w:p>
        </w:tc>
        <w:tc>
          <w:tcPr>
            <w:tcW w:w="1084" w:type="dxa"/>
            <w:tcBorders>
              <w:top w:val="nil"/>
              <w:left w:val="nil"/>
              <w:bottom w:val="nil"/>
              <w:right w:val="nil"/>
            </w:tcBorders>
            <w:shd w:val="clear" w:color="auto" w:fill="auto"/>
            <w:noWrap/>
            <w:vAlign w:val="bottom"/>
            <w:hideMark/>
          </w:tcPr>
          <w:p w:rsidR="00263C4D" w:rsidRPr="00E958CE" w:rsidRDefault="00263C4D" w:rsidP="00F541B2">
            <w:pPr>
              <w:spacing w:line="276" w:lineRule="auto"/>
              <w:rPr>
                <w:rFonts w:ascii="Times New Roman" w:hAnsi="Times New Roman" w:cs="Times New Roman"/>
                <w:color w:val="000000"/>
              </w:rPr>
            </w:pPr>
          </w:p>
        </w:tc>
        <w:tc>
          <w:tcPr>
            <w:tcW w:w="1084" w:type="dxa"/>
            <w:tcBorders>
              <w:top w:val="nil"/>
              <w:left w:val="nil"/>
              <w:bottom w:val="nil"/>
              <w:right w:val="nil"/>
            </w:tcBorders>
            <w:shd w:val="clear" w:color="auto" w:fill="auto"/>
            <w:noWrap/>
            <w:vAlign w:val="bottom"/>
            <w:hideMark/>
          </w:tcPr>
          <w:p w:rsidR="00263C4D" w:rsidRPr="00E958CE" w:rsidRDefault="00263C4D" w:rsidP="00F541B2">
            <w:pPr>
              <w:spacing w:line="276" w:lineRule="auto"/>
              <w:rPr>
                <w:rFonts w:ascii="Times New Roman" w:hAnsi="Times New Roman" w:cs="Times New Roman"/>
                <w:color w:val="000000"/>
              </w:rPr>
            </w:pPr>
          </w:p>
        </w:tc>
        <w:tc>
          <w:tcPr>
            <w:tcW w:w="1084" w:type="dxa"/>
            <w:tcBorders>
              <w:top w:val="nil"/>
              <w:left w:val="nil"/>
              <w:bottom w:val="nil"/>
              <w:right w:val="nil"/>
            </w:tcBorders>
            <w:shd w:val="clear" w:color="auto" w:fill="auto"/>
            <w:noWrap/>
            <w:vAlign w:val="bottom"/>
            <w:hideMark/>
          </w:tcPr>
          <w:p w:rsidR="00263C4D" w:rsidRPr="00E958CE" w:rsidRDefault="00263C4D" w:rsidP="00F541B2">
            <w:pPr>
              <w:spacing w:line="276" w:lineRule="auto"/>
              <w:rPr>
                <w:rFonts w:ascii="Times New Roman" w:hAnsi="Times New Roman" w:cs="Times New Roman"/>
                <w:color w:val="000000"/>
              </w:rPr>
            </w:pPr>
          </w:p>
        </w:tc>
        <w:tc>
          <w:tcPr>
            <w:tcW w:w="1084" w:type="dxa"/>
            <w:tcBorders>
              <w:top w:val="nil"/>
              <w:left w:val="nil"/>
              <w:bottom w:val="nil"/>
              <w:right w:val="nil"/>
            </w:tcBorders>
            <w:shd w:val="clear" w:color="auto" w:fill="auto"/>
            <w:noWrap/>
            <w:vAlign w:val="bottom"/>
            <w:hideMark/>
          </w:tcPr>
          <w:p w:rsidR="00263C4D" w:rsidRPr="00E958CE" w:rsidRDefault="00263C4D" w:rsidP="00F541B2">
            <w:pPr>
              <w:spacing w:line="276" w:lineRule="auto"/>
              <w:rPr>
                <w:rFonts w:ascii="Times New Roman" w:hAnsi="Times New Roman" w:cs="Times New Roman"/>
                <w:color w:val="000000"/>
              </w:rPr>
            </w:pPr>
          </w:p>
        </w:tc>
        <w:tc>
          <w:tcPr>
            <w:tcW w:w="1084" w:type="dxa"/>
            <w:tcBorders>
              <w:top w:val="nil"/>
              <w:left w:val="nil"/>
              <w:bottom w:val="nil"/>
              <w:right w:val="nil"/>
            </w:tcBorders>
            <w:shd w:val="clear" w:color="auto" w:fill="auto"/>
            <w:noWrap/>
            <w:vAlign w:val="bottom"/>
            <w:hideMark/>
          </w:tcPr>
          <w:p w:rsidR="00263C4D" w:rsidRPr="00E958CE" w:rsidRDefault="00263C4D" w:rsidP="00F541B2">
            <w:pPr>
              <w:spacing w:line="276" w:lineRule="auto"/>
              <w:rPr>
                <w:rFonts w:ascii="Times New Roman" w:hAnsi="Times New Roman" w:cs="Times New Roman"/>
                <w:color w:val="000000"/>
              </w:rPr>
            </w:pPr>
          </w:p>
        </w:tc>
        <w:tc>
          <w:tcPr>
            <w:tcW w:w="1087" w:type="dxa"/>
            <w:tcBorders>
              <w:top w:val="nil"/>
              <w:left w:val="nil"/>
              <w:bottom w:val="nil"/>
              <w:right w:val="nil"/>
            </w:tcBorders>
            <w:shd w:val="clear" w:color="auto" w:fill="auto"/>
            <w:noWrap/>
            <w:vAlign w:val="bottom"/>
            <w:hideMark/>
          </w:tcPr>
          <w:p w:rsidR="00263C4D" w:rsidRPr="00E958CE" w:rsidRDefault="00263C4D" w:rsidP="00F541B2">
            <w:pPr>
              <w:spacing w:line="276" w:lineRule="auto"/>
              <w:rPr>
                <w:rFonts w:ascii="Times New Roman" w:hAnsi="Times New Roman" w:cs="Times New Roman"/>
                <w:color w:val="000000"/>
              </w:rPr>
            </w:pPr>
          </w:p>
        </w:tc>
      </w:tr>
      <w:tr w:rsidR="00263C4D" w:rsidRPr="00E958CE" w:rsidTr="00F541B2">
        <w:trPr>
          <w:trHeight w:val="240"/>
        </w:trPr>
        <w:tc>
          <w:tcPr>
            <w:tcW w:w="5567" w:type="dxa"/>
            <w:gridSpan w:val="3"/>
            <w:vMerge w:val="restart"/>
            <w:tcBorders>
              <w:top w:val="single" w:sz="8" w:space="0" w:color="auto"/>
              <w:left w:val="single" w:sz="8" w:space="0" w:color="auto"/>
              <w:bottom w:val="single" w:sz="8" w:space="0" w:color="000000"/>
              <w:right w:val="single" w:sz="8" w:space="0" w:color="000000"/>
            </w:tcBorders>
            <w:shd w:val="clear" w:color="auto" w:fill="AD0101" w:themeFill="accent1"/>
            <w:vAlign w:val="center"/>
            <w:hideMark/>
          </w:tcPr>
          <w:p w:rsidR="00263C4D" w:rsidRPr="000A36AD" w:rsidRDefault="00263C4D" w:rsidP="00F541B2">
            <w:pPr>
              <w:spacing w:line="276" w:lineRule="auto"/>
              <w:jc w:val="center"/>
              <w:rPr>
                <w:rFonts w:ascii="Times New Roman" w:hAnsi="Times New Roman" w:cs="Times New Roman"/>
                <w:b/>
                <w:color w:val="FFFFFF" w:themeColor="background1"/>
              </w:rPr>
            </w:pPr>
            <w:r w:rsidRPr="000A36AD">
              <w:rPr>
                <w:rFonts w:ascii="Times New Roman" w:hAnsi="Times New Roman" w:cs="Times New Roman"/>
                <w:b/>
                <w:color w:val="FFFFFF" w:themeColor="background1"/>
              </w:rPr>
              <w:t>Mõõdikud</w:t>
            </w:r>
          </w:p>
        </w:tc>
        <w:tc>
          <w:tcPr>
            <w:tcW w:w="1426" w:type="dxa"/>
            <w:tcBorders>
              <w:top w:val="single" w:sz="8" w:space="0" w:color="auto"/>
              <w:left w:val="nil"/>
              <w:bottom w:val="single" w:sz="8" w:space="0" w:color="auto"/>
              <w:right w:val="single" w:sz="8" w:space="0" w:color="auto"/>
            </w:tcBorders>
            <w:shd w:val="clear" w:color="auto" w:fill="AD0101" w:themeFill="accent1"/>
            <w:vAlign w:val="center"/>
            <w:hideMark/>
          </w:tcPr>
          <w:p w:rsidR="00263C4D" w:rsidRPr="000A36AD" w:rsidRDefault="00263C4D" w:rsidP="00F541B2">
            <w:pPr>
              <w:spacing w:line="276" w:lineRule="auto"/>
              <w:jc w:val="center"/>
              <w:rPr>
                <w:rFonts w:ascii="Times New Roman" w:hAnsi="Times New Roman" w:cs="Times New Roman"/>
                <w:b/>
                <w:color w:val="FFFFFF" w:themeColor="background1"/>
              </w:rPr>
            </w:pPr>
            <w:r w:rsidRPr="000A36AD">
              <w:rPr>
                <w:rFonts w:ascii="Times New Roman" w:hAnsi="Times New Roman" w:cs="Times New Roman"/>
                <w:b/>
                <w:color w:val="FFFFFF" w:themeColor="background1"/>
              </w:rPr>
              <w:t>Algtase</w:t>
            </w:r>
          </w:p>
        </w:tc>
        <w:tc>
          <w:tcPr>
            <w:tcW w:w="7588" w:type="dxa"/>
            <w:gridSpan w:val="7"/>
            <w:tcBorders>
              <w:top w:val="single" w:sz="8" w:space="0" w:color="auto"/>
              <w:left w:val="nil"/>
              <w:bottom w:val="single" w:sz="8" w:space="0" w:color="auto"/>
              <w:right w:val="single" w:sz="8" w:space="0" w:color="000000"/>
            </w:tcBorders>
            <w:shd w:val="clear" w:color="auto" w:fill="AD0101" w:themeFill="accent1"/>
            <w:vAlign w:val="center"/>
            <w:hideMark/>
          </w:tcPr>
          <w:p w:rsidR="00263C4D" w:rsidRPr="000A36AD" w:rsidRDefault="00263C4D" w:rsidP="00F541B2">
            <w:pPr>
              <w:spacing w:line="276" w:lineRule="auto"/>
              <w:jc w:val="center"/>
              <w:rPr>
                <w:rFonts w:ascii="Times New Roman" w:hAnsi="Times New Roman" w:cs="Times New Roman"/>
                <w:b/>
                <w:color w:val="FFFFFF" w:themeColor="background1"/>
              </w:rPr>
            </w:pPr>
            <w:r w:rsidRPr="000A36AD">
              <w:rPr>
                <w:rFonts w:ascii="Times New Roman" w:hAnsi="Times New Roman" w:cs="Times New Roman"/>
                <w:b/>
                <w:color w:val="FFFFFF" w:themeColor="background1"/>
              </w:rPr>
              <w:t>Sihttase</w:t>
            </w:r>
          </w:p>
        </w:tc>
      </w:tr>
      <w:tr w:rsidR="00263C4D" w:rsidRPr="00E958CE" w:rsidTr="00F541B2">
        <w:trPr>
          <w:trHeight w:val="386"/>
        </w:trPr>
        <w:tc>
          <w:tcPr>
            <w:tcW w:w="5567" w:type="dxa"/>
            <w:gridSpan w:val="3"/>
            <w:vMerge/>
            <w:tcBorders>
              <w:top w:val="single" w:sz="8" w:space="0" w:color="auto"/>
              <w:left w:val="single" w:sz="8" w:space="0" w:color="auto"/>
              <w:bottom w:val="single" w:sz="8" w:space="0" w:color="000000"/>
              <w:right w:val="single" w:sz="8" w:space="0" w:color="000000"/>
            </w:tcBorders>
            <w:shd w:val="clear" w:color="auto" w:fill="AD0101" w:themeFill="accent1"/>
            <w:vAlign w:val="center"/>
            <w:hideMark/>
          </w:tcPr>
          <w:p w:rsidR="00263C4D" w:rsidRPr="000A36AD" w:rsidRDefault="00263C4D" w:rsidP="00F541B2">
            <w:pPr>
              <w:spacing w:line="276" w:lineRule="auto"/>
              <w:rPr>
                <w:rFonts w:ascii="Times New Roman" w:hAnsi="Times New Roman" w:cs="Times New Roman"/>
                <w:b/>
                <w:color w:val="FFFFFF" w:themeColor="background1"/>
              </w:rPr>
            </w:pPr>
          </w:p>
        </w:tc>
        <w:tc>
          <w:tcPr>
            <w:tcW w:w="1426" w:type="dxa"/>
            <w:tcBorders>
              <w:top w:val="nil"/>
              <w:left w:val="nil"/>
              <w:bottom w:val="single" w:sz="8" w:space="0" w:color="auto"/>
              <w:right w:val="single" w:sz="8" w:space="0" w:color="auto"/>
            </w:tcBorders>
            <w:shd w:val="clear" w:color="auto" w:fill="AD0101" w:themeFill="accent1"/>
            <w:vAlign w:val="center"/>
            <w:hideMark/>
          </w:tcPr>
          <w:p w:rsidR="00263C4D" w:rsidRPr="000A36AD" w:rsidRDefault="00263C4D" w:rsidP="00F541B2">
            <w:pPr>
              <w:spacing w:line="276" w:lineRule="auto"/>
              <w:jc w:val="center"/>
              <w:rPr>
                <w:rFonts w:ascii="Times New Roman" w:hAnsi="Times New Roman" w:cs="Times New Roman"/>
                <w:b/>
                <w:color w:val="FFFFFF" w:themeColor="background1"/>
              </w:rPr>
            </w:pPr>
            <w:r w:rsidRPr="000A36AD">
              <w:rPr>
                <w:rFonts w:ascii="Times New Roman" w:hAnsi="Times New Roman" w:cs="Times New Roman"/>
                <w:b/>
                <w:color w:val="FFFFFF" w:themeColor="background1"/>
              </w:rPr>
              <w:t>2009-2013</w:t>
            </w:r>
            <w:r w:rsidRPr="000A36AD">
              <w:rPr>
                <w:rStyle w:val="FootnoteReference"/>
                <w:rFonts w:ascii="Times New Roman" w:hAnsi="Times New Roman" w:cs="Times New Roman"/>
                <w:b/>
                <w:color w:val="FFFFFF" w:themeColor="background1"/>
              </w:rPr>
              <w:footnoteReference w:id="32"/>
            </w:r>
            <w:r w:rsidRPr="000A36AD">
              <w:rPr>
                <w:rFonts w:ascii="Times New Roman" w:hAnsi="Times New Roman" w:cs="Times New Roman"/>
                <w:b/>
                <w:color w:val="FFFFFF" w:themeColor="background1"/>
              </w:rPr>
              <w:t xml:space="preserve"> keskmine</w:t>
            </w:r>
          </w:p>
        </w:tc>
        <w:tc>
          <w:tcPr>
            <w:tcW w:w="1084" w:type="dxa"/>
            <w:tcBorders>
              <w:top w:val="nil"/>
              <w:left w:val="nil"/>
              <w:bottom w:val="single" w:sz="8" w:space="0" w:color="auto"/>
              <w:right w:val="nil"/>
            </w:tcBorders>
            <w:shd w:val="clear" w:color="auto" w:fill="AD0101" w:themeFill="accent1"/>
            <w:vAlign w:val="center"/>
            <w:hideMark/>
          </w:tcPr>
          <w:p w:rsidR="00263C4D" w:rsidRPr="000A36AD" w:rsidRDefault="00263C4D" w:rsidP="00F541B2">
            <w:pPr>
              <w:spacing w:line="276" w:lineRule="auto"/>
              <w:jc w:val="center"/>
              <w:rPr>
                <w:rFonts w:ascii="Times New Roman" w:hAnsi="Times New Roman" w:cs="Times New Roman"/>
                <w:b/>
                <w:color w:val="FFFFFF" w:themeColor="background1"/>
              </w:rPr>
            </w:pPr>
            <w:r w:rsidRPr="000A36AD">
              <w:rPr>
                <w:rFonts w:ascii="Times New Roman" w:hAnsi="Times New Roman" w:cs="Times New Roman"/>
                <w:b/>
                <w:color w:val="FFFFFF" w:themeColor="background1"/>
              </w:rPr>
              <w:t>2014</w:t>
            </w:r>
          </w:p>
        </w:tc>
        <w:tc>
          <w:tcPr>
            <w:tcW w:w="1084" w:type="dxa"/>
            <w:tcBorders>
              <w:top w:val="nil"/>
              <w:left w:val="single" w:sz="8" w:space="0" w:color="auto"/>
              <w:bottom w:val="single" w:sz="8" w:space="0" w:color="auto"/>
              <w:right w:val="single" w:sz="8" w:space="0" w:color="auto"/>
            </w:tcBorders>
            <w:shd w:val="clear" w:color="auto" w:fill="AD0101" w:themeFill="accent1"/>
            <w:vAlign w:val="center"/>
            <w:hideMark/>
          </w:tcPr>
          <w:p w:rsidR="00263C4D" w:rsidRPr="000A36AD" w:rsidRDefault="00263C4D" w:rsidP="00F541B2">
            <w:pPr>
              <w:spacing w:line="276" w:lineRule="auto"/>
              <w:jc w:val="center"/>
              <w:rPr>
                <w:rFonts w:ascii="Times New Roman" w:hAnsi="Times New Roman" w:cs="Times New Roman"/>
                <w:b/>
                <w:color w:val="FFFFFF" w:themeColor="background1"/>
              </w:rPr>
            </w:pPr>
            <w:r w:rsidRPr="000A36AD">
              <w:rPr>
                <w:rFonts w:ascii="Times New Roman" w:hAnsi="Times New Roman" w:cs="Times New Roman"/>
                <w:b/>
                <w:color w:val="FFFFFF" w:themeColor="background1"/>
              </w:rPr>
              <w:t>2015</w:t>
            </w:r>
          </w:p>
        </w:tc>
        <w:tc>
          <w:tcPr>
            <w:tcW w:w="1084" w:type="dxa"/>
            <w:tcBorders>
              <w:top w:val="nil"/>
              <w:left w:val="nil"/>
              <w:bottom w:val="single" w:sz="8" w:space="0" w:color="auto"/>
              <w:right w:val="nil"/>
            </w:tcBorders>
            <w:shd w:val="clear" w:color="auto" w:fill="AD0101" w:themeFill="accent1"/>
            <w:vAlign w:val="center"/>
            <w:hideMark/>
          </w:tcPr>
          <w:p w:rsidR="00263C4D" w:rsidRPr="000A36AD" w:rsidRDefault="00263C4D" w:rsidP="00F541B2">
            <w:pPr>
              <w:spacing w:line="276" w:lineRule="auto"/>
              <w:jc w:val="center"/>
              <w:rPr>
                <w:rFonts w:ascii="Times New Roman" w:hAnsi="Times New Roman" w:cs="Times New Roman"/>
                <w:b/>
                <w:color w:val="FFFFFF" w:themeColor="background1"/>
              </w:rPr>
            </w:pPr>
            <w:r w:rsidRPr="000A36AD">
              <w:rPr>
                <w:rFonts w:ascii="Times New Roman" w:hAnsi="Times New Roman" w:cs="Times New Roman"/>
                <w:b/>
                <w:color w:val="FFFFFF" w:themeColor="background1"/>
              </w:rPr>
              <w:t>2016</w:t>
            </w:r>
          </w:p>
        </w:tc>
        <w:tc>
          <w:tcPr>
            <w:tcW w:w="1084" w:type="dxa"/>
            <w:tcBorders>
              <w:top w:val="nil"/>
              <w:left w:val="single" w:sz="8" w:space="0" w:color="auto"/>
              <w:bottom w:val="single" w:sz="8" w:space="0" w:color="auto"/>
              <w:right w:val="single" w:sz="8" w:space="0" w:color="auto"/>
            </w:tcBorders>
            <w:shd w:val="clear" w:color="auto" w:fill="AD0101" w:themeFill="accent1"/>
            <w:vAlign w:val="center"/>
            <w:hideMark/>
          </w:tcPr>
          <w:p w:rsidR="00263C4D" w:rsidRPr="000A36AD" w:rsidRDefault="00263C4D" w:rsidP="00F541B2">
            <w:pPr>
              <w:spacing w:line="276" w:lineRule="auto"/>
              <w:jc w:val="center"/>
              <w:rPr>
                <w:rFonts w:ascii="Times New Roman" w:hAnsi="Times New Roman" w:cs="Times New Roman"/>
                <w:b/>
                <w:color w:val="FFFFFF" w:themeColor="background1"/>
              </w:rPr>
            </w:pPr>
            <w:r w:rsidRPr="000A36AD">
              <w:rPr>
                <w:rFonts w:ascii="Times New Roman" w:hAnsi="Times New Roman" w:cs="Times New Roman"/>
                <w:b/>
                <w:color w:val="FFFFFF" w:themeColor="background1"/>
              </w:rPr>
              <w:t>2017</w:t>
            </w:r>
          </w:p>
        </w:tc>
        <w:tc>
          <w:tcPr>
            <w:tcW w:w="1084" w:type="dxa"/>
            <w:tcBorders>
              <w:top w:val="nil"/>
              <w:left w:val="nil"/>
              <w:bottom w:val="single" w:sz="8" w:space="0" w:color="auto"/>
              <w:right w:val="nil"/>
            </w:tcBorders>
            <w:shd w:val="clear" w:color="auto" w:fill="AD0101" w:themeFill="accent1"/>
            <w:vAlign w:val="center"/>
            <w:hideMark/>
          </w:tcPr>
          <w:p w:rsidR="00263C4D" w:rsidRPr="000A36AD" w:rsidRDefault="00263C4D" w:rsidP="00F541B2">
            <w:pPr>
              <w:spacing w:line="276" w:lineRule="auto"/>
              <w:jc w:val="center"/>
              <w:rPr>
                <w:rFonts w:ascii="Times New Roman" w:hAnsi="Times New Roman" w:cs="Times New Roman"/>
                <w:b/>
                <w:color w:val="FFFFFF" w:themeColor="background1"/>
              </w:rPr>
            </w:pPr>
            <w:r w:rsidRPr="000A36AD">
              <w:rPr>
                <w:rFonts w:ascii="Times New Roman" w:hAnsi="Times New Roman" w:cs="Times New Roman"/>
                <w:b/>
                <w:color w:val="FFFFFF" w:themeColor="background1"/>
              </w:rPr>
              <w:t>2018</w:t>
            </w:r>
          </w:p>
        </w:tc>
        <w:tc>
          <w:tcPr>
            <w:tcW w:w="1084" w:type="dxa"/>
            <w:tcBorders>
              <w:top w:val="nil"/>
              <w:left w:val="single" w:sz="8" w:space="0" w:color="auto"/>
              <w:bottom w:val="single" w:sz="8" w:space="0" w:color="auto"/>
              <w:right w:val="single" w:sz="8" w:space="0" w:color="auto"/>
            </w:tcBorders>
            <w:shd w:val="clear" w:color="auto" w:fill="AD0101" w:themeFill="accent1"/>
            <w:vAlign w:val="center"/>
            <w:hideMark/>
          </w:tcPr>
          <w:p w:rsidR="00263C4D" w:rsidRPr="000A36AD" w:rsidRDefault="00263C4D" w:rsidP="00F541B2">
            <w:pPr>
              <w:spacing w:line="276" w:lineRule="auto"/>
              <w:jc w:val="center"/>
              <w:rPr>
                <w:rFonts w:ascii="Times New Roman" w:hAnsi="Times New Roman" w:cs="Times New Roman"/>
                <w:b/>
                <w:color w:val="FFFFFF" w:themeColor="background1"/>
              </w:rPr>
            </w:pPr>
            <w:r w:rsidRPr="000A36AD">
              <w:rPr>
                <w:rFonts w:ascii="Times New Roman" w:hAnsi="Times New Roman" w:cs="Times New Roman"/>
                <w:b/>
                <w:color w:val="FFFFFF" w:themeColor="background1"/>
              </w:rPr>
              <w:t>2019</w:t>
            </w:r>
          </w:p>
        </w:tc>
        <w:tc>
          <w:tcPr>
            <w:tcW w:w="1087" w:type="dxa"/>
            <w:tcBorders>
              <w:top w:val="nil"/>
              <w:left w:val="nil"/>
              <w:bottom w:val="single" w:sz="8" w:space="0" w:color="auto"/>
              <w:right w:val="single" w:sz="8" w:space="0" w:color="auto"/>
            </w:tcBorders>
            <w:shd w:val="clear" w:color="auto" w:fill="AD0101" w:themeFill="accent1"/>
            <w:vAlign w:val="center"/>
            <w:hideMark/>
          </w:tcPr>
          <w:p w:rsidR="00263C4D" w:rsidRPr="000A36AD" w:rsidRDefault="00263C4D" w:rsidP="00F541B2">
            <w:pPr>
              <w:spacing w:line="276" w:lineRule="auto"/>
              <w:jc w:val="center"/>
              <w:rPr>
                <w:rFonts w:ascii="Times New Roman" w:hAnsi="Times New Roman" w:cs="Times New Roman"/>
                <w:b/>
                <w:color w:val="FFFFFF" w:themeColor="background1"/>
              </w:rPr>
            </w:pPr>
            <w:r w:rsidRPr="000A36AD">
              <w:rPr>
                <w:rFonts w:ascii="Times New Roman" w:hAnsi="Times New Roman" w:cs="Times New Roman"/>
                <w:b/>
                <w:color w:val="FFFFFF" w:themeColor="background1"/>
              </w:rPr>
              <w:t>2020</w:t>
            </w:r>
          </w:p>
        </w:tc>
      </w:tr>
      <w:tr w:rsidR="00263C4D" w:rsidRPr="00E958CE" w:rsidTr="00F541B2">
        <w:trPr>
          <w:trHeight w:val="19"/>
        </w:trPr>
        <w:tc>
          <w:tcPr>
            <w:tcW w:w="4453" w:type="dxa"/>
            <w:tcBorders>
              <w:top w:val="nil"/>
              <w:left w:val="single" w:sz="8" w:space="0" w:color="auto"/>
              <w:bottom w:val="nil"/>
              <w:right w:val="nil"/>
            </w:tcBorders>
            <w:shd w:val="clear" w:color="auto" w:fill="auto"/>
            <w:vAlign w:val="center"/>
            <w:hideMark/>
          </w:tcPr>
          <w:p w:rsidR="00263C4D" w:rsidRPr="000A36AD" w:rsidRDefault="00263C4D" w:rsidP="00F541B2">
            <w:pPr>
              <w:spacing w:line="276" w:lineRule="auto"/>
              <w:rPr>
                <w:rFonts w:ascii="Times New Roman" w:hAnsi="Times New Roman" w:cs="Times New Roman"/>
                <w:b/>
                <w:bCs/>
                <w:color w:val="000000"/>
                <w:u w:val="single"/>
              </w:rPr>
            </w:pPr>
            <w:r w:rsidRPr="000A36AD">
              <w:rPr>
                <w:rFonts w:ascii="Times New Roman" w:hAnsi="Times New Roman" w:cs="Times New Roman"/>
                <w:b/>
                <w:bCs/>
                <w:color w:val="000000"/>
                <w:u w:val="single"/>
              </w:rPr>
              <w:t>Mõõdik 1</w:t>
            </w:r>
            <w:r w:rsidRPr="000A36AD">
              <w:rPr>
                <w:rFonts w:ascii="Times New Roman" w:hAnsi="Times New Roman" w:cs="Times New Roman"/>
                <w:b/>
                <w:bCs/>
                <w:color w:val="000000"/>
              </w:rPr>
              <w:t xml:space="preserve"> </w:t>
            </w:r>
          </w:p>
        </w:tc>
        <w:tc>
          <w:tcPr>
            <w:tcW w:w="1114" w:type="dxa"/>
            <w:gridSpan w:val="2"/>
            <w:tcBorders>
              <w:top w:val="nil"/>
              <w:left w:val="nil"/>
              <w:bottom w:val="nil"/>
              <w:right w:val="nil"/>
            </w:tcBorders>
            <w:shd w:val="clear" w:color="auto" w:fill="auto"/>
            <w:vAlign w:val="center"/>
          </w:tcPr>
          <w:p w:rsidR="00263C4D" w:rsidRPr="000A36AD" w:rsidRDefault="00263C4D" w:rsidP="00F541B2">
            <w:pPr>
              <w:spacing w:line="276" w:lineRule="auto"/>
              <w:rPr>
                <w:rFonts w:ascii="Times New Roman" w:hAnsi="Times New Roman" w:cs="Times New Roman"/>
                <w:color w:val="000000"/>
                <w:u w:val="single"/>
              </w:rPr>
            </w:pPr>
          </w:p>
        </w:tc>
        <w:tc>
          <w:tcPr>
            <w:tcW w:w="1426" w:type="dxa"/>
            <w:tcBorders>
              <w:top w:val="nil"/>
              <w:left w:val="single" w:sz="8" w:space="0" w:color="auto"/>
              <w:bottom w:val="nil"/>
              <w:right w:val="single" w:sz="8" w:space="0" w:color="auto"/>
            </w:tcBorders>
            <w:shd w:val="clear" w:color="auto" w:fill="auto"/>
            <w:noWrap/>
            <w:vAlign w:val="bottom"/>
            <w:hideMark/>
          </w:tcPr>
          <w:p w:rsidR="00263C4D" w:rsidRPr="000A36AD" w:rsidRDefault="00263C4D" w:rsidP="00F541B2">
            <w:pPr>
              <w:spacing w:line="276" w:lineRule="auto"/>
              <w:rPr>
                <w:rFonts w:ascii="Times New Roman" w:hAnsi="Times New Roman" w:cs="Times New Roman"/>
                <w:color w:val="000000"/>
              </w:rPr>
            </w:pPr>
            <w:r w:rsidRPr="000A36AD">
              <w:rPr>
                <w:rFonts w:ascii="Times New Roman" w:hAnsi="Times New Roman" w:cs="Times New Roman"/>
                <w:color w:val="000000"/>
              </w:rPr>
              <w:t> </w:t>
            </w:r>
          </w:p>
        </w:tc>
        <w:tc>
          <w:tcPr>
            <w:tcW w:w="1084" w:type="dxa"/>
            <w:tcBorders>
              <w:top w:val="nil"/>
              <w:left w:val="nil"/>
              <w:bottom w:val="nil"/>
              <w:right w:val="single" w:sz="8" w:space="0" w:color="auto"/>
            </w:tcBorders>
            <w:shd w:val="clear" w:color="auto" w:fill="auto"/>
            <w:noWrap/>
            <w:vAlign w:val="bottom"/>
            <w:hideMark/>
          </w:tcPr>
          <w:p w:rsidR="00263C4D" w:rsidRPr="000A36AD" w:rsidRDefault="00263C4D" w:rsidP="00F541B2">
            <w:pPr>
              <w:spacing w:line="276" w:lineRule="auto"/>
              <w:rPr>
                <w:rFonts w:ascii="Times New Roman" w:hAnsi="Times New Roman" w:cs="Times New Roman"/>
                <w:color w:val="000000"/>
              </w:rPr>
            </w:pPr>
            <w:r w:rsidRPr="000A36AD">
              <w:rPr>
                <w:rFonts w:ascii="Times New Roman" w:hAnsi="Times New Roman" w:cs="Times New Roman"/>
                <w:color w:val="000000"/>
              </w:rPr>
              <w:t> </w:t>
            </w:r>
          </w:p>
        </w:tc>
        <w:tc>
          <w:tcPr>
            <w:tcW w:w="1084" w:type="dxa"/>
            <w:tcBorders>
              <w:top w:val="nil"/>
              <w:left w:val="nil"/>
              <w:bottom w:val="nil"/>
              <w:right w:val="nil"/>
            </w:tcBorders>
            <w:shd w:val="clear" w:color="auto" w:fill="auto"/>
            <w:noWrap/>
            <w:vAlign w:val="bottom"/>
            <w:hideMark/>
          </w:tcPr>
          <w:p w:rsidR="00263C4D" w:rsidRPr="000A36AD" w:rsidRDefault="00263C4D" w:rsidP="00F541B2">
            <w:pPr>
              <w:spacing w:line="276" w:lineRule="auto"/>
              <w:rPr>
                <w:rFonts w:ascii="Times New Roman" w:hAnsi="Times New Roman" w:cs="Times New Roman"/>
                <w:color w:val="000000"/>
              </w:rPr>
            </w:pPr>
          </w:p>
        </w:tc>
        <w:tc>
          <w:tcPr>
            <w:tcW w:w="1084" w:type="dxa"/>
            <w:tcBorders>
              <w:top w:val="nil"/>
              <w:left w:val="single" w:sz="8" w:space="0" w:color="auto"/>
              <w:bottom w:val="nil"/>
              <w:right w:val="single" w:sz="8" w:space="0" w:color="auto"/>
            </w:tcBorders>
            <w:shd w:val="clear" w:color="auto" w:fill="auto"/>
            <w:noWrap/>
            <w:vAlign w:val="bottom"/>
            <w:hideMark/>
          </w:tcPr>
          <w:p w:rsidR="00263C4D" w:rsidRPr="000A36AD" w:rsidRDefault="00263C4D" w:rsidP="00F541B2">
            <w:pPr>
              <w:spacing w:line="276" w:lineRule="auto"/>
              <w:rPr>
                <w:rFonts w:ascii="Times New Roman" w:hAnsi="Times New Roman" w:cs="Times New Roman"/>
                <w:color w:val="000000"/>
              </w:rPr>
            </w:pPr>
            <w:r w:rsidRPr="000A36AD">
              <w:rPr>
                <w:rFonts w:ascii="Times New Roman" w:hAnsi="Times New Roman" w:cs="Times New Roman"/>
                <w:color w:val="000000"/>
              </w:rPr>
              <w:t> </w:t>
            </w:r>
          </w:p>
        </w:tc>
        <w:tc>
          <w:tcPr>
            <w:tcW w:w="1084" w:type="dxa"/>
            <w:tcBorders>
              <w:top w:val="nil"/>
              <w:left w:val="nil"/>
              <w:bottom w:val="nil"/>
              <w:right w:val="nil"/>
            </w:tcBorders>
            <w:shd w:val="clear" w:color="auto" w:fill="auto"/>
            <w:noWrap/>
            <w:vAlign w:val="bottom"/>
            <w:hideMark/>
          </w:tcPr>
          <w:p w:rsidR="00263C4D" w:rsidRPr="000A36AD" w:rsidRDefault="00263C4D" w:rsidP="00F541B2">
            <w:pPr>
              <w:spacing w:line="276" w:lineRule="auto"/>
              <w:rPr>
                <w:rFonts w:ascii="Times New Roman" w:hAnsi="Times New Roman" w:cs="Times New Roman"/>
                <w:color w:val="000000"/>
              </w:rPr>
            </w:pPr>
          </w:p>
        </w:tc>
        <w:tc>
          <w:tcPr>
            <w:tcW w:w="1084" w:type="dxa"/>
            <w:tcBorders>
              <w:top w:val="nil"/>
              <w:left w:val="single" w:sz="8" w:space="0" w:color="auto"/>
              <w:bottom w:val="nil"/>
              <w:right w:val="single" w:sz="8" w:space="0" w:color="auto"/>
            </w:tcBorders>
            <w:shd w:val="clear" w:color="auto" w:fill="auto"/>
            <w:noWrap/>
            <w:vAlign w:val="bottom"/>
            <w:hideMark/>
          </w:tcPr>
          <w:p w:rsidR="00263C4D" w:rsidRPr="000A36AD" w:rsidRDefault="00263C4D" w:rsidP="00F541B2">
            <w:pPr>
              <w:spacing w:line="276" w:lineRule="auto"/>
              <w:rPr>
                <w:rFonts w:ascii="Times New Roman" w:hAnsi="Times New Roman" w:cs="Times New Roman"/>
                <w:color w:val="000000"/>
              </w:rPr>
            </w:pPr>
            <w:r w:rsidRPr="000A36AD">
              <w:rPr>
                <w:rFonts w:ascii="Times New Roman" w:hAnsi="Times New Roman" w:cs="Times New Roman"/>
                <w:color w:val="000000"/>
              </w:rPr>
              <w:t> </w:t>
            </w:r>
          </w:p>
        </w:tc>
        <w:tc>
          <w:tcPr>
            <w:tcW w:w="1084" w:type="dxa"/>
            <w:tcBorders>
              <w:top w:val="nil"/>
              <w:left w:val="nil"/>
              <w:bottom w:val="nil"/>
              <w:right w:val="nil"/>
            </w:tcBorders>
            <w:shd w:val="clear" w:color="auto" w:fill="auto"/>
            <w:noWrap/>
            <w:vAlign w:val="bottom"/>
            <w:hideMark/>
          </w:tcPr>
          <w:p w:rsidR="00263C4D" w:rsidRPr="000A36AD" w:rsidRDefault="00263C4D" w:rsidP="00F541B2">
            <w:pPr>
              <w:spacing w:line="276" w:lineRule="auto"/>
              <w:rPr>
                <w:rFonts w:ascii="Times New Roman" w:hAnsi="Times New Roman" w:cs="Times New Roman"/>
                <w:color w:val="000000"/>
              </w:rPr>
            </w:pPr>
          </w:p>
        </w:tc>
        <w:tc>
          <w:tcPr>
            <w:tcW w:w="1087" w:type="dxa"/>
            <w:tcBorders>
              <w:top w:val="nil"/>
              <w:left w:val="single" w:sz="8" w:space="0" w:color="auto"/>
              <w:bottom w:val="nil"/>
              <w:right w:val="single" w:sz="8" w:space="0" w:color="auto"/>
            </w:tcBorders>
            <w:shd w:val="clear" w:color="auto" w:fill="auto"/>
            <w:noWrap/>
            <w:vAlign w:val="bottom"/>
            <w:hideMark/>
          </w:tcPr>
          <w:p w:rsidR="00263C4D" w:rsidRPr="000A36AD" w:rsidRDefault="00263C4D" w:rsidP="00F541B2">
            <w:pPr>
              <w:spacing w:line="276" w:lineRule="auto"/>
              <w:rPr>
                <w:rFonts w:ascii="Times New Roman" w:hAnsi="Times New Roman" w:cs="Times New Roman"/>
                <w:color w:val="000000"/>
              </w:rPr>
            </w:pPr>
            <w:r w:rsidRPr="000A36AD">
              <w:rPr>
                <w:rFonts w:ascii="Times New Roman" w:hAnsi="Times New Roman" w:cs="Times New Roman"/>
                <w:color w:val="000000"/>
              </w:rPr>
              <w:t> </w:t>
            </w:r>
          </w:p>
        </w:tc>
      </w:tr>
      <w:tr w:rsidR="00263C4D" w:rsidRPr="00E958CE" w:rsidTr="00F541B2">
        <w:trPr>
          <w:trHeight w:val="19"/>
        </w:trPr>
        <w:tc>
          <w:tcPr>
            <w:tcW w:w="4453" w:type="dxa"/>
            <w:vMerge w:val="restart"/>
            <w:tcBorders>
              <w:top w:val="nil"/>
              <w:left w:val="single" w:sz="8" w:space="0" w:color="auto"/>
              <w:bottom w:val="nil"/>
              <w:right w:val="nil"/>
            </w:tcBorders>
            <w:shd w:val="clear" w:color="auto" w:fill="auto"/>
            <w:hideMark/>
          </w:tcPr>
          <w:p w:rsidR="00263C4D" w:rsidRPr="000A36AD" w:rsidRDefault="00263C4D" w:rsidP="00F541B2">
            <w:pPr>
              <w:spacing w:line="276" w:lineRule="auto"/>
              <w:rPr>
                <w:rFonts w:ascii="Times New Roman" w:hAnsi="Times New Roman" w:cs="Times New Roman"/>
                <w:color w:val="000000"/>
              </w:rPr>
            </w:pPr>
            <w:r w:rsidRPr="000A36AD">
              <w:rPr>
                <w:rFonts w:ascii="Times New Roman" w:hAnsi="Times New Roman" w:cs="Times New Roman"/>
                <w:color w:val="000000"/>
              </w:rPr>
              <w:t>Teraviljaga isevarustatuse tase; %</w:t>
            </w:r>
            <w:r w:rsidRPr="000A36AD">
              <w:rPr>
                <w:rFonts w:ascii="Times New Roman" w:hAnsi="Times New Roman" w:cs="Times New Roman"/>
                <w:color w:val="000000"/>
              </w:rPr>
              <w:br/>
              <w:t>Allikas: Statistikaamet</w:t>
            </w:r>
          </w:p>
        </w:tc>
        <w:tc>
          <w:tcPr>
            <w:tcW w:w="1114" w:type="dxa"/>
            <w:gridSpan w:val="2"/>
            <w:tcBorders>
              <w:top w:val="nil"/>
              <w:left w:val="nil"/>
              <w:bottom w:val="nil"/>
              <w:right w:val="nil"/>
            </w:tcBorders>
            <w:shd w:val="clear" w:color="auto" w:fill="auto"/>
            <w:vAlign w:val="center"/>
          </w:tcPr>
          <w:p w:rsidR="00263C4D" w:rsidRPr="000A36AD" w:rsidRDefault="00263C4D" w:rsidP="00F541B2">
            <w:pPr>
              <w:spacing w:line="276" w:lineRule="auto"/>
              <w:rPr>
                <w:rFonts w:ascii="Times New Roman" w:hAnsi="Times New Roman" w:cs="Times New Roman"/>
                <w:color w:val="000000"/>
              </w:rPr>
            </w:pPr>
          </w:p>
        </w:tc>
        <w:tc>
          <w:tcPr>
            <w:tcW w:w="1426" w:type="dxa"/>
            <w:tcBorders>
              <w:top w:val="nil"/>
              <w:left w:val="single" w:sz="8" w:space="0" w:color="auto"/>
              <w:bottom w:val="nil"/>
              <w:right w:val="single" w:sz="8" w:space="0" w:color="auto"/>
            </w:tcBorders>
            <w:shd w:val="clear" w:color="auto" w:fill="auto"/>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129</w:t>
            </w:r>
          </w:p>
        </w:tc>
        <w:tc>
          <w:tcPr>
            <w:tcW w:w="1084" w:type="dxa"/>
            <w:tcBorders>
              <w:top w:val="nil"/>
              <w:left w:val="nil"/>
              <w:bottom w:val="nil"/>
              <w:right w:val="single" w:sz="8" w:space="0" w:color="auto"/>
            </w:tcBorders>
            <w:shd w:val="clear" w:color="auto" w:fill="auto"/>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139</w:t>
            </w:r>
          </w:p>
        </w:tc>
        <w:tc>
          <w:tcPr>
            <w:tcW w:w="1084" w:type="dxa"/>
            <w:tcBorders>
              <w:top w:val="nil"/>
              <w:left w:val="nil"/>
              <w:bottom w:val="nil"/>
              <w:right w:val="nil"/>
            </w:tcBorders>
            <w:shd w:val="clear" w:color="auto" w:fill="auto"/>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151</w:t>
            </w:r>
          </w:p>
        </w:tc>
        <w:tc>
          <w:tcPr>
            <w:tcW w:w="1084" w:type="dxa"/>
            <w:tcBorders>
              <w:top w:val="nil"/>
              <w:left w:val="single" w:sz="8" w:space="0" w:color="auto"/>
              <w:bottom w:val="nil"/>
              <w:right w:val="single" w:sz="8" w:space="0" w:color="auto"/>
            </w:tcBorders>
            <w:shd w:val="clear" w:color="auto" w:fill="auto"/>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163</w:t>
            </w:r>
          </w:p>
        </w:tc>
        <w:tc>
          <w:tcPr>
            <w:tcW w:w="1084" w:type="dxa"/>
            <w:tcBorders>
              <w:top w:val="nil"/>
              <w:left w:val="nil"/>
              <w:bottom w:val="nil"/>
              <w:right w:val="nil"/>
            </w:tcBorders>
            <w:shd w:val="clear" w:color="auto" w:fill="auto"/>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176</w:t>
            </w:r>
          </w:p>
        </w:tc>
        <w:tc>
          <w:tcPr>
            <w:tcW w:w="1084" w:type="dxa"/>
            <w:tcBorders>
              <w:top w:val="nil"/>
              <w:left w:val="single" w:sz="8" w:space="0" w:color="auto"/>
              <w:bottom w:val="nil"/>
              <w:right w:val="single" w:sz="8" w:space="0" w:color="auto"/>
            </w:tcBorders>
            <w:shd w:val="clear" w:color="auto" w:fill="auto"/>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190</w:t>
            </w:r>
          </w:p>
        </w:tc>
        <w:tc>
          <w:tcPr>
            <w:tcW w:w="1084" w:type="dxa"/>
            <w:tcBorders>
              <w:top w:val="nil"/>
              <w:left w:val="nil"/>
              <w:bottom w:val="nil"/>
              <w:right w:val="nil"/>
            </w:tcBorders>
            <w:shd w:val="clear" w:color="auto" w:fill="auto"/>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206</w:t>
            </w:r>
          </w:p>
        </w:tc>
        <w:tc>
          <w:tcPr>
            <w:tcW w:w="1087" w:type="dxa"/>
            <w:tcBorders>
              <w:top w:val="nil"/>
              <w:left w:val="single" w:sz="8" w:space="0" w:color="auto"/>
              <w:bottom w:val="nil"/>
              <w:right w:val="single" w:sz="8" w:space="0" w:color="auto"/>
            </w:tcBorders>
            <w:shd w:val="clear" w:color="auto" w:fill="auto"/>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222</w:t>
            </w:r>
          </w:p>
        </w:tc>
      </w:tr>
      <w:tr w:rsidR="00263C4D" w:rsidRPr="00E958CE" w:rsidTr="00F541B2">
        <w:trPr>
          <w:trHeight w:val="191"/>
        </w:trPr>
        <w:tc>
          <w:tcPr>
            <w:tcW w:w="4453" w:type="dxa"/>
            <w:vMerge/>
            <w:tcBorders>
              <w:top w:val="nil"/>
              <w:left w:val="single" w:sz="8" w:space="0" w:color="auto"/>
              <w:bottom w:val="single" w:sz="4" w:space="0" w:color="auto"/>
              <w:right w:val="nil"/>
            </w:tcBorders>
            <w:vAlign w:val="center"/>
            <w:hideMark/>
          </w:tcPr>
          <w:p w:rsidR="00263C4D" w:rsidRPr="000A36AD" w:rsidRDefault="00263C4D" w:rsidP="00F541B2">
            <w:pPr>
              <w:spacing w:line="276" w:lineRule="auto"/>
              <w:rPr>
                <w:rFonts w:ascii="Times New Roman" w:hAnsi="Times New Roman" w:cs="Times New Roman"/>
                <w:color w:val="000000"/>
              </w:rPr>
            </w:pPr>
          </w:p>
        </w:tc>
        <w:tc>
          <w:tcPr>
            <w:tcW w:w="1114" w:type="dxa"/>
            <w:gridSpan w:val="2"/>
            <w:tcBorders>
              <w:top w:val="nil"/>
              <w:left w:val="nil"/>
              <w:bottom w:val="single" w:sz="4" w:space="0" w:color="auto"/>
              <w:right w:val="nil"/>
            </w:tcBorders>
            <w:shd w:val="clear" w:color="auto" w:fill="auto"/>
            <w:vAlign w:val="center"/>
            <w:hideMark/>
          </w:tcPr>
          <w:p w:rsidR="00263C4D" w:rsidRPr="000A36AD" w:rsidRDefault="00263C4D" w:rsidP="00F541B2">
            <w:pPr>
              <w:spacing w:line="276" w:lineRule="auto"/>
              <w:rPr>
                <w:rFonts w:ascii="Times New Roman" w:hAnsi="Times New Roman" w:cs="Times New Roman"/>
                <w:i/>
                <w:iCs/>
                <w:color w:val="000000"/>
              </w:rPr>
            </w:pPr>
          </w:p>
        </w:tc>
        <w:tc>
          <w:tcPr>
            <w:tcW w:w="1426" w:type="dxa"/>
            <w:tcBorders>
              <w:top w:val="nil"/>
              <w:left w:val="single" w:sz="8" w:space="0" w:color="auto"/>
              <w:bottom w:val="single" w:sz="8" w:space="0" w:color="auto"/>
              <w:right w:val="single" w:sz="8" w:space="0" w:color="auto"/>
            </w:tcBorders>
            <w:shd w:val="clear" w:color="auto" w:fill="auto"/>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 </w:t>
            </w:r>
          </w:p>
        </w:tc>
        <w:tc>
          <w:tcPr>
            <w:tcW w:w="1084" w:type="dxa"/>
            <w:tcBorders>
              <w:top w:val="nil"/>
              <w:left w:val="nil"/>
              <w:bottom w:val="nil"/>
              <w:right w:val="single" w:sz="8" w:space="0" w:color="auto"/>
            </w:tcBorders>
            <w:shd w:val="clear" w:color="auto" w:fill="auto"/>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 </w:t>
            </w:r>
          </w:p>
        </w:tc>
        <w:tc>
          <w:tcPr>
            <w:tcW w:w="1084" w:type="dxa"/>
            <w:tcBorders>
              <w:top w:val="nil"/>
              <w:left w:val="nil"/>
              <w:bottom w:val="nil"/>
              <w:right w:val="nil"/>
            </w:tcBorders>
            <w:shd w:val="clear" w:color="auto" w:fill="auto"/>
            <w:vAlign w:val="center"/>
            <w:hideMark/>
          </w:tcPr>
          <w:p w:rsidR="00263C4D" w:rsidRPr="000A36AD" w:rsidRDefault="00263C4D" w:rsidP="00F541B2">
            <w:pPr>
              <w:spacing w:line="276" w:lineRule="auto"/>
              <w:jc w:val="center"/>
              <w:rPr>
                <w:rFonts w:ascii="Times New Roman" w:hAnsi="Times New Roman" w:cs="Times New Roman"/>
                <w:color w:val="000000"/>
              </w:rPr>
            </w:pPr>
          </w:p>
        </w:tc>
        <w:tc>
          <w:tcPr>
            <w:tcW w:w="1084" w:type="dxa"/>
            <w:tcBorders>
              <w:top w:val="nil"/>
              <w:left w:val="single" w:sz="8" w:space="0" w:color="auto"/>
              <w:bottom w:val="nil"/>
              <w:right w:val="single" w:sz="8" w:space="0" w:color="auto"/>
            </w:tcBorders>
            <w:shd w:val="clear" w:color="auto" w:fill="auto"/>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 </w:t>
            </w:r>
          </w:p>
        </w:tc>
        <w:tc>
          <w:tcPr>
            <w:tcW w:w="1084" w:type="dxa"/>
            <w:tcBorders>
              <w:top w:val="nil"/>
              <w:left w:val="nil"/>
              <w:bottom w:val="nil"/>
              <w:right w:val="nil"/>
            </w:tcBorders>
            <w:shd w:val="clear" w:color="auto" w:fill="auto"/>
            <w:vAlign w:val="center"/>
            <w:hideMark/>
          </w:tcPr>
          <w:p w:rsidR="00263C4D" w:rsidRPr="000A36AD" w:rsidRDefault="00263C4D" w:rsidP="00F541B2">
            <w:pPr>
              <w:spacing w:line="276" w:lineRule="auto"/>
              <w:jc w:val="center"/>
              <w:rPr>
                <w:rFonts w:ascii="Times New Roman" w:hAnsi="Times New Roman" w:cs="Times New Roman"/>
                <w:color w:val="000000"/>
              </w:rPr>
            </w:pPr>
          </w:p>
        </w:tc>
        <w:tc>
          <w:tcPr>
            <w:tcW w:w="1084" w:type="dxa"/>
            <w:tcBorders>
              <w:top w:val="nil"/>
              <w:left w:val="single" w:sz="8" w:space="0" w:color="auto"/>
              <w:bottom w:val="nil"/>
              <w:right w:val="single" w:sz="8" w:space="0" w:color="auto"/>
            </w:tcBorders>
            <w:shd w:val="clear" w:color="auto" w:fill="auto"/>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 </w:t>
            </w:r>
          </w:p>
        </w:tc>
        <w:tc>
          <w:tcPr>
            <w:tcW w:w="1084" w:type="dxa"/>
            <w:tcBorders>
              <w:top w:val="nil"/>
              <w:left w:val="nil"/>
              <w:bottom w:val="nil"/>
              <w:right w:val="nil"/>
            </w:tcBorders>
            <w:shd w:val="clear" w:color="auto" w:fill="auto"/>
            <w:vAlign w:val="center"/>
            <w:hideMark/>
          </w:tcPr>
          <w:p w:rsidR="00263C4D" w:rsidRPr="000A36AD" w:rsidRDefault="00263C4D" w:rsidP="00F541B2">
            <w:pPr>
              <w:spacing w:line="276" w:lineRule="auto"/>
              <w:jc w:val="center"/>
              <w:rPr>
                <w:rFonts w:ascii="Times New Roman" w:hAnsi="Times New Roman" w:cs="Times New Roman"/>
                <w:color w:val="000000"/>
              </w:rPr>
            </w:pPr>
          </w:p>
        </w:tc>
        <w:tc>
          <w:tcPr>
            <w:tcW w:w="1087" w:type="dxa"/>
            <w:tcBorders>
              <w:top w:val="nil"/>
              <w:left w:val="single" w:sz="8" w:space="0" w:color="auto"/>
              <w:bottom w:val="nil"/>
              <w:right w:val="single" w:sz="8" w:space="0" w:color="auto"/>
            </w:tcBorders>
            <w:shd w:val="clear" w:color="auto" w:fill="auto"/>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 </w:t>
            </w:r>
          </w:p>
        </w:tc>
      </w:tr>
      <w:tr w:rsidR="00502C28" w:rsidRPr="00E958CE" w:rsidTr="00F541B2">
        <w:trPr>
          <w:trHeight w:val="19"/>
        </w:trPr>
        <w:tc>
          <w:tcPr>
            <w:tcW w:w="4453" w:type="dxa"/>
            <w:tcBorders>
              <w:top w:val="single" w:sz="4" w:space="0" w:color="auto"/>
              <w:left w:val="single" w:sz="4" w:space="0" w:color="auto"/>
            </w:tcBorders>
            <w:shd w:val="clear" w:color="auto" w:fill="FEBCBC" w:themeFill="accent1" w:themeFillTint="33"/>
            <w:vAlign w:val="center"/>
            <w:hideMark/>
          </w:tcPr>
          <w:p w:rsidR="00263C4D" w:rsidRPr="000A36AD" w:rsidRDefault="00263C4D" w:rsidP="00F541B2">
            <w:pPr>
              <w:spacing w:line="276" w:lineRule="auto"/>
              <w:rPr>
                <w:rFonts w:ascii="Times New Roman" w:hAnsi="Times New Roman" w:cs="Times New Roman"/>
                <w:b/>
                <w:bCs/>
                <w:color w:val="000000"/>
                <w:u w:val="single"/>
              </w:rPr>
            </w:pPr>
            <w:r w:rsidRPr="000A36AD">
              <w:rPr>
                <w:rFonts w:ascii="Times New Roman" w:hAnsi="Times New Roman" w:cs="Times New Roman"/>
                <w:b/>
                <w:bCs/>
                <w:color w:val="000000"/>
                <w:u w:val="single"/>
              </w:rPr>
              <w:t>Mõõdik 2</w:t>
            </w:r>
          </w:p>
        </w:tc>
        <w:tc>
          <w:tcPr>
            <w:tcW w:w="1114" w:type="dxa"/>
            <w:gridSpan w:val="2"/>
            <w:tcBorders>
              <w:top w:val="single" w:sz="4" w:space="0" w:color="auto"/>
              <w:right w:val="single" w:sz="4" w:space="0" w:color="auto"/>
            </w:tcBorders>
            <w:shd w:val="clear" w:color="auto" w:fill="FEBCBC" w:themeFill="accent1" w:themeFillTint="33"/>
            <w:vAlign w:val="center"/>
            <w:hideMark/>
          </w:tcPr>
          <w:p w:rsidR="00263C4D" w:rsidRPr="000A36AD" w:rsidRDefault="00263C4D" w:rsidP="00F541B2">
            <w:pPr>
              <w:spacing w:line="276" w:lineRule="auto"/>
              <w:rPr>
                <w:rFonts w:ascii="Times New Roman" w:hAnsi="Times New Roman" w:cs="Times New Roman"/>
                <w:color w:val="000000"/>
              </w:rPr>
            </w:pPr>
            <w:r w:rsidRPr="000A36AD">
              <w:rPr>
                <w:rFonts w:ascii="Times New Roman" w:hAnsi="Times New Roman" w:cs="Times New Roman"/>
                <w:color w:val="000000"/>
              </w:rPr>
              <w:t>Teravili</w:t>
            </w:r>
          </w:p>
        </w:tc>
        <w:tc>
          <w:tcPr>
            <w:tcW w:w="1426" w:type="dxa"/>
            <w:tcBorders>
              <w:top w:val="nil"/>
              <w:left w:val="single" w:sz="4" w:space="0" w:color="auto"/>
              <w:right w:val="single" w:sz="8" w:space="0" w:color="auto"/>
            </w:tcBorders>
            <w:shd w:val="clear" w:color="auto" w:fill="FEBCBC" w:themeFill="accent1" w:themeFillTint="33"/>
            <w:noWrap/>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298</w:t>
            </w:r>
          </w:p>
        </w:tc>
        <w:tc>
          <w:tcPr>
            <w:tcW w:w="1084" w:type="dxa"/>
            <w:tcBorders>
              <w:top w:val="single" w:sz="8" w:space="0" w:color="auto"/>
              <w:left w:val="nil"/>
              <w:right w:val="single" w:sz="8" w:space="0" w:color="auto"/>
            </w:tcBorders>
            <w:shd w:val="clear" w:color="auto" w:fill="FEBCBC" w:themeFill="accent1" w:themeFillTint="33"/>
            <w:noWrap/>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302</w:t>
            </w:r>
          </w:p>
        </w:tc>
        <w:tc>
          <w:tcPr>
            <w:tcW w:w="1084" w:type="dxa"/>
            <w:tcBorders>
              <w:top w:val="single" w:sz="8" w:space="0" w:color="auto"/>
              <w:left w:val="nil"/>
              <w:right w:val="nil"/>
            </w:tcBorders>
            <w:shd w:val="clear" w:color="auto" w:fill="FEBCBC" w:themeFill="accent1" w:themeFillTint="33"/>
            <w:noWrap/>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307</w:t>
            </w:r>
          </w:p>
        </w:tc>
        <w:tc>
          <w:tcPr>
            <w:tcW w:w="1084" w:type="dxa"/>
            <w:tcBorders>
              <w:top w:val="single" w:sz="8" w:space="0" w:color="auto"/>
              <w:left w:val="single" w:sz="8" w:space="0" w:color="auto"/>
              <w:right w:val="single" w:sz="8" w:space="0" w:color="auto"/>
            </w:tcBorders>
            <w:shd w:val="clear" w:color="auto" w:fill="FEBCBC" w:themeFill="accent1" w:themeFillTint="33"/>
            <w:noWrap/>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312</w:t>
            </w:r>
          </w:p>
        </w:tc>
        <w:tc>
          <w:tcPr>
            <w:tcW w:w="1084" w:type="dxa"/>
            <w:tcBorders>
              <w:top w:val="single" w:sz="8" w:space="0" w:color="auto"/>
              <w:left w:val="nil"/>
              <w:right w:val="nil"/>
            </w:tcBorders>
            <w:shd w:val="clear" w:color="auto" w:fill="FEBCBC" w:themeFill="accent1" w:themeFillTint="33"/>
            <w:noWrap/>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316</w:t>
            </w:r>
          </w:p>
        </w:tc>
        <w:tc>
          <w:tcPr>
            <w:tcW w:w="1084" w:type="dxa"/>
            <w:tcBorders>
              <w:top w:val="single" w:sz="8" w:space="0" w:color="auto"/>
              <w:left w:val="single" w:sz="8" w:space="0" w:color="auto"/>
              <w:right w:val="single" w:sz="8" w:space="0" w:color="auto"/>
            </w:tcBorders>
            <w:shd w:val="clear" w:color="auto" w:fill="FEBCBC" w:themeFill="accent1" w:themeFillTint="33"/>
            <w:noWrap/>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321</w:t>
            </w:r>
          </w:p>
        </w:tc>
        <w:tc>
          <w:tcPr>
            <w:tcW w:w="1084" w:type="dxa"/>
            <w:tcBorders>
              <w:top w:val="single" w:sz="8" w:space="0" w:color="auto"/>
              <w:left w:val="nil"/>
              <w:right w:val="nil"/>
            </w:tcBorders>
            <w:shd w:val="clear" w:color="auto" w:fill="FEBCBC" w:themeFill="accent1" w:themeFillTint="33"/>
            <w:noWrap/>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326</w:t>
            </w:r>
          </w:p>
        </w:tc>
        <w:tc>
          <w:tcPr>
            <w:tcW w:w="1087" w:type="dxa"/>
            <w:tcBorders>
              <w:top w:val="single" w:sz="8" w:space="0" w:color="auto"/>
              <w:left w:val="single" w:sz="8" w:space="0" w:color="auto"/>
              <w:right w:val="single" w:sz="8" w:space="0" w:color="auto"/>
            </w:tcBorders>
            <w:shd w:val="clear" w:color="auto" w:fill="FEBCBC" w:themeFill="accent1" w:themeFillTint="33"/>
            <w:noWrap/>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331</w:t>
            </w:r>
          </w:p>
        </w:tc>
      </w:tr>
      <w:tr w:rsidR="00502C28" w:rsidRPr="00E958CE" w:rsidTr="00F541B2">
        <w:trPr>
          <w:trHeight w:val="19"/>
        </w:trPr>
        <w:tc>
          <w:tcPr>
            <w:tcW w:w="4453" w:type="dxa"/>
            <w:vMerge w:val="restart"/>
            <w:tcBorders>
              <w:top w:val="nil"/>
              <w:left w:val="single" w:sz="4" w:space="0" w:color="auto"/>
            </w:tcBorders>
            <w:shd w:val="clear" w:color="auto" w:fill="FEBCBC" w:themeFill="accent1" w:themeFillTint="33"/>
            <w:hideMark/>
          </w:tcPr>
          <w:p w:rsidR="00263C4D" w:rsidRPr="000A36AD" w:rsidRDefault="00263C4D" w:rsidP="00F541B2">
            <w:pPr>
              <w:spacing w:line="276" w:lineRule="auto"/>
              <w:rPr>
                <w:rFonts w:ascii="Times New Roman" w:hAnsi="Times New Roman" w:cs="Times New Roman"/>
                <w:color w:val="000000"/>
              </w:rPr>
            </w:pPr>
            <w:r w:rsidRPr="000A36AD">
              <w:rPr>
                <w:rFonts w:ascii="Times New Roman" w:hAnsi="Times New Roman" w:cs="Times New Roman"/>
                <w:color w:val="000000"/>
              </w:rPr>
              <w:t>Kasvupind; tuh ha</w:t>
            </w:r>
            <w:r w:rsidRPr="000A36AD">
              <w:rPr>
                <w:rFonts w:ascii="Times New Roman" w:hAnsi="Times New Roman" w:cs="Times New Roman"/>
                <w:color w:val="000000"/>
              </w:rPr>
              <w:br/>
              <w:t>Allikas: Statistikaamet</w:t>
            </w:r>
          </w:p>
        </w:tc>
        <w:tc>
          <w:tcPr>
            <w:tcW w:w="1114" w:type="dxa"/>
            <w:gridSpan w:val="2"/>
            <w:tcBorders>
              <w:top w:val="nil"/>
              <w:right w:val="single" w:sz="4" w:space="0" w:color="auto"/>
            </w:tcBorders>
            <w:shd w:val="clear" w:color="auto" w:fill="FEBCBC" w:themeFill="accent1" w:themeFillTint="33"/>
            <w:vAlign w:val="bottom"/>
          </w:tcPr>
          <w:p w:rsidR="00263C4D" w:rsidRPr="000A36AD" w:rsidRDefault="00263C4D" w:rsidP="00F541B2">
            <w:pPr>
              <w:spacing w:line="276" w:lineRule="auto"/>
              <w:rPr>
                <w:rFonts w:ascii="Times New Roman" w:hAnsi="Times New Roman" w:cs="Times New Roman"/>
                <w:color w:val="000000"/>
              </w:rPr>
            </w:pPr>
            <w:r w:rsidRPr="000A36AD">
              <w:rPr>
                <w:rFonts w:ascii="Times New Roman" w:hAnsi="Times New Roman" w:cs="Times New Roman"/>
                <w:color w:val="000000"/>
              </w:rPr>
              <w:t>Raps</w:t>
            </w:r>
          </w:p>
        </w:tc>
        <w:tc>
          <w:tcPr>
            <w:tcW w:w="1426" w:type="dxa"/>
            <w:tcBorders>
              <w:top w:val="nil"/>
              <w:left w:val="single" w:sz="4" w:space="0" w:color="auto"/>
              <w:right w:val="single" w:sz="4" w:space="0" w:color="auto"/>
            </w:tcBorders>
            <w:shd w:val="clear" w:color="auto" w:fill="FEBCBC" w:themeFill="accent1" w:themeFillTint="33"/>
            <w:vAlign w:val="center"/>
          </w:tcPr>
          <w:p w:rsidR="00263C4D" w:rsidRPr="000A36AD" w:rsidRDefault="00263C4D" w:rsidP="00F541B2">
            <w:pPr>
              <w:spacing w:line="276" w:lineRule="auto"/>
              <w:jc w:val="center"/>
              <w:rPr>
                <w:rFonts w:ascii="Times New Roman" w:hAnsi="Times New Roman" w:cs="Times New Roman"/>
              </w:rPr>
            </w:pPr>
            <w:r w:rsidRPr="000A36AD">
              <w:rPr>
                <w:rFonts w:ascii="Times New Roman" w:hAnsi="Times New Roman" w:cs="Times New Roman"/>
              </w:rPr>
              <w:t>88</w:t>
            </w:r>
          </w:p>
        </w:tc>
        <w:tc>
          <w:tcPr>
            <w:tcW w:w="1084" w:type="dxa"/>
            <w:tcBorders>
              <w:top w:val="nil"/>
              <w:left w:val="single" w:sz="4" w:space="0" w:color="auto"/>
              <w:right w:val="single" w:sz="4" w:space="0" w:color="auto"/>
            </w:tcBorders>
            <w:shd w:val="clear" w:color="auto" w:fill="FEBCBC" w:themeFill="accent1" w:themeFillTint="33"/>
            <w:vAlign w:val="center"/>
          </w:tcPr>
          <w:p w:rsidR="00263C4D" w:rsidRPr="000A36AD" w:rsidRDefault="00263C4D" w:rsidP="00F541B2">
            <w:pPr>
              <w:spacing w:line="276" w:lineRule="auto"/>
              <w:jc w:val="center"/>
              <w:rPr>
                <w:rFonts w:ascii="Times New Roman" w:hAnsi="Times New Roman" w:cs="Times New Roman"/>
              </w:rPr>
            </w:pPr>
            <w:r w:rsidRPr="000A36AD">
              <w:rPr>
                <w:rFonts w:ascii="Times New Roman" w:hAnsi="Times New Roman" w:cs="Times New Roman"/>
              </w:rPr>
              <w:t>89</w:t>
            </w:r>
          </w:p>
        </w:tc>
        <w:tc>
          <w:tcPr>
            <w:tcW w:w="1084" w:type="dxa"/>
            <w:tcBorders>
              <w:top w:val="nil"/>
              <w:left w:val="single" w:sz="4" w:space="0" w:color="auto"/>
              <w:right w:val="single" w:sz="4" w:space="0" w:color="auto"/>
            </w:tcBorders>
            <w:shd w:val="clear" w:color="auto" w:fill="FEBCBC" w:themeFill="accent1" w:themeFillTint="33"/>
            <w:vAlign w:val="center"/>
          </w:tcPr>
          <w:p w:rsidR="00263C4D" w:rsidRPr="000A36AD" w:rsidRDefault="00263C4D" w:rsidP="00F541B2">
            <w:pPr>
              <w:spacing w:line="276" w:lineRule="auto"/>
              <w:jc w:val="center"/>
              <w:rPr>
                <w:rFonts w:ascii="Times New Roman" w:hAnsi="Times New Roman" w:cs="Times New Roman"/>
              </w:rPr>
            </w:pPr>
            <w:r w:rsidRPr="000A36AD">
              <w:rPr>
                <w:rFonts w:ascii="Times New Roman" w:hAnsi="Times New Roman" w:cs="Times New Roman"/>
              </w:rPr>
              <w:t>91</w:t>
            </w:r>
          </w:p>
        </w:tc>
        <w:tc>
          <w:tcPr>
            <w:tcW w:w="1084" w:type="dxa"/>
            <w:tcBorders>
              <w:top w:val="nil"/>
              <w:left w:val="single" w:sz="4" w:space="0" w:color="auto"/>
              <w:right w:val="single" w:sz="4" w:space="0" w:color="auto"/>
            </w:tcBorders>
            <w:shd w:val="clear" w:color="auto" w:fill="FEBCBC" w:themeFill="accent1" w:themeFillTint="33"/>
            <w:vAlign w:val="center"/>
          </w:tcPr>
          <w:p w:rsidR="00263C4D" w:rsidRPr="000A36AD" w:rsidRDefault="00263C4D" w:rsidP="00F541B2">
            <w:pPr>
              <w:spacing w:line="276" w:lineRule="auto"/>
              <w:jc w:val="center"/>
              <w:rPr>
                <w:rFonts w:ascii="Times New Roman" w:hAnsi="Times New Roman" w:cs="Times New Roman"/>
              </w:rPr>
            </w:pPr>
            <w:r w:rsidRPr="000A36AD">
              <w:rPr>
                <w:rFonts w:ascii="Times New Roman" w:hAnsi="Times New Roman" w:cs="Times New Roman"/>
              </w:rPr>
              <w:t>92</w:t>
            </w:r>
          </w:p>
        </w:tc>
        <w:tc>
          <w:tcPr>
            <w:tcW w:w="1084" w:type="dxa"/>
            <w:tcBorders>
              <w:top w:val="nil"/>
              <w:left w:val="single" w:sz="4" w:space="0" w:color="auto"/>
              <w:right w:val="single" w:sz="4" w:space="0" w:color="auto"/>
            </w:tcBorders>
            <w:shd w:val="clear" w:color="auto" w:fill="FEBCBC" w:themeFill="accent1" w:themeFillTint="33"/>
            <w:vAlign w:val="center"/>
          </w:tcPr>
          <w:p w:rsidR="00263C4D" w:rsidRPr="000A36AD" w:rsidRDefault="00263C4D" w:rsidP="00F541B2">
            <w:pPr>
              <w:spacing w:line="276" w:lineRule="auto"/>
              <w:jc w:val="center"/>
              <w:rPr>
                <w:rFonts w:ascii="Times New Roman" w:hAnsi="Times New Roman" w:cs="Times New Roman"/>
              </w:rPr>
            </w:pPr>
            <w:r w:rsidRPr="000A36AD">
              <w:rPr>
                <w:rFonts w:ascii="Times New Roman" w:hAnsi="Times New Roman" w:cs="Times New Roman"/>
              </w:rPr>
              <w:t>93</w:t>
            </w:r>
          </w:p>
        </w:tc>
        <w:tc>
          <w:tcPr>
            <w:tcW w:w="1084" w:type="dxa"/>
            <w:tcBorders>
              <w:top w:val="nil"/>
              <w:left w:val="single" w:sz="4" w:space="0" w:color="auto"/>
              <w:right w:val="single" w:sz="4" w:space="0" w:color="auto"/>
            </w:tcBorders>
            <w:shd w:val="clear" w:color="auto" w:fill="FEBCBC" w:themeFill="accent1" w:themeFillTint="33"/>
            <w:vAlign w:val="center"/>
          </w:tcPr>
          <w:p w:rsidR="00263C4D" w:rsidRPr="000A36AD" w:rsidRDefault="00263C4D" w:rsidP="00F541B2">
            <w:pPr>
              <w:spacing w:line="276" w:lineRule="auto"/>
              <w:jc w:val="center"/>
              <w:rPr>
                <w:rFonts w:ascii="Times New Roman" w:hAnsi="Times New Roman" w:cs="Times New Roman"/>
              </w:rPr>
            </w:pPr>
            <w:r w:rsidRPr="000A36AD">
              <w:rPr>
                <w:rFonts w:ascii="Times New Roman" w:hAnsi="Times New Roman" w:cs="Times New Roman"/>
              </w:rPr>
              <w:t>95</w:t>
            </w:r>
          </w:p>
        </w:tc>
        <w:tc>
          <w:tcPr>
            <w:tcW w:w="1084" w:type="dxa"/>
            <w:tcBorders>
              <w:top w:val="nil"/>
              <w:left w:val="single" w:sz="4" w:space="0" w:color="auto"/>
              <w:right w:val="single" w:sz="4" w:space="0" w:color="auto"/>
            </w:tcBorders>
            <w:shd w:val="clear" w:color="auto" w:fill="FEBCBC" w:themeFill="accent1" w:themeFillTint="33"/>
            <w:vAlign w:val="center"/>
          </w:tcPr>
          <w:p w:rsidR="00263C4D" w:rsidRPr="000A36AD" w:rsidRDefault="00263C4D" w:rsidP="00F541B2">
            <w:pPr>
              <w:spacing w:line="276" w:lineRule="auto"/>
              <w:jc w:val="center"/>
              <w:rPr>
                <w:rFonts w:ascii="Times New Roman" w:hAnsi="Times New Roman" w:cs="Times New Roman"/>
              </w:rPr>
            </w:pPr>
            <w:r w:rsidRPr="000A36AD">
              <w:rPr>
                <w:rFonts w:ascii="Times New Roman" w:hAnsi="Times New Roman" w:cs="Times New Roman"/>
              </w:rPr>
              <w:t>96</w:t>
            </w:r>
          </w:p>
        </w:tc>
        <w:tc>
          <w:tcPr>
            <w:tcW w:w="1087" w:type="dxa"/>
            <w:tcBorders>
              <w:top w:val="nil"/>
              <w:left w:val="single" w:sz="4" w:space="0" w:color="auto"/>
              <w:right w:val="single" w:sz="4" w:space="0" w:color="auto"/>
            </w:tcBorders>
            <w:shd w:val="clear" w:color="auto" w:fill="FEBCBC" w:themeFill="accent1" w:themeFillTint="33"/>
            <w:vAlign w:val="center"/>
          </w:tcPr>
          <w:p w:rsidR="00263C4D" w:rsidRPr="000A36AD" w:rsidRDefault="00263C4D" w:rsidP="00F541B2">
            <w:pPr>
              <w:spacing w:line="276" w:lineRule="auto"/>
              <w:jc w:val="center"/>
              <w:rPr>
                <w:rFonts w:ascii="Times New Roman" w:hAnsi="Times New Roman" w:cs="Times New Roman"/>
              </w:rPr>
            </w:pPr>
            <w:r w:rsidRPr="000A36AD">
              <w:rPr>
                <w:rFonts w:ascii="Times New Roman" w:hAnsi="Times New Roman" w:cs="Times New Roman"/>
              </w:rPr>
              <w:t>98</w:t>
            </w:r>
          </w:p>
        </w:tc>
      </w:tr>
      <w:tr w:rsidR="00502C28" w:rsidRPr="00E958CE" w:rsidTr="00F541B2">
        <w:trPr>
          <w:trHeight w:val="19"/>
        </w:trPr>
        <w:tc>
          <w:tcPr>
            <w:tcW w:w="4453" w:type="dxa"/>
            <w:vMerge/>
            <w:tcBorders>
              <w:left w:val="single" w:sz="4" w:space="0" w:color="auto"/>
              <w:bottom w:val="single" w:sz="4" w:space="0" w:color="auto"/>
            </w:tcBorders>
            <w:shd w:val="clear" w:color="auto" w:fill="FEBCBC" w:themeFill="accent1" w:themeFillTint="33"/>
            <w:vAlign w:val="center"/>
            <w:hideMark/>
          </w:tcPr>
          <w:p w:rsidR="00263C4D" w:rsidRPr="000A36AD" w:rsidRDefault="00263C4D" w:rsidP="00F541B2">
            <w:pPr>
              <w:spacing w:line="276" w:lineRule="auto"/>
              <w:rPr>
                <w:rFonts w:ascii="Times New Roman" w:hAnsi="Times New Roman" w:cs="Times New Roman"/>
                <w:color w:val="000000"/>
              </w:rPr>
            </w:pPr>
          </w:p>
        </w:tc>
        <w:tc>
          <w:tcPr>
            <w:tcW w:w="1114" w:type="dxa"/>
            <w:gridSpan w:val="2"/>
            <w:tcBorders>
              <w:top w:val="nil"/>
              <w:bottom w:val="single" w:sz="4" w:space="0" w:color="auto"/>
              <w:right w:val="single" w:sz="4" w:space="0" w:color="auto"/>
            </w:tcBorders>
            <w:shd w:val="clear" w:color="auto" w:fill="FEBCBC" w:themeFill="accent1" w:themeFillTint="33"/>
            <w:noWrap/>
            <w:vAlign w:val="bottom"/>
          </w:tcPr>
          <w:p w:rsidR="00263C4D" w:rsidRPr="000A36AD" w:rsidRDefault="00263C4D" w:rsidP="00F541B2">
            <w:pPr>
              <w:spacing w:line="276" w:lineRule="auto"/>
              <w:rPr>
                <w:rFonts w:ascii="Times New Roman" w:hAnsi="Times New Roman" w:cs="Times New Roman"/>
                <w:color w:val="000000"/>
              </w:rPr>
            </w:pPr>
            <w:r w:rsidRPr="000A36AD">
              <w:rPr>
                <w:rFonts w:ascii="Times New Roman" w:hAnsi="Times New Roman" w:cs="Times New Roman"/>
                <w:color w:val="000000"/>
              </w:rPr>
              <w:t>Kaunvili</w:t>
            </w:r>
          </w:p>
        </w:tc>
        <w:tc>
          <w:tcPr>
            <w:tcW w:w="1426" w:type="dxa"/>
            <w:tcBorders>
              <w:top w:val="nil"/>
              <w:left w:val="single" w:sz="4" w:space="0" w:color="auto"/>
              <w:bottom w:val="single" w:sz="4" w:space="0" w:color="auto"/>
              <w:right w:val="single" w:sz="4" w:space="0" w:color="auto"/>
            </w:tcBorders>
            <w:shd w:val="clear" w:color="auto" w:fill="FEBCBC" w:themeFill="accent1" w:themeFillTint="33"/>
            <w:vAlign w:val="center"/>
          </w:tcPr>
          <w:p w:rsidR="00263C4D" w:rsidRPr="000A36AD" w:rsidRDefault="00263C4D" w:rsidP="00F541B2">
            <w:pPr>
              <w:spacing w:line="276" w:lineRule="auto"/>
              <w:jc w:val="center"/>
              <w:rPr>
                <w:rFonts w:ascii="Times New Roman" w:hAnsi="Times New Roman" w:cs="Times New Roman"/>
              </w:rPr>
            </w:pPr>
            <w:r w:rsidRPr="000A36AD">
              <w:rPr>
                <w:rFonts w:ascii="Times New Roman" w:hAnsi="Times New Roman" w:cs="Times New Roman"/>
              </w:rPr>
              <w:t>9</w:t>
            </w:r>
          </w:p>
        </w:tc>
        <w:tc>
          <w:tcPr>
            <w:tcW w:w="1084" w:type="dxa"/>
            <w:tcBorders>
              <w:top w:val="nil"/>
              <w:left w:val="single" w:sz="4" w:space="0" w:color="auto"/>
              <w:bottom w:val="single" w:sz="4" w:space="0" w:color="auto"/>
              <w:right w:val="single" w:sz="4" w:space="0" w:color="auto"/>
            </w:tcBorders>
            <w:shd w:val="clear" w:color="auto" w:fill="FEBCBC" w:themeFill="accent1" w:themeFillTint="33"/>
            <w:vAlign w:val="center"/>
          </w:tcPr>
          <w:p w:rsidR="00263C4D" w:rsidRPr="000A36AD" w:rsidRDefault="00263C4D" w:rsidP="00F541B2">
            <w:pPr>
              <w:spacing w:line="276" w:lineRule="auto"/>
              <w:jc w:val="center"/>
              <w:rPr>
                <w:rFonts w:ascii="Times New Roman" w:hAnsi="Times New Roman" w:cs="Times New Roman"/>
              </w:rPr>
            </w:pPr>
            <w:r w:rsidRPr="000A36AD">
              <w:rPr>
                <w:rFonts w:ascii="Times New Roman" w:hAnsi="Times New Roman" w:cs="Times New Roman"/>
              </w:rPr>
              <w:t>10</w:t>
            </w:r>
          </w:p>
        </w:tc>
        <w:tc>
          <w:tcPr>
            <w:tcW w:w="1084" w:type="dxa"/>
            <w:tcBorders>
              <w:top w:val="nil"/>
              <w:left w:val="single" w:sz="4" w:space="0" w:color="auto"/>
              <w:bottom w:val="single" w:sz="4" w:space="0" w:color="auto"/>
              <w:right w:val="single" w:sz="4" w:space="0" w:color="auto"/>
            </w:tcBorders>
            <w:shd w:val="clear" w:color="auto" w:fill="FEBCBC" w:themeFill="accent1" w:themeFillTint="33"/>
            <w:vAlign w:val="center"/>
          </w:tcPr>
          <w:p w:rsidR="00263C4D" w:rsidRPr="000A36AD" w:rsidRDefault="00263C4D" w:rsidP="00F541B2">
            <w:pPr>
              <w:spacing w:line="276" w:lineRule="auto"/>
              <w:jc w:val="center"/>
              <w:rPr>
                <w:rFonts w:ascii="Times New Roman" w:hAnsi="Times New Roman" w:cs="Times New Roman"/>
              </w:rPr>
            </w:pPr>
            <w:r w:rsidRPr="000A36AD">
              <w:rPr>
                <w:rFonts w:ascii="Times New Roman" w:hAnsi="Times New Roman" w:cs="Times New Roman"/>
              </w:rPr>
              <w:t>12</w:t>
            </w:r>
          </w:p>
        </w:tc>
        <w:tc>
          <w:tcPr>
            <w:tcW w:w="1084" w:type="dxa"/>
            <w:tcBorders>
              <w:top w:val="nil"/>
              <w:left w:val="single" w:sz="4" w:space="0" w:color="auto"/>
              <w:bottom w:val="single" w:sz="4" w:space="0" w:color="auto"/>
              <w:right w:val="single" w:sz="4" w:space="0" w:color="auto"/>
            </w:tcBorders>
            <w:shd w:val="clear" w:color="auto" w:fill="FEBCBC" w:themeFill="accent1" w:themeFillTint="33"/>
            <w:vAlign w:val="center"/>
          </w:tcPr>
          <w:p w:rsidR="00263C4D" w:rsidRPr="000A36AD" w:rsidRDefault="00263C4D" w:rsidP="00F541B2">
            <w:pPr>
              <w:spacing w:line="276" w:lineRule="auto"/>
              <w:jc w:val="center"/>
              <w:rPr>
                <w:rFonts w:ascii="Times New Roman" w:hAnsi="Times New Roman" w:cs="Times New Roman"/>
              </w:rPr>
            </w:pPr>
            <w:r w:rsidRPr="000A36AD">
              <w:rPr>
                <w:rFonts w:ascii="Times New Roman" w:hAnsi="Times New Roman" w:cs="Times New Roman"/>
              </w:rPr>
              <w:t>14</w:t>
            </w:r>
          </w:p>
        </w:tc>
        <w:tc>
          <w:tcPr>
            <w:tcW w:w="1084" w:type="dxa"/>
            <w:tcBorders>
              <w:top w:val="nil"/>
              <w:left w:val="single" w:sz="4" w:space="0" w:color="auto"/>
              <w:bottom w:val="single" w:sz="4" w:space="0" w:color="auto"/>
              <w:right w:val="single" w:sz="4" w:space="0" w:color="auto"/>
            </w:tcBorders>
            <w:shd w:val="clear" w:color="auto" w:fill="FEBCBC" w:themeFill="accent1" w:themeFillTint="33"/>
            <w:vAlign w:val="center"/>
          </w:tcPr>
          <w:p w:rsidR="00263C4D" w:rsidRPr="000A36AD" w:rsidRDefault="00263C4D" w:rsidP="00F541B2">
            <w:pPr>
              <w:spacing w:line="276" w:lineRule="auto"/>
              <w:jc w:val="center"/>
              <w:rPr>
                <w:rFonts w:ascii="Times New Roman" w:hAnsi="Times New Roman" w:cs="Times New Roman"/>
              </w:rPr>
            </w:pPr>
            <w:r w:rsidRPr="000A36AD">
              <w:rPr>
                <w:rFonts w:ascii="Times New Roman" w:hAnsi="Times New Roman" w:cs="Times New Roman"/>
              </w:rPr>
              <w:t>16</w:t>
            </w:r>
          </w:p>
        </w:tc>
        <w:tc>
          <w:tcPr>
            <w:tcW w:w="1084" w:type="dxa"/>
            <w:tcBorders>
              <w:top w:val="nil"/>
              <w:left w:val="single" w:sz="4" w:space="0" w:color="auto"/>
              <w:bottom w:val="single" w:sz="4" w:space="0" w:color="auto"/>
              <w:right w:val="single" w:sz="4" w:space="0" w:color="auto"/>
            </w:tcBorders>
            <w:shd w:val="clear" w:color="auto" w:fill="FEBCBC" w:themeFill="accent1" w:themeFillTint="33"/>
            <w:vAlign w:val="center"/>
          </w:tcPr>
          <w:p w:rsidR="00263C4D" w:rsidRPr="000A36AD" w:rsidRDefault="00263C4D" w:rsidP="00F541B2">
            <w:pPr>
              <w:spacing w:line="276" w:lineRule="auto"/>
              <w:jc w:val="center"/>
              <w:rPr>
                <w:rFonts w:ascii="Times New Roman" w:hAnsi="Times New Roman" w:cs="Times New Roman"/>
              </w:rPr>
            </w:pPr>
            <w:r w:rsidRPr="000A36AD">
              <w:rPr>
                <w:rFonts w:ascii="Times New Roman" w:hAnsi="Times New Roman" w:cs="Times New Roman"/>
              </w:rPr>
              <w:t>19</w:t>
            </w:r>
          </w:p>
        </w:tc>
        <w:tc>
          <w:tcPr>
            <w:tcW w:w="1084" w:type="dxa"/>
            <w:tcBorders>
              <w:top w:val="nil"/>
              <w:left w:val="single" w:sz="4" w:space="0" w:color="auto"/>
              <w:bottom w:val="single" w:sz="4" w:space="0" w:color="auto"/>
              <w:right w:val="single" w:sz="4" w:space="0" w:color="auto"/>
            </w:tcBorders>
            <w:shd w:val="clear" w:color="auto" w:fill="FEBCBC" w:themeFill="accent1" w:themeFillTint="33"/>
            <w:vAlign w:val="center"/>
          </w:tcPr>
          <w:p w:rsidR="00263C4D" w:rsidRPr="000A36AD" w:rsidRDefault="00263C4D" w:rsidP="00F541B2">
            <w:pPr>
              <w:spacing w:line="276" w:lineRule="auto"/>
              <w:jc w:val="center"/>
              <w:rPr>
                <w:rFonts w:ascii="Times New Roman" w:hAnsi="Times New Roman" w:cs="Times New Roman"/>
              </w:rPr>
            </w:pPr>
            <w:r w:rsidRPr="000A36AD">
              <w:rPr>
                <w:rFonts w:ascii="Times New Roman" w:hAnsi="Times New Roman" w:cs="Times New Roman"/>
              </w:rPr>
              <w:t>22</w:t>
            </w:r>
          </w:p>
        </w:tc>
        <w:tc>
          <w:tcPr>
            <w:tcW w:w="1087" w:type="dxa"/>
            <w:tcBorders>
              <w:top w:val="nil"/>
              <w:left w:val="single" w:sz="4" w:space="0" w:color="auto"/>
              <w:bottom w:val="single" w:sz="4" w:space="0" w:color="auto"/>
              <w:right w:val="single" w:sz="4" w:space="0" w:color="auto"/>
            </w:tcBorders>
            <w:shd w:val="clear" w:color="auto" w:fill="FEBCBC" w:themeFill="accent1" w:themeFillTint="33"/>
            <w:vAlign w:val="center"/>
          </w:tcPr>
          <w:p w:rsidR="00263C4D" w:rsidRPr="000A36AD" w:rsidRDefault="00263C4D" w:rsidP="00F541B2">
            <w:pPr>
              <w:spacing w:line="276" w:lineRule="auto"/>
              <w:jc w:val="center"/>
              <w:rPr>
                <w:rFonts w:ascii="Times New Roman" w:hAnsi="Times New Roman" w:cs="Times New Roman"/>
              </w:rPr>
            </w:pPr>
            <w:r w:rsidRPr="000A36AD">
              <w:rPr>
                <w:rFonts w:ascii="Times New Roman" w:hAnsi="Times New Roman" w:cs="Times New Roman"/>
              </w:rPr>
              <w:t>25</w:t>
            </w:r>
          </w:p>
        </w:tc>
      </w:tr>
      <w:tr w:rsidR="00263C4D" w:rsidRPr="00E958CE" w:rsidTr="00F541B2">
        <w:trPr>
          <w:trHeight w:val="19"/>
        </w:trPr>
        <w:tc>
          <w:tcPr>
            <w:tcW w:w="4453" w:type="dxa"/>
            <w:tcBorders>
              <w:top w:val="single" w:sz="4" w:space="0" w:color="auto"/>
              <w:left w:val="single" w:sz="8" w:space="0" w:color="auto"/>
              <w:bottom w:val="nil"/>
              <w:right w:val="nil"/>
            </w:tcBorders>
            <w:shd w:val="clear" w:color="auto" w:fill="auto"/>
            <w:vAlign w:val="center"/>
            <w:hideMark/>
          </w:tcPr>
          <w:p w:rsidR="00263C4D" w:rsidRPr="000A36AD" w:rsidRDefault="00263C4D" w:rsidP="00F541B2">
            <w:pPr>
              <w:spacing w:line="276" w:lineRule="auto"/>
              <w:rPr>
                <w:rFonts w:ascii="Times New Roman" w:hAnsi="Times New Roman" w:cs="Times New Roman"/>
                <w:b/>
                <w:bCs/>
                <w:color w:val="000000"/>
                <w:u w:val="single"/>
              </w:rPr>
            </w:pPr>
            <w:r w:rsidRPr="000A36AD">
              <w:rPr>
                <w:rFonts w:ascii="Times New Roman" w:hAnsi="Times New Roman" w:cs="Times New Roman"/>
                <w:b/>
                <w:bCs/>
                <w:color w:val="000000"/>
                <w:u w:val="single"/>
              </w:rPr>
              <w:t>Mõõdik 3</w:t>
            </w:r>
          </w:p>
        </w:tc>
        <w:tc>
          <w:tcPr>
            <w:tcW w:w="1114" w:type="dxa"/>
            <w:gridSpan w:val="2"/>
            <w:tcBorders>
              <w:top w:val="single" w:sz="4" w:space="0" w:color="auto"/>
              <w:left w:val="nil"/>
              <w:bottom w:val="nil"/>
              <w:right w:val="nil"/>
            </w:tcBorders>
            <w:shd w:val="clear" w:color="auto" w:fill="auto"/>
            <w:vAlign w:val="center"/>
            <w:hideMark/>
          </w:tcPr>
          <w:p w:rsidR="00263C4D" w:rsidRPr="000A36AD" w:rsidRDefault="00263C4D" w:rsidP="00F541B2">
            <w:pPr>
              <w:spacing w:line="276" w:lineRule="auto"/>
              <w:rPr>
                <w:rFonts w:ascii="Times New Roman" w:hAnsi="Times New Roman" w:cs="Times New Roman"/>
                <w:color w:val="000000"/>
                <w:u w:val="single"/>
              </w:rPr>
            </w:pPr>
          </w:p>
        </w:tc>
        <w:tc>
          <w:tcPr>
            <w:tcW w:w="1426" w:type="dxa"/>
            <w:tcBorders>
              <w:top w:val="single" w:sz="4" w:space="0" w:color="auto"/>
              <w:left w:val="single" w:sz="8" w:space="0" w:color="auto"/>
              <w:bottom w:val="nil"/>
              <w:right w:val="single" w:sz="8" w:space="0" w:color="auto"/>
            </w:tcBorders>
            <w:shd w:val="clear" w:color="auto" w:fill="auto"/>
            <w:noWrap/>
            <w:vAlign w:val="bottom"/>
            <w:hideMark/>
          </w:tcPr>
          <w:p w:rsidR="00263C4D" w:rsidRPr="000A36AD" w:rsidRDefault="00263C4D" w:rsidP="00F541B2">
            <w:pPr>
              <w:spacing w:line="276" w:lineRule="auto"/>
              <w:rPr>
                <w:rFonts w:ascii="Times New Roman" w:hAnsi="Times New Roman" w:cs="Times New Roman"/>
                <w:color w:val="000000"/>
              </w:rPr>
            </w:pPr>
            <w:r w:rsidRPr="000A36AD">
              <w:rPr>
                <w:rFonts w:ascii="Times New Roman" w:hAnsi="Times New Roman" w:cs="Times New Roman"/>
                <w:color w:val="000000"/>
              </w:rPr>
              <w:t> </w:t>
            </w:r>
          </w:p>
        </w:tc>
        <w:tc>
          <w:tcPr>
            <w:tcW w:w="1084" w:type="dxa"/>
            <w:tcBorders>
              <w:top w:val="single" w:sz="4" w:space="0" w:color="auto"/>
              <w:left w:val="nil"/>
              <w:bottom w:val="nil"/>
              <w:right w:val="single" w:sz="8" w:space="0" w:color="auto"/>
            </w:tcBorders>
            <w:shd w:val="clear" w:color="auto" w:fill="auto"/>
            <w:noWrap/>
            <w:vAlign w:val="bottom"/>
            <w:hideMark/>
          </w:tcPr>
          <w:p w:rsidR="00263C4D" w:rsidRPr="000A36AD" w:rsidRDefault="00263C4D" w:rsidP="00F541B2">
            <w:pPr>
              <w:spacing w:line="276" w:lineRule="auto"/>
              <w:rPr>
                <w:rFonts w:ascii="Times New Roman" w:hAnsi="Times New Roman" w:cs="Times New Roman"/>
                <w:color w:val="000000"/>
              </w:rPr>
            </w:pPr>
            <w:r w:rsidRPr="000A36AD">
              <w:rPr>
                <w:rFonts w:ascii="Times New Roman" w:hAnsi="Times New Roman" w:cs="Times New Roman"/>
                <w:color w:val="000000"/>
              </w:rPr>
              <w:t> </w:t>
            </w:r>
          </w:p>
        </w:tc>
        <w:tc>
          <w:tcPr>
            <w:tcW w:w="1084" w:type="dxa"/>
            <w:tcBorders>
              <w:top w:val="single" w:sz="4" w:space="0" w:color="auto"/>
              <w:left w:val="nil"/>
              <w:bottom w:val="nil"/>
              <w:right w:val="nil"/>
            </w:tcBorders>
            <w:shd w:val="clear" w:color="auto" w:fill="auto"/>
            <w:noWrap/>
            <w:vAlign w:val="bottom"/>
            <w:hideMark/>
          </w:tcPr>
          <w:p w:rsidR="00263C4D" w:rsidRPr="000A36AD" w:rsidRDefault="00263C4D" w:rsidP="00F541B2">
            <w:pPr>
              <w:spacing w:line="276" w:lineRule="auto"/>
              <w:rPr>
                <w:rFonts w:ascii="Times New Roman" w:hAnsi="Times New Roman" w:cs="Times New Roman"/>
                <w:color w:val="000000"/>
              </w:rPr>
            </w:pPr>
          </w:p>
        </w:tc>
        <w:tc>
          <w:tcPr>
            <w:tcW w:w="1084" w:type="dxa"/>
            <w:tcBorders>
              <w:top w:val="single" w:sz="4" w:space="0" w:color="auto"/>
              <w:left w:val="single" w:sz="8" w:space="0" w:color="auto"/>
              <w:bottom w:val="nil"/>
              <w:right w:val="single" w:sz="8" w:space="0" w:color="auto"/>
            </w:tcBorders>
            <w:shd w:val="clear" w:color="auto" w:fill="auto"/>
            <w:noWrap/>
            <w:vAlign w:val="bottom"/>
            <w:hideMark/>
          </w:tcPr>
          <w:p w:rsidR="00263C4D" w:rsidRPr="000A36AD" w:rsidRDefault="00263C4D" w:rsidP="00F541B2">
            <w:pPr>
              <w:spacing w:line="276" w:lineRule="auto"/>
              <w:rPr>
                <w:rFonts w:ascii="Times New Roman" w:hAnsi="Times New Roman" w:cs="Times New Roman"/>
                <w:color w:val="000000"/>
              </w:rPr>
            </w:pPr>
            <w:r w:rsidRPr="000A36AD">
              <w:rPr>
                <w:rFonts w:ascii="Times New Roman" w:hAnsi="Times New Roman" w:cs="Times New Roman"/>
                <w:color w:val="000000"/>
              </w:rPr>
              <w:t> </w:t>
            </w:r>
          </w:p>
        </w:tc>
        <w:tc>
          <w:tcPr>
            <w:tcW w:w="1084" w:type="dxa"/>
            <w:tcBorders>
              <w:top w:val="single" w:sz="4" w:space="0" w:color="auto"/>
              <w:left w:val="nil"/>
              <w:bottom w:val="nil"/>
              <w:right w:val="nil"/>
            </w:tcBorders>
            <w:shd w:val="clear" w:color="auto" w:fill="auto"/>
            <w:noWrap/>
            <w:vAlign w:val="bottom"/>
            <w:hideMark/>
          </w:tcPr>
          <w:p w:rsidR="00263C4D" w:rsidRPr="000A36AD" w:rsidRDefault="00263C4D" w:rsidP="00F541B2">
            <w:pPr>
              <w:spacing w:line="276" w:lineRule="auto"/>
              <w:rPr>
                <w:rFonts w:ascii="Times New Roman" w:hAnsi="Times New Roman" w:cs="Times New Roman"/>
                <w:color w:val="000000"/>
              </w:rPr>
            </w:pPr>
          </w:p>
        </w:tc>
        <w:tc>
          <w:tcPr>
            <w:tcW w:w="1084" w:type="dxa"/>
            <w:tcBorders>
              <w:top w:val="single" w:sz="4" w:space="0" w:color="auto"/>
              <w:left w:val="single" w:sz="8" w:space="0" w:color="auto"/>
              <w:bottom w:val="nil"/>
              <w:right w:val="single" w:sz="8" w:space="0" w:color="auto"/>
            </w:tcBorders>
            <w:shd w:val="clear" w:color="auto" w:fill="auto"/>
            <w:noWrap/>
            <w:vAlign w:val="bottom"/>
            <w:hideMark/>
          </w:tcPr>
          <w:p w:rsidR="00263C4D" w:rsidRPr="000A36AD" w:rsidRDefault="00263C4D" w:rsidP="00F541B2">
            <w:pPr>
              <w:spacing w:line="276" w:lineRule="auto"/>
              <w:rPr>
                <w:rFonts w:ascii="Times New Roman" w:hAnsi="Times New Roman" w:cs="Times New Roman"/>
                <w:color w:val="000000"/>
              </w:rPr>
            </w:pPr>
            <w:r w:rsidRPr="000A36AD">
              <w:rPr>
                <w:rFonts w:ascii="Times New Roman" w:hAnsi="Times New Roman" w:cs="Times New Roman"/>
                <w:color w:val="000000"/>
              </w:rPr>
              <w:t> </w:t>
            </w:r>
          </w:p>
        </w:tc>
        <w:tc>
          <w:tcPr>
            <w:tcW w:w="1084" w:type="dxa"/>
            <w:tcBorders>
              <w:top w:val="single" w:sz="4" w:space="0" w:color="auto"/>
              <w:left w:val="nil"/>
              <w:bottom w:val="nil"/>
              <w:right w:val="nil"/>
            </w:tcBorders>
            <w:shd w:val="clear" w:color="auto" w:fill="auto"/>
            <w:noWrap/>
            <w:vAlign w:val="bottom"/>
            <w:hideMark/>
          </w:tcPr>
          <w:p w:rsidR="00263C4D" w:rsidRPr="000A36AD" w:rsidRDefault="00263C4D" w:rsidP="00F541B2">
            <w:pPr>
              <w:spacing w:line="276" w:lineRule="auto"/>
              <w:rPr>
                <w:rFonts w:ascii="Times New Roman" w:hAnsi="Times New Roman" w:cs="Times New Roman"/>
                <w:color w:val="000000"/>
              </w:rPr>
            </w:pPr>
          </w:p>
        </w:tc>
        <w:tc>
          <w:tcPr>
            <w:tcW w:w="1087" w:type="dxa"/>
            <w:tcBorders>
              <w:top w:val="single" w:sz="4" w:space="0" w:color="auto"/>
              <w:left w:val="single" w:sz="8" w:space="0" w:color="auto"/>
              <w:bottom w:val="nil"/>
              <w:right w:val="single" w:sz="8" w:space="0" w:color="auto"/>
            </w:tcBorders>
            <w:shd w:val="clear" w:color="auto" w:fill="auto"/>
            <w:noWrap/>
            <w:vAlign w:val="bottom"/>
            <w:hideMark/>
          </w:tcPr>
          <w:p w:rsidR="00263C4D" w:rsidRPr="000A36AD" w:rsidRDefault="00263C4D" w:rsidP="00F541B2">
            <w:pPr>
              <w:spacing w:line="276" w:lineRule="auto"/>
              <w:rPr>
                <w:rFonts w:ascii="Times New Roman" w:hAnsi="Times New Roman" w:cs="Times New Roman"/>
                <w:color w:val="000000"/>
              </w:rPr>
            </w:pPr>
            <w:r w:rsidRPr="000A36AD">
              <w:rPr>
                <w:rFonts w:ascii="Times New Roman" w:hAnsi="Times New Roman" w:cs="Times New Roman"/>
                <w:color w:val="000000"/>
              </w:rPr>
              <w:t> </w:t>
            </w:r>
          </w:p>
        </w:tc>
      </w:tr>
      <w:tr w:rsidR="00263C4D" w:rsidRPr="00E958CE" w:rsidTr="00F541B2">
        <w:trPr>
          <w:trHeight w:val="19"/>
        </w:trPr>
        <w:tc>
          <w:tcPr>
            <w:tcW w:w="4453" w:type="dxa"/>
            <w:vMerge w:val="restart"/>
            <w:tcBorders>
              <w:top w:val="nil"/>
              <w:left w:val="single" w:sz="8" w:space="0" w:color="auto"/>
              <w:bottom w:val="nil"/>
              <w:right w:val="nil"/>
            </w:tcBorders>
            <w:shd w:val="clear" w:color="auto" w:fill="auto"/>
            <w:hideMark/>
          </w:tcPr>
          <w:p w:rsidR="00263C4D" w:rsidRPr="000A36AD" w:rsidRDefault="00263C4D" w:rsidP="00F541B2">
            <w:pPr>
              <w:spacing w:line="276" w:lineRule="auto"/>
              <w:rPr>
                <w:rFonts w:ascii="Times New Roman" w:hAnsi="Times New Roman" w:cs="Times New Roman"/>
                <w:color w:val="000000"/>
              </w:rPr>
            </w:pPr>
            <w:r w:rsidRPr="000A36AD">
              <w:rPr>
                <w:rFonts w:ascii="Times New Roman" w:hAnsi="Times New Roman" w:cs="Times New Roman"/>
                <w:color w:val="000000"/>
              </w:rPr>
              <w:lastRenderedPageBreak/>
              <w:t>Eksport; tuh t</w:t>
            </w:r>
            <w:r w:rsidRPr="000A36AD">
              <w:rPr>
                <w:rFonts w:ascii="Times New Roman" w:hAnsi="Times New Roman" w:cs="Times New Roman"/>
                <w:color w:val="000000"/>
              </w:rPr>
              <w:br/>
              <w:t>Allikas: PM</w:t>
            </w:r>
          </w:p>
        </w:tc>
        <w:tc>
          <w:tcPr>
            <w:tcW w:w="1114" w:type="dxa"/>
            <w:gridSpan w:val="2"/>
            <w:tcBorders>
              <w:top w:val="nil"/>
              <w:left w:val="nil"/>
              <w:bottom w:val="nil"/>
              <w:right w:val="nil"/>
            </w:tcBorders>
            <w:shd w:val="clear" w:color="auto" w:fill="auto"/>
            <w:vAlign w:val="center"/>
            <w:hideMark/>
          </w:tcPr>
          <w:p w:rsidR="00263C4D" w:rsidRPr="000A36AD" w:rsidRDefault="00263C4D" w:rsidP="00F541B2">
            <w:pPr>
              <w:spacing w:line="276" w:lineRule="auto"/>
              <w:rPr>
                <w:rFonts w:ascii="Times New Roman" w:hAnsi="Times New Roman" w:cs="Times New Roman"/>
                <w:color w:val="000000"/>
              </w:rPr>
            </w:pPr>
            <w:r w:rsidRPr="000A36AD">
              <w:rPr>
                <w:rFonts w:ascii="Times New Roman" w:hAnsi="Times New Roman" w:cs="Times New Roman"/>
                <w:color w:val="000000"/>
              </w:rPr>
              <w:t>Teravili</w:t>
            </w:r>
          </w:p>
        </w:tc>
        <w:tc>
          <w:tcPr>
            <w:tcW w:w="1426" w:type="dxa"/>
            <w:tcBorders>
              <w:top w:val="nil"/>
              <w:left w:val="single" w:sz="8" w:space="0" w:color="auto"/>
              <w:bottom w:val="nil"/>
              <w:right w:val="single" w:sz="8" w:space="0" w:color="auto"/>
            </w:tcBorders>
            <w:shd w:val="clear" w:color="auto" w:fill="auto"/>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269</w:t>
            </w:r>
          </w:p>
        </w:tc>
        <w:tc>
          <w:tcPr>
            <w:tcW w:w="1084" w:type="dxa"/>
            <w:tcBorders>
              <w:top w:val="nil"/>
              <w:left w:val="nil"/>
              <w:bottom w:val="nil"/>
              <w:right w:val="single" w:sz="8" w:space="0" w:color="auto"/>
            </w:tcBorders>
            <w:shd w:val="clear" w:color="auto" w:fill="auto"/>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309</w:t>
            </w:r>
          </w:p>
        </w:tc>
        <w:tc>
          <w:tcPr>
            <w:tcW w:w="1084" w:type="dxa"/>
            <w:tcBorders>
              <w:top w:val="nil"/>
              <w:left w:val="nil"/>
              <w:bottom w:val="nil"/>
              <w:right w:val="single" w:sz="8" w:space="0" w:color="auto"/>
            </w:tcBorders>
            <w:shd w:val="clear" w:color="auto" w:fill="auto"/>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356</w:t>
            </w:r>
          </w:p>
        </w:tc>
        <w:tc>
          <w:tcPr>
            <w:tcW w:w="1084" w:type="dxa"/>
            <w:tcBorders>
              <w:top w:val="nil"/>
              <w:left w:val="nil"/>
              <w:bottom w:val="nil"/>
              <w:right w:val="single" w:sz="8" w:space="0" w:color="auto"/>
            </w:tcBorders>
            <w:shd w:val="clear" w:color="auto" w:fill="auto"/>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409</w:t>
            </w:r>
          </w:p>
        </w:tc>
        <w:tc>
          <w:tcPr>
            <w:tcW w:w="1084" w:type="dxa"/>
            <w:tcBorders>
              <w:top w:val="nil"/>
              <w:left w:val="nil"/>
              <w:bottom w:val="nil"/>
              <w:right w:val="single" w:sz="8" w:space="0" w:color="auto"/>
            </w:tcBorders>
            <w:shd w:val="clear" w:color="auto" w:fill="auto"/>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470</w:t>
            </w:r>
          </w:p>
        </w:tc>
        <w:tc>
          <w:tcPr>
            <w:tcW w:w="1084" w:type="dxa"/>
            <w:tcBorders>
              <w:top w:val="nil"/>
              <w:left w:val="nil"/>
              <w:bottom w:val="nil"/>
              <w:right w:val="single" w:sz="8" w:space="0" w:color="auto"/>
            </w:tcBorders>
            <w:shd w:val="clear" w:color="auto" w:fill="auto"/>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541</w:t>
            </w:r>
          </w:p>
        </w:tc>
        <w:tc>
          <w:tcPr>
            <w:tcW w:w="1084" w:type="dxa"/>
            <w:tcBorders>
              <w:top w:val="nil"/>
              <w:left w:val="nil"/>
              <w:bottom w:val="nil"/>
              <w:right w:val="single" w:sz="8" w:space="0" w:color="auto"/>
            </w:tcBorders>
            <w:shd w:val="clear" w:color="auto" w:fill="auto"/>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622</w:t>
            </w:r>
          </w:p>
        </w:tc>
        <w:tc>
          <w:tcPr>
            <w:tcW w:w="1087" w:type="dxa"/>
            <w:tcBorders>
              <w:top w:val="nil"/>
              <w:left w:val="nil"/>
              <w:bottom w:val="nil"/>
              <w:right w:val="single" w:sz="8" w:space="0" w:color="auto"/>
            </w:tcBorders>
            <w:shd w:val="clear" w:color="auto" w:fill="auto"/>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716</w:t>
            </w:r>
          </w:p>
        </w:tc>
      </w:tr>
      <w:tr w:rsidR="00263C4D" w:rsidRPr="00E958CE" w:rsidTr="00F541B2">
        <w:trPr>
          <w:trHeight w:val="19"/>
        </w:trPr>
        <w:tc>
          <w:tcPr>
            <w:tcW w:w="4453" w:type="dxa"/>
            <w:vMerge/>
            <w:tcBorders>
              <w:top w:val="nil"/>
              <w:left w:val="single" w:sz="8" w:space="0" w:color="auto"/>
              <w:bottom w:val="nil"/>
              <w:right w:val="nil"/>
            </w:tcBorders>
            <w:vAlign w:val="center"/>
            <w:hideMark/>
          </w:tcPr>
          <w:p w:rsidR="00263C4D" w:rsidRPr="000A36AD" w:rsidRDefault="00263C4D" w:rsidP="00F541B2">
            <w:pPr>
              <w:spacing w:line="276" w:lineRule="auto"/>
              <w:rPr>
                <w:rFonts w:ascii="Times New Roman" w:hAnsi="Times New Roman" w:cs="Times New Roman"/>
                <w:color w:val="000000"/>
              </w:rPr>
            </w:pPr>
          </w:p>
        </w:tc>
        <w:tc>
          <w:tcPr>
            <w:tcW w:w="1114" w:type="dxa"/>
            <w:gridSpan w:val="2"/>
            <w:tcBorders>
              <w:top w:val="nil"/>
              <w:left w:val="nil"/>
              <w:bottom w:val="nil"/>
              <w:right w:val="nil"/>
            </w:tcBorders>
            <w:shd w:val="clear" w:color="auto" w:fill="auto"/>
            <w:noWrap/>
            <w:vAlign w:val="bottom"/>
            <w:hideMark/>
          </w:tcPr>
          <w:p w:rsidR="00263C4D" w:rsidRPr="000A36AD" w:rsidRDefault="00263C4D" w:rsidP="00F541B2">
            <w:pPr>
              <w:spacing w:line="276" w:lineRule="auto"/>
              <w:rPr>
                <w:rFonts w:ascii="Times New Roman" w:hAnsi="Times New Roman" w:cs="Times New Roman"/>
                <w:color w:val="000000"/>
              </w:rPr>
            </w:pPr>
            <w:r w:rsidRPr="000A36AD">
              <w:rPr>
                <w:rFonts w:ascii="Times New Roman" w:hAnsi="Times New Roman" w:cs="Times New Roman"/>
                <w:color w:val="000000"/>
              </w:rPr>
              <w:t>Raps</w:t>
            </w:r>
          </w:p>
        </w:tc>
        <w:tc>
          <w:tcPr>
            <w:tcW w:w="1426" w:type="dxa"/>
            <w:tcBorders>
              <w:top w:val="nil"/>
              <w:left w:val="single" w:sz="8" w:space="0" w:color="auto"/>
              <w:bottom w:val="single" w:sz="4" w:space="0" w:color="auto"/>
              <w:right w:val="single" w:sz="8" w:space="0" w:color="auto"/>
            </w:tcBorders>
            <w:shd w:val="clear" w:color="auto" w:fill="auto"/>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69</w:t>
            </w:r>
          </w:p>
        </w:tc>
        <w:tc>
          <w:tcPr>
            <w:tcW w:w="1084" w:type="dxa"/>
            <w:tcBorders>
              <w:top w:val="nil"/>
              <w:left w:val="nil"/>
              <w:bottom w:val="single" w:sz="4" w:space="0" w:color="auto"/>
              <w:right w:val="single" w:sz="8" w:space="0" w:color="auto"/>
            </w:tcBorders>
            <w:shd w:val="clear" w:color="auto" w:fill="auto"/>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72</w:t>
            </w:r>
          </w:p>
        </w:tc>
        <w:tc>
          <w:tcPr>
            <w:tcW w:w="1084" w:type="dxa"/>
            <w:tcBorders>
              <w:top w:val="nil"/>
              <w:left w:val="nil"/>
              <w:bottom w:val="single" w:sz="4" w:space="0" w:color="auto"/>
              <w:right w:val="single" w:sz="8" w:space="0" w:color="auto"/>
            </w:tcBorders>
            <w:shd w:val="clear" w:color="auto" w:fill="auto"/>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76</w:t>
            </w:r>
          </w:p>
        </w:tc>
        <w:tc>
          <w:tcPr>
            <w:tcW w:w="1084" w:type="dxa"/>
            <w:tcBorders>
              <w:top w:val="nil"/>
              <w:left w:val="nil"/>
              <w:bottom w:val="single" w:sz="4" w:space="0" w:color="auto"/>
              <w:right w:val="single" w:sz="8" w:space="0" w:color="auto"/>
            </w:tcBorders>
            <w:shd w:val="clear" w:color="auto" w:fill="auto"/>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80</w:t>
            </w:r>
          </w:p>
        </w:tc>
        <w:tc>
          <w:tcPr>
            <w:tcW w:w="1084" w:type="dxa"/>
            <w:tcBorders>
              <w:top w:val="nil"/>
              <w:left w:val="nil"/>
              <w:bottom w:val="single" w:sz="4" w:space="0" w:color="auto"/>
              <w:right w:val="single" w:sz="8" w:space="0" w:color="auto"/>
            </w:tcBorders>
            <w:shd w:val="clear" w:color="auto" w:fill="auto"/>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84</w:t>
            </w:r>
          </w:p>
        </w:tc>
        <w:tc>
          <w:tcPr>
            <w:tcW w:w="1084" w:type="dxa"/>
            <w:tcBorders>
              <w:top w:val="nil"/>
              <w:left w:val="nil"/>
              <w:bottom w:val="single" w:sz="4" w:space="0" w:color="auto"/>
              <w:right w:val="single" w:sz="8" w:space="0" w:color="auto"/>
            </w:tcBorders>
            <w:shd w:val="clear" w:color="auto" w:fill="auto"/>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88</w:t>
            </w:r>
          </w:p>
        </w:tc>
        <w:tc>
          <w:tcPr>
            <w:tcW w:w="1084" w:type="dxa"/>
            <w:tcBorders>
              <w:top w:val="nil"/>
              <w:left w:val="nil"/>
              <w:bottom w:val="single" w:sz="4" w:space="0" w:color="auto"/>
              <w:right w:val="single" w:sz="8" w:space="0" w:color="auto"/>
            </w:tcBorders>
            <w:shd w:val="clear" w:color="auto" w:fill="auto"/>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92</w:t>
            </w:r>
          </w:p>
        </w:tc>
        <w:tc>
          <w:tcPr>
            <w:tcW w:w="1087" w:type="dxa"/>
            <w:tcBorders>
              <w:top w:val="nil"/>
              <w:left w:val="nil"/>
              <w:bottom w:val="single" w:sz="4" w:space="0" w:color="auto"/>
              <w:right w:val="single" w:sz="8" w:space="0" w:color="auto"/>
            </w:tcBorders>
            <w:shd w:val="clear" w:color="auto" w:fill="auto"/>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97</w:t>
            </w:r>
          </w:p>
        </w:tc>
      </w:tr>
      <w:tr w:rsidR="00502C28" w:rsidRPr="00E958CE" w:rsidTr="00F541B2">
        <w:trPr>
          <w:trHeight w:val="19"/>
        </w:trPr>
        <w:tc>
          <w:tcPr>
            <w:tcW w:w="4453" w:type="dxa"/>
            <w:tcBorders>
              <w:top w:val="single" w:sz="8" w:space="0" w:color="auto"/>
              <w:left w:val="single" w:sz="8" w:space="0" w:color="auto"/>
              <w:bottom w:val="nil"/>
              <w:right w:val="nil"/>
            </w:tcBorders>
            <w:shd w:val="clear" w:color="auto" w:fill="FEBCBC" w:themeFill="accent1" w:themeFillTint="33"/>
            <w:vAlign w:val="center"/>
            <w:hideMark/>
          </w:tcPr>
          <w:p w:rsidR="00263C4D" w:rsidRPr="000A36AD" w:rsidRDefault="00263C4D" w:rsidP="00F541B2">
            <w:pPr>
              <w:spacing w:line="276" w:lineRule="auto"/>
              <w:rPr>
                <w:rFonts w:ascii="Times New Roman" w:hAnsi="Times New Roman" w:cs="Times New Roman"/>
                <w:b/>
                <w:bCs/>
                <w:color w:val="000000"/>
                <w:u w:val="single"/>
              </w:rPr>
            </w:pPr>
            <w:r w:rsidRPr="000A36AD">
              <w:rPr>
                <w:rFonts w:ascii="Times New Roman" w:hAnsi="Times New Roman" w:cs="Times New Roman"/>
                <w:b/>
                <w:bCs/>
                <w:color w:val="000000"/>
                <w:u w:val="single"/>
              </w:rPr>
              <w:t>Mõõdik 4</w:t>
            </w:r>
          </w:p>
        </w:tc>
        <w:tc>
          <w:tcPr>
            <w:tcW w:w="1114" w:type="dxa"/>
            <w:gridSpan w:val="2"/>
            <w:tcBorders>
              <w:top w:val="single" w:sz="8" w:space="0" w:color="auto"/>
              <w:left w:val="nil"/>
              <w:bottom w:val="nil"/>
              <w:right w:val="single" w:sz="4" w:space="0" w:color="auto"/>
            </w:tcBorders>
            <w:shd w:val="clear" w:color="auto" w:fill="FEBCBC" w:themeFill="accent1" w:themeFillTint="33"/>
            <w:vAlign w:val="center"/>
            <w:hideMark/>
          </w:tcPr>
          <w:p w:rsidR="00263C4D" w:rsidRPr="00EA224C" w:rsidRDefault="00263C4D" w:rsidP="00F541B2">
            <w:pPr>
              <w:spacing w:line="276" w:lineRule="auto"/>
              <w:rPr>
                <w:rFonts w:ascii="Times New Roman" w:hAnsi="Times New Roman" w:cs="Times New Roman"/>
                <w:color w:val="000000"/>
                <w:u w:val="single"/>
              </w:rPr>
            </w:pPr>
          </w:p>
        </w:tc>
        <w:tc>
          <w:tcPr>
            <w:tcW w:w="1426" w:type="dxa"/>
            <w:tcBorders>
              <w:top w:val="single" w:sz="4" w:space="0" w:color="auto"/>
              <w:left w:val="single" w:sz="4" w:space="0" w:color="auto"/>
              <w:bottom w:val="nil"/>
              <w:right w:val="single" w:sz="8" w:space="0" w:color="auto"/>
            </w:tcBorders>
            <w:shd w:val="clear" w:color="auto" w:fill="FEBCBC" w:themeFill="accent1" w:themeFillTint="33"/>
            <w:noWrap/>
            <w:vAlign w:val="bottom"/>
            <w:hideMark/>
          </w:tcPr>
          <w:p w:rsidR="00263C4D" w:rsidRPr="00EA224C" w:rsidRDefault="00263C4D" w:rsidP="00F541B2">
            <w:pPr>
              <w:spacing w:line="276" w:lineRule="auto"/>
              <w:rPr>
                <w:rFonts w:ascii="Times New Roman" w:hAnsi="Times New Roman" w:cs="Times New Roman"/>
                <w:color w:val="000000"/>
              </w:rPr>
            </w:pPr>
            <w:r w:rsidRPr="00EA224C">
              <w:rPr>
                <w:rFonts w:ascii="Times New Roman" w:hAnsi="Times New Roman" w:cs="Times New Roman"/>
                <w:color w:val="000000"/>
              </w:rPr>
              <w:t> </w:t>
            </w:r>
          </w:p>
        </w:tc>
        <w:tc>
          <w:tcPr>
            <w:tcW w:w="1084" w:type="dxa"/>
            <w:tcBorders>
              <w:top w:val="single" w:sz="4" w:space="0" w:color="auto"/>
              <w:left w:val="nil"/>
              <w:bottom w:val="nil"/>
              <w:right w:val="single" w:sz="8" w:space="0" w:color="auto"/>
            </w:tcBorders>
            <w:shd w:val="clear" w:color="auto" w:fill="FEBCBC" w:themeFill="accent1" w:themeFillTint="33"/>
            <w:noWrap/>
            <w:vAlign w:val="bottom"/>
            <w:hideMark/>
          </w:tcPr>
          <w:p w:rsidR="00263C4D" w:rsidRPr="00EA224C" w:rsidRDefault="00263C4D" w:rsidP="00F541B2">
            <w:pPr>
              <w:spacing w:line="276" w:lineRule="auto"/>
              <w:rPr>
                <w:rFonts w:ascii="Times New Roman" w:hAnsi="Times New Roman" w:cs="Times New Roman"/>
                <w:color w:val="000000"/>
              </w:rPr>
            </w:pPr>
            <w:r w:rsidRPr="00EA224C">
              <w:rPr>
                <w:rFonts w:ascii="Times New Roman" w:hAnsi="Times New Roman" w:cs="Times New Roman"/>
                <w:color w:val="000000"/>
              </w:rPr>
              <w:t> </w:t>
            </w:r>
          </w:p>
        </w:tc>
        <w:tc>
          <w:tcPr>
            <w:tcW w:w="1084" w:type="dxa"/>
            <w:tcBorders>
              <w:top w:val="single" w:sz="4" w:space="0" w:color="auto"/>
              <w:left w:val="nil"/>
              <w:bottom w:val="nil"/>
              <w:right w:val="nil"/>
            </w:tcBorders>
            <w:shd w:val="clear" w:color="auto" w:fill="FEBCBC" w:themeFill="accent1" w:themeFillTint="33"/>
            <w:noWrap/>
            <w:vAlign w:val="bottom"/>
            <w:hideMark/>
          </w:tcPr>
          <w:p w:rsidR="00263C4D" w:rsidRPr="00EA224C" w:rsidRDefault="00263C4D" w:rsidP="00F541B2">
            <w:pPr>
              <w:spacing w:line="276" w:lineRule="auto"/>
              <w:rPr>
                <w:rFonts w:ascii="Times New Roman" w:hAnsi="Times New Roman" w:cs="Times New Roman"/>
                <w:color w:val="000000"/>
              </w:rPr>
            </w:pPr>
            <w:r w:rsidRPr="00EA224C">
              <w:rPr>
                <w:rFonts w:ascii="Times New Roman" w:hAnsi="Times New Roman" w:cs="Times New Roman"/>
                <w:color w:val="000000"/>
              </w:rPr>
              <w:t> </w:t>
            </w:r>
          </w:p>
        </w:tc>
        <w:tc>
          <w:tcPr>
            <w:tcW w:w="1084" w:type="dxa"/>
            <w:tcBorders>
              <w:top w:val="single" w:sz="4" w:space="0" w:color="auto"/>
              <w:left w:val="single" w:sz="8" w:space="0" w:color="auto"/>
              <w:bottom w:val="nil"/>
              <w:right w:val="single" w:sz="8" w:space="0" w:color="auto"/>
            </w:tcBorders>
            <w:shd w:val="clear" w:color="auto" w:fill="FEBCBC" w:themeFill="accent1" w:themeFillTint="33"/>
            <w:noWrap/>
            <w:vAlign w:val="bottom"/>
            <w:hideMark/>
          </w:tcPr>
          <w:p w:rsidR="00263C4D" w:rsidRPr="00EA224C" w:rsidRDefault="00263C4D" w:rsidP="00F541B2">
            <w:pPr>
              <w:spacing w:line="276" w:lineRule="auto"/>
              <w:rPr>
                <w:rFonts w:ascii="Times New Roman" w:hAnsi="Times New Roman" w:cs="Times New Roman"/>
                <w:color w:val="000000"/>
              </w:rPr>
            </w:pPr>
            <w:r w:rsidRPr="00EA224C">
              <w:rPr>
                <w:rFonts w:ascii="Times New Roman" w:hAnsi="Times New Roman" w:cs="Times New Roman"/>
                <w:color w:val="000000"/>
              </w:rPr>
              <w:t> </w:t>
            </w:r>
          </w:p>
        </w:tc>
        <w:tc>
          <w:tcPr>
            <w:tcW w:w="1084" w:type="dxa"/>
            <w:tcBorders>
              <w:top w:val="single" w:sz="4" w:space="0" w:color="auto"/>
              <w:left w:val="nil"/>
              <w:bottom w:val="nil"/>
              <w:right w:val="nil"/>
            </w:tcBorders>
            <w:shd w:val="clear" w:color="auto" w:fill="FEBCBC" w:themeFill="accent1" w:themeFillTint="33"/>
            <w:noWrap/>
            <w:vAlign w:val="bottom"/>
            <w:hideMark/>
          </w:tcPr>
          <w:p w:rsidR="00263C4D" w:rsidRPr="00EA224C" w:rsidRDefault="00263C4D" w:rsidP="00F541B2">
            <w:pPr>
              <w:spacing w:line="276" w:lineRule="auto"/>
              <w:rPr>
                <w:rFonts w:ascii="Times New Roman" w:hAnsi="Times New Roman" w:cs="Times New Roman"/>
                <w:color w:val="000000"/>
              </w:rPr>
            </w:pPr>
            <w:r w:rsidRPr="00EA224C">
              <w:rPr>
                <w:rFonts w:ascii="Times New Roman" w:hAnsi="Times New Roman" w:cs="Times New Roman"/>
                <w:color w:val="000000"/>
              </w:rPr>
              <w:t> </w:t>
            </w:r>
          </w:p>
        </w:tc>
        <w:tc>
          <w:tcPr>
            <w:tcW w:w="1084" w:type="dxa"/>
            <w:tcBorders>
              <w:top w:val="single" w:sz="4" w:space="0" w:color="auto"/>
              <w:left w:val="single" w:sz="8" w:space="0" w:color="auto"/>
              <w:bottom w:val="nil"/>
              <w:right w:val="single" w:sz="8" w:space="0" w:color="auto"/>
            </w:tcBorders>
            <w:shd w:val="clear" w:color="auto" w:fill="FEBCBC" w:themeFill="accent1" w:themeFillTint="33"/>
            <w:noWrap/>
            <w:vAlign w:val="bottom"/>
            <w:hideMark/>
          </w:tcPr>
          <w:p w:rsidR="00263C4D" w:rsidRPr="00EA224C" w:rsidRDefault="00263C4D" w:rsidP="00F541B2">
            <w:pPr>
              <w:spacing w:line="276" w:lineRule="auto"/>
              <w:rPr>
                <w:rFonts w:ascii="Times New Roman" w:hAnsi="Times New Roman" w:cs="Times New Roman"/>
                <w:color w:val="000000"/>
              </w:rPr>
            </w:pPr>
            <w:r w:rsidRPr="00EA224C">
              <w:rPr>
                <w:rFonts w:ascii="Times New Roman" w:hAnsi="Times New Roman" w:cs="Times New Roman"/>
                <w:color w:val="000000"/>
              </w:rPr>
              <w:t> </w:t>
            </w:r>
          </w:p>
        </w:tc>
        <w:tc>
          <w:tcPr>
            <w:tcW w:w="1084" w:type="dxa"/>
            <w:tcBorders>
              <w:top w:val="single" w:sz="4" w:space="0" w:color="auto"/>
              <w:left w:val="nil"/>
              <w:bottom w:val="nil"/>
              <w:right w:val="nil"/>
            </w:tcBorders>
            <w:shd w:val="clear" w:color="auto" w:fill="FEBCBC" w:themeFill="accent1" w:themeFillTint="33"/>
            <w:noWrap/>
            <w:vAlign w:val="bottom"/>
            <w:hideMark/>
          </w:tcPr>
          <w:p w:rsidR="00263C4D" w:rsidRPr="00EA224C" w:rsidRDefault="00263C4D" w:rsidP="00F541B2">
            <w:pPr>
              <w:spacing w:line="276" w:lineRule="auto"/>
              <w:rPr>
                <w:rFonts w:ascii="Times New Roman" w:hAnsi="Times New Roman" w:cs="Times New Roman"/>
                <w:color w:val="000000"/>
              </w:rPr>
            </w:pPr>
            <w:r w:rsidRPr="00EA224C">
              <w:rPr>
                <w:rFonts w:ascii="Times New Roman" w:hAnsi="Times New Roman" w:cs="Times New Roman"/>
                <w:color w:val="000000"/>
              </w:rPr>
              <w:t> </w:t>
            </w:r>
          </w:p>
        </w:tc>
        <w:tc>
          <w:tcPr>
            <w:tcW w:w="1087" w:type="dxa"/>
            <w:tcBorders>
              <w:top w:val="single" w:sz="4" w:space="0" w:color="auto"/>
              <w:left w:val="single" w:sz="8" w:space="0" w:color="auto"/>
              <w:bottom w:val="nil"/>
              <w:right w:val="single" w:sz="4" w:space="0" w:color="auto"/>
            </w:tcBorders>
            <w:shd w:val="clear" w:color="auto" w:fill="FEBCBC" w:themeFill="accent1" w:themeFillTint="33"/>
            <w:noWrap/>
            <w:vAlign w:val="bottom"/>
            <w:hideMark/>
          </w:tcPr>
          <w:p w:rsidR="00263C4D" w:rsidRPr="00EA224C" w:rsidRDefault="00263C4D" w:rsidP="00F541B2">
            <w:pPr>
              <w:spacing w:line="276" w:lineRule="auto"/>
              <w:rPr>
                <w:rFonts w:ascii="Times New Roman" w:hAnsi="Times New Roman" w:cs="Times New Roman"/>
                <w:color w:val="000000"/>
              </w:rPr>
            </w:pPr>
            <w:r w:rsidRPr="00EA224C">
              <w:rPr>
                <w:rFonts w:ascii="Times New Roman" w:hAnsi="Times New Roman" w:cs="Times New Roman"/>
                <w:color w:val="000000"/>
              </w:rPr>
              <w:t> </w:t>
            </w:r>
          </w:p>
        </w:tc>
      </w:tr>
      <w:tr w:rsidR="00502C28" w:rsidRPr="00E958CE" w:rsidTr="00F541B2">
        <w:trPr>
          <w:trHeight w:val="19"/>
        </w:trPr>
        <w:tc>
          <w:tcPr>
            <w:tcW w:w="4453" w:type="dxa"/>
            <w:vMerge w:val="restart"/>
            <w:tcBorders>
              <w:top w:val="nil"/>
              <w:left w:val="single" w:sz="8" w:space="0" w:color="auto"/>
              <w:bottom w:val="single" w:sz="8" w:space="0" w:color="000000"/>
              <w:right w:val="nil"/>
            </w:tcBorders>
            <w:shd w:val="clear" w:color="auto" w:fill="FEBCBC" w:themeFill="accent1" w:themeFillTint="33"/>
            <w:hideMark/>
          </w:tcPr>
          <w:p w:rsidR="00263C4D" w:rsidRPr="000A36AD" w:rsidRDefault="00263C4D" w:rsidP="00F541B2">
            <w:pPr>
              <w:spacing w:line="276" w:lineRule="auto"/>
              <w:rPr>
                <w:rFonts w:ascii="Times New Roman" w:hAnsi="Times New Roman" w:cs="Times New Roman"/>
                <w:color w:val="000000"/>
              </w:rPr>
            </w:pPr>
            <w:r w:rsidRPr="000A36AD">
              <w:rPr>
                <w:rFonts w:ascii="Times New Roman" w:hAnsi="Times New Roman" w:cs="Times New Roman"/>
                <w:color w:val="000000"/>
              </w:rPr>
              <w:t>Töödeldud toodete eksport (</w:t>
            </w:r>
            <w:proofErr w:type="spellStart"/>
            <w:r w:rsidRPr="000A36AD">
              <w:rPr>
                <w:rFonts w:ascii="Times New Roman" w:hAnsi="Times New Roman" w:cs="Times New Roman"/>
                <w:color w:val="000000"/>
              </w:rPr>
              <w:t>ü.a.t</w:t>
            </w:r>
            <w:proofErr w:type="spellEnd"/>
            <w:r w:rsidRPr="000A36AD">
              <w:rPr>
                <w:rFonts w:ascii="Times New Roman" w:hAnsi="Times New Roman" w:cs="Times New Roman"/>
                <w:color w:val="000000"/>
              </w:rPr>
              <w:t>.)</w:t>
            </w:r>
            <w:r w:rsidRPr="000A36AD">
              <w:rPr>
                <w:rStyle w:val="FootnoteReference"/>
                <w:rFonts w:ascii="Times New Roman" w:hAnsi="Times New Roman" w:cs="Times New Roman"/>
                <w:color w:val="000000"/>
              </w:rPr>
              <w:footnoteReference w:id="33"/>
            </w:r>
            <w:r w:rsidRPr="000A36AD">
              <w:rPr>
                <w:rFonts w:ascii="Times New Roman" w:hAnsi="Times New Roman" w:cs="Times New Roman"/>
                <w:color w:val="000000"/>
              </w:rPr>
              <w:t>; tuh t</w:t>
            </w:r>
            <w:r w:rsidRPr="000A36AD">
              <w:rPr>
                <w:rFonts w:ascii="Times New Roman" w:hAnsi="Times New Roman" w:cs="Times New Roman"/>
                <w:color w:val="000000"/>
              </w:rPr>
              <w:br/>
              <w:t>Allikas: PM</w:t>
            </w:r>
          </w:p>
        </w:tc>
        <w:tc>
          <w:tcPr>
            <w:tcW w:w="1114" w:type="dxa"/>
            <w:gridSpan w:val="2"/>
            <w:tcBorders>
              <w:top w:val="nil"/>
              <w:left w:val="nil"/>
              <w:bottom w:val="nil"/>
              <w:right w:val="single" w:sz="4" w:space="0" w:color="auto"/>
            </w:tcBorders>
            <w:shd w:val="clear" w:color="auto" w:fill="FEBCBC" w:themeFill="accent1" w:themeFillTint="33"/>
            <w:noWrap/>
            <w:vAlign w:val="bottom"/>
            <w:hideMark/>
          </w:tcPr>
          <w:p w:rsidR="00263C4D" w:rsidRPr="00EA224C" w:rsidRDefault="00263C4D" w:rsidP="00F541B2">
            <w:pPr>
              <w:spacing w:line="276" w:lineRule="auto"/>
              <w:rPr>
                <w:rFonts w:ascii="Times New Roman" w:hAnsi="Times New Roman" w:cs="Times New Roman"/>
                <w:color w:val="000000"/>
              </w:rPr>
            </w:pPr>
          </w:p>
        </w:tc>
        <w:tc>
          <w:tcPr>
            <w:tcW w:w="1426" w:type="dxa"/>
            <w:tcBorders>
              <w:top w:val="nil"/>
              <w:left w:val="single" w:sz="4" w:space="0" w:color="auto"/>
              <w:bottom w:val="nil"/>
              <w:right w:val="single" w:sz="8" w:space="0" w:color="auto"/>
            </w:tcBorders>
            <w:shd w:val="clear" w:color="auto" w:fill="FEBCBC" w:themeFill="accent1" w:themeFillTint="33"/>
            <w:vAlign w:val="center"/>
            <w:hideMark/>
          </w:tcPr>
          <w:p w:rsidR="00263C4D" w:rsidRPr="00EA224C" w:rsidRDefault="00263C4D" w:rsidP="00F541B2">
            <w:pPr>
              <w:spacing w:line="276" w:lineRule="auto"/>
              <w:jc w:val="center"/>
              <w:rPr>
                <w:rFonts w:ascii="Times New Roman" w:hAnsi="Times New Roman" w:cs="Times New Roman"/>
                <w:color w:val="000000"/>
              </w:rPr>
            </w:pPr>
            <w:r w:rsidRPr="00EA224C">
              <w:rPr>
                <w:rFonts w:ascii="Times New Roman" w:hAnsi="Times New Roman" w:cs="Times New Roman"/>
                <w:color w:val="000000"/>
              </w:rPr>
              <w:t>111</w:t>
            </w:r>
          </w:p>
        </w:tc>
        <w:tc>
          <w:tcPr>
            <w:tcW w:w="1084" w:type="dxa"/>
            <w:tcBorders>
              <w:top w:val="nil"/>
              <w:left w:val="nil"/>
              <w:bottom w:val="nil"/>
              <w:right w:val="single" w:sz="8" w:space="0" w:color="auto"/>
            </w:tcBorders>
            <w:shd w:val="clear" w:color="auto" w:fill="FEBCBC" w:themeFill="accent1" w:themeFillTint="33"/>
            <w:vAlign w:val="center"/>
            <w:hideMark/>
          </w:tcPr>
          <w:p w:rsidR="00263C4D" w:rsidRPr="00EA224C" w:rsidRDefault="00263C4D" w:rsidP="00F541B2">
            <w:pPr>
              <w:spacing w:line="276" w:lineRule="auto"/>
              <w:jc w:val="center"/>
              <w:rPr>
                <w:rFonts w:ascii="Times New Roman" w:hAnsi="Times New Roman" w:cs="Times New Roman"/>
                <w:color w:val="000000"/>
              </w:rPr>
            </w:pPr>
            <w:r w:rsidRPr="00EA224C">
              <w:rPr>
                <w:rFonts w:ascii="Times New Roman" w:hAnsi="Times New Roman" w:cs="Times New Roman"/>
                <w:color w:val="000000"/>
              </w:rPr>
              <w:t>131</w:t>
            </w:r>
          </w:p>
        </w:tc>
        <w:tc>
          <w:tcPr>
            <w:tcW w:w="1084" w:type="dxa"/>
            <w:tcBorders>
              <w:top w:val="nil"/>
              <w:left w:val="nil"/>
              <w:bottom w:val="nil"/>
              <w:right w:val="single" w:sz="8" w:space="0" w:color="auto"/>
            </w:tcBorders>
            <w:shd w:val="clear" w:color="auto" w:fill="FEBCBC" w:themeFill="accent1" w:themeFillTint="33"/>
            <w:vAlign w:val="center"/>
            <w:hideMark/>
          </w:tcPr>
          <w:p w:rsidR="00263C4D" w:rsidRPr="00EA224C" w:rsidRDefault="00263C4D" w:rsidP="00F541B2">
            <w:pPr>
              <w:spacing w:line="276" w:lineRule="auto"/>
              <w:jc w:val="center"/>
              <w:rPr>
                <w:rFonts w:ascii="Times New Roman" w:hAnsi="Times New Roman" w:cs="Times New Roman"/>
                <w:color w:val="000000"/>
              </w:rPr>
            </w:pPr>
            <w:r w:rsidRPr="00EA224C">
              <w:rPr>
                <w:rFonts w:ascii="Times New Roman" w:hAnsi="Times New Roman" w:cs="Times New Roman"/>
                <w:color w:val="000000"/>
              </w:rPr>
              <w:t>155</w:t>
            </w:r>
          </w:p>
        </w:tc>
        <w:tc>
          <w:tcPr>
            <w:tcW w:w="1084" w:type="dxa"/>
            <w:tcBorders>
              <w:top w:val="nil"/>
              <w:left w:val="nil"/>
              <w:bottom w:val="nil"/>
              <w:right w:val="single" w:sz="8" w:space="0" w:color="auto"/>
            </w:tcBorders>
            <w:shd w:val="clear" w:color="auto" w:fill="FEBCBC" w:themeFill="accent1" w:themeFillTint="33"/>
            <w:vAlign w:val="center"/>
            <w:hideMark/>
          </w:tcPr>
          <w:p w:rsidR="00263C4D" w:rsidRPr="00EA224C" w:rsidRDefault="00263C4D" w:rsidP="00F541B2">
            <w:pPr>
              <w:spacing w:line="276" w:lineRule="auto"/>
              <w:jc w:val="center"/>
              <w:rPr>
                <w:rFonts w:ascii="Times New Roman" w:hAnsi="Times New Roman" w:cs="Times New Roman"/>
                <w:color w:val="000000"/>
              </w:rPr>
            </w:pPr>
            <w:r w:rsidRPr="00EA224C">
              <w:rPr>
                <w:rFonts w:ascii="Times New Roman" w:hAnsi="Times New Roman" w:cs="Times New Roman"/>
                <w:color w:val="000000"/>
              </w:rPr>
              <w:t>182</w:t>
            </w:r>
          </w:p>
        </w:tc>
        <w:tc>
          <w:tcPr>
            <w:tcW w:w="1084" w:type="dxa"/>
            <w:tcBorders>
              <w:top w:val="nil"/>
              <w:left w:val="nil"/>
              <w:bottom w:val="nil"/>
              <w:right w:val="single" w:sz="8" w:space="0" w:color="auto"/>
            </w:tcBorders>
            <w:shd w:val="clear" w:color="auto" w:fill="FEBCBC" w:themeFill="accent1" w:themeFillTint="33"/>
            <w:vAlign w:val="center"/>
            <w:hideMark/>
          </w:tcPr>
          <w:p w:rsidR="00263C4D" w:rsidRPr="00EA224C" w:rsidRDefault="00263C4D" w:rsidP="00F541B2">
            <w:pPr>
              <w:spacing w:line="276" w:lineRule="auto"/>
              <w:jc w:val="center"/>
              <w:rPr>
                <w:rFonts w:ascii="Times New Roman" w:hAnsi="Times New Roman" w:cs="Times New Roman"/>
                <w:color w:val="000000"/>
              </w:rPr>
            </w:pPr>
            <w:r w:rsidRPr="00EA224C">
              <w:rPr>
                <w:rFonts w:ascii="Times New Roman" w:hAnsi="Times New Roman" w:cs="Times New Roman"/>
                <w:color w:val="000000"/>
              </w:rPr>
              <w:t>215</w:t>
            </w:r>
          </w:p>
        </w:tc>
        <w:tc>
          <w:tcPr>
            <w:tcW w:w="1084" w:type="dxa"/>
            <w:tcBorders>
              <w:top w:val="nil"/>
              <w:left w:val="nil"/>
              <w:bottom w:val="nil"/>
              <w:right w:val="single" w:sz="8" w:space="0" w:color="auto"/>
            </w:tcBorders>
            <w:shd w:val="clear" w:color="auto" w:fill="FEBCBC" w:themeFill="accent1" w:themeFillTint="33"/>
            <w:vAlign w:val="center"/>
            <w:hideMark/>
          </w:tcPr>
          <w:p w:rsidR="00263C4D" w:rsidRPr="00EA224C" w:rsidRDefault="00263C4D" w:rsidP="00F541B2">
            <w:pPr>
              <w:spacing w:line="276" w:lineRule="auto"/>
              <w:jc w:val="center"/>
              <w:rPr>
                <w:rFonts w:ascii="Times New Roman" w:hAnsi="Times New Roman" w:cs="Times New Roman"/>
                <w:color w:val="000000"/>
              </w:rPr>
            </w:pPr>
            <w:r w:rsidRPr="00EA224C">
              <w:rPr>
                <w:rFonts w:ascii="Times New Roman" w:hAnsi="Times New Roman" w:cs="Times New Roman"/>
                <w:color w:val="000000"/>
              </w:rPr>
              <w:t>254</w:t>
            </w:r>
          </w:p>
        </w:tc>
        <w:tc>
          <w:tcPr>
            <w:tcW w:w="1084" w:type="dxa"/>
            <w:tcBorders>
              <w:top w:val="nil"/>
              <w:left w:val="nil"/>
              <w:bottom w:val="nil"/>
              <w:right w:val="single" w:sz="8" w:space="0" w:color="auto"/>
            </w:tcBorders>
            <w:shd w:val="clear" w:color="auto" w:fill="FEBCBC" w:themeFill="accent1" w:themeFillTint="33"/>
            <w:vAlign w:val="center"/>
            <w:hideMark/>
          </w:tcPr>
          <w:p w:rsidR="00263C4D" w:rsidRPr="00EA224C" w:rsidRDefault="00263C4D" w:rsidP="00F541B2">
            <w:pPr>
              <w:spacing w:line="276" w:lineRule="auto"/>
              <w:jc w:val="center"/>
              <w:rPr>
                <w:rFonts w:ascii="Times New Roman" w:hAnsi="Times New Roman" w:cs="Times New Roman"/>
                <w:color w:val="000000"/>
              </w:rPr>
            </w:pPr>
            <w:r w:rsidRPr="00EA224C">
              <w:rPr>
                <w:rFonts w:ascii="Times New Roman" w:hAnsi="Times New Roman" w:cs="Times New Roman"/>
                <w:color w:val="000000"/>
              </w:rPr>
              <w:t>300</w:t>
            </w:r>
          </w:p>
        </w:tc>
        <w:tc>
          <w:tcPr>
            <w:tcW w:w="1087" w:type="dxa"/>
            <w:tcBorders>
              <w:top w:val="nil"/>
              <w:left w:val="nil"/>
              <w:bottom w:val="nil"/>
              <w:right w:val="single" w:sz="4" w:space="0" w:color="auto"/>
            </w:tcBorders>
            <w:shd w:val="clear" w:color="auto" w:fill="FEBCBC" w:themeFill="accent1" w:themeFillTint="33"/>
            <w:vAlign w:val="center"/>
            <w:hideMark/>
          </w:tcPr>
          <w:p w:rsidR="00263C4D" w:rsidRPr="00EA224C" w:rsidRDefault="00263C4D" w:rsidP="00F541B2">
            <w:pPr>
              <w:spacing w:line="276" w:lineRule="auto"/>
              <w:jc w:val="center"/>
              <w:rPr>
                <w:rFonts w:ascii="Times New Roman" w:hAnsi="Times New Roman" w:cs="Times New Roman"/>
                <w:color w:val="000000"/>
              </w:rPr>
            </w:pPr>
            <w:r w:rsidRPr="00EA224C">
              <w:rPr>
                <w:rFonts w:ascii="Times New Roman" w:hAnsi="Times New Roman" w:cs="Times New Roman"/>
                <w:color w:val="000000"/>
              </w:rPr>
              <w:t>354</w:t>
            </w:r>
          </w:p>
        </w:tc>
      </w:tr>
      <w:tr w:rsidR="00502C28" w:rsidRPr="00E958CE" w:rsidTr="00F541B2">
        <w:trPr>
          <w:trHeight w:val="198"/>
        </w:trPr>
        <w:tc>
          <w:tcPr>
            <w:tcW w:w="4453" w:type="dxa"/>
            <w:vMerge/>
            <w:tcBorders>
              <w:top w:val="nil"/>
              <w:left w:val="single" w:sz="8" w:space="0" w:color="auto"/>
              <w:bottom w:val="single" w:sz="8" w:space="0" w:color="000000"/>
              <w:right w:val="nil"/>
            </w:tcBorders>
            <w:shd w:val="clear" w:color="auto" w:fill="FEBCBC" w:themeFill="accent1" w:themeFillTint="33"/>
            <w:vAlign w:val="center"/>
            <w:hideMark/>
          </w:tcPr>
          <w:p w:rsidR="00263C4D" w:rsidRPr="000A36AD" w:rsidRDefault="00263C4D" w:rsidP="00F541B2">
            <w:pPr>
              <w:spacing w:line="276" w:lineRule="auto"/>
              <w:rPr>
                <w:rFonts w:ascii="Times New Roman" w:hAnsi="Times New Roman" w:cs="Times New Roman"/>
                <w:color w:val="000000"/>
              </w:rPr>
            </w:pPr>
          </w:p>
        </w:tc>
        <w:tc>
          <w:tcPr>
            <w:tcW w:w="1114" w:type="dxa"/>
            <w:gridSpan w:val="2"/>
            <w:tcBorders>
              <w:top w:val="nil"/>
              <w:left w:val="nil"/>
              <w:bottom w:val="single" w:sz="8" w:space="0" w:color="auto"/>
              <w:right w:val="single" w:sz="4" w:space="0" w:color="auto"/>
            </w:tcBorders>
            <w:shd w:val="clear" w:color="auto" w:fill="FEBCBC" w:themeFill="accent1" w:themeFillTint="33"/>
            <w:vAlign w:val="center"/>
            <w:hideMark/>
          </w:tcPr>
          <w:p w:rsidR="00263C4D" w:rsidRPr="00EA224C" w:rsidRDefault="00263C4D" w:rsidP="00F541B2">
            <w:pPr>
              <w:spacing w:line="276" w:lineRule="auto"/>
              <w:rPr>
                <w:rFonts w:ascii="Times New Roman" w:hAnsi="Times New Roman" w:cs="Times New Roman"/>
                <w:iCs/>
                <w:color w:val="000000"/>
              </w:rPr>
            </w:pPr>
            <w:r w:rsidRPr="00EA224C">
              <w:rPr>
                <w:rFonts w:ascii="Times New Roman" w:hAnsi="Times New Roman" w:cs="Times New Roman"/>
                <w:iCs/>
                <w:color w:val="000000"/>
              </w:rPr>
              <w:t> </w:t>
            </w:r>
          </w:p>
        </w:tc>
        <w:tc>
          <w:tcPr>
            <w:tcW w:w="1426" w:type="dxa"/>
            <w:tcBorders>
              <w:top w:val="nil"/>
              <w:left w:val="single" w:sz="4" w:space="0" w:color="auto"/>
              <w:bottom w:val="single" w:sz="4" w:space="0" w:color="auto"/>
              <w:right w:val="single" w:sz="8" w:space="0" w:color="auto"/>
            </w:tcBorders>
            <w:shd w:val="clear" w:color="auto" w:fill="FEBCBC" w:themeFill="accent1" w:themeFillTint="33"/>
            <w:vAlign w:val="center"/>
            <w:hideMark/>
          </w:tcPr>
          <w:p w:rsidR="00263C4D" w:rsidRPr="00EA224C" w:rsidRDefault="00263C4D" w:rsidP="00F541B2">
            <w:pPr>
              <w:spacing w:line="276" w:lineRule="auto"/>
              <w:jc w:val="center"/>
              <w:rPr>
                <w:rFonts w:ascii="Times New Roman" w:hAnsi="Times New Roman" w:cs="Times New Roman"/>
                <w:color w:val="000000"/>
              </w:rPr>
            </w:pPr>
            <w:r w:rsidRPr="00EA224C">
              <w:rPr>
                <w:rFonts w:ascii="Times New Roman" w:hAnsi="Times New Roman" w:cs="Times New Roman"/>
                <w:color w:val="000000"/>
              </w:rPr>
              <w:t> </w:t>
            </w:r>
          </w:p>
        </w:tc>
        <w:tc>
          <w:tcPr>
            <w:tcW w:w="1084" w:type="dxa"/>
            <w:tcBorders>
              <w:top w:val="nil"/>
              <w:left w:val="nil"/>
              <w:bottom w:val="single" w:sz="4" w:space="0" w:color="auto"/>
              <w:right w:val="single" w:sz="8" w:space="0" w:color="auto"/>
            </w:tcBorders>
            <w:shd w:val="clear" w:color="auto" w:fill="FEBCBC" w:themeFill="accent1" w:themeFillTint="33"/>
            <w:vAlign w:val="center"/>
            <w:hideMark/>
          </w:tcPr>
          <w:p w:rsidR="00263C4D" w:rsidRPr="00EA224C" w:rsidRDefault="00263C4D" w:rsidP="00F541B2">
            <w:pPr>
              <w:spacing w:line="276" w:lineRule="auto"/>
              <w:jc w:val="center"/>
              <w:rPr>
                <w:rFonts w:ascii="Times New Roman" w:hAnsi="Times New Roman" w:cs="Times New Roman"/>
                <w:color w:val="000000"/>
              </w:rPr>
            </w:pPr>
            <w:r w:rsidRPr="00EA224C">
              <w:rPr>
                <w:rFonts w:ascii="Times New Roman" w:hAnsi="Times New Roman" w:cs="Times New Roman"/>
                <w:color w:val="000000"/>
              </w:rPr>
              <w:t> </w:t>
            </w:r>
          </w:p>
        </w:tc>
        <w:tc>
          <w:tcPr>
            <w:tcW w:w="1084" w:type="dxa"/>
            <w:tcBorders>
              <w:top w:val="nil"/>
              <w:left w:val="nil"/>
              <w:bottom w:val="single" w:sz="4" w:space="0" w:color="auto"/>
              <w:right w:val="nil"/>
            </w:tcBorders>
            <w:shd w:val="clear" w:color="auto" w:fill="FEBCBC" w:themeFill="accent1" w:themeFillTint="33"/>
            <w:vAlign w:val="center"/>
            <w:hideMark/>
          </w:tcPr>
          <w:p w:rsidR="00263C4D" w:rsidRPr="00EA224C" w:rsidRDefault="00263C4D" w:rsidP="00F541B2">
            <w:pPr>
              <w:spacing w:line="276" w:lineRule="auto"/>
              <w:jc w:val="center"/>
              <w:rPr>
                <w:rFonts w:ascii="Times New Roman" w:hAnsi="Times New Roman" w:cs="Times New Roman"/>
                <w:color w:val="000000"/>
              </w:rPr>
            </w:pPr>
            <w:r w:rsidRPr="00EA224C">
              <w:rPr>
                <w:rFonts w:ascii="Times New Roman" w:hAnsi="Times New Roman" w:cs="Times New Roman"/>
                <w:color w:val="000000"/>
              </w:rPr>
              <w:t> </w:t>
            </w:r>
          </w:p>
        </w:tc>
        <w:tc>
          <w:tcPr>
            <w:tcW w:w="1084" w:type="dxa"/>
            <w:tcBorders>
              <w:top w:val="nil"/>
              <w:left w:val="single" w:sz="8" w:space="0" w:color="auto"/>
              <w:bottom w:val="single" w:sz="4" w:space="0" w:color="auto"/>
              <w:right w:val="single" w:sz="8" w:space="0" w:color="auto"/>
            </w:tcBorders>
            <w:shd w:val="clear" w:color="auto" w:fill="FEBCBC" w:themeFill="accent1" w:themeFillTint="33"/>
            <w:vAlign w:val="center"/>
            <w:hideMark/>
          </w:tcPr>
          <w:p w:rsidR="00263C4D" w:rsidRPr="00EA224C" w:rsidRDefault="00263C4D" w:rsidP="00F541B2">
            <w:pPr>
              <w:spacing w:line="276" w:lineRule="auto"/>
              <w:jc w:val="center"/>
              <w:rPr>
                <w:rFonts w:ascii="Times New Roman" w:hAnsi="Times New Roman" w:cs="Times New Roman"/>
                <w:color w:val="000000"/>
              </w:rPr>
            </w:pPr>
            <w:r w:rsidRPr="00EA224C">
              <w:rPr>
                <w:rFonts w:ascii="Times New Roman" w:hAnsi="Times New Roman" w:cs="Times New Roman"/>
                <w:color w:val="000000"/>
              </w:rPr>
              <w:t> </w:t>
            </w:r>
          </w:p>
        </w:tc>
        <w:tc>
          <w:tcPr>
            <w:tcW w:w="1084" w:type="dxa"/>
            <w:tcBorders>
              <w:top w:val="nil"/>
              <w:left w:val="nil"/>
              <w:bottom w:val="single" w:sz="4" w:space="0" w:color="auto"/>
              <w:right w:val="nil"/>
            </w:tcBorders>
            <w:shd w:val="clear" w:color="auto" w:fill="FEBCBC" w:themeFill="accent1" w:themeFillTint="33"/>
            <w:vAlign w:val="center"/>
            <w:hideMark/>
          </w:tcPr>
          <w:p w:rsidR="00263C4D" w:rsidRPr="00EA224C" w:rsidRDefault="00263C4D" w:rsidP="00F541B2">
            <w:pPr>
              <w:spacing w:line="276" w:lineRule="auto"/>
              <w:jc w:val="center"/>
              <w:rPr>
                <w:rFonts w:ascii="Times New Roman" w:hAnsi="Times New Roman" w:cs="Times New Roman"/>
                <w:color w:val="000000"/>
              </w:rPr>
            </w:pPr>
            <w:r w:rsidRPr="00EA224C">
              <w:rPr>
                <w:rFonts w:ascii="Times New Roman" w:hAnsi="Times New Roman" w:cs="Times New Roman"/>
                <w:color w:val="000000"/>
              </w:rPr>
              <w:t> </w:t>
            </w:r>
          </w:p>
        </w:tc>
        <w:tc>
          <w:tcPr>
            <w:tcW w:w="1084" w:type="dxa"/>
            <w:tcBorders>
              <w:top w:val="nil"/>
              <w:left w:val="single" w:sz="8" w:space="0" w:color="auto"/>
              <w:bottom w:val="single" w:sz="4" w:space="0" w:color="auto"/>
              <w:right w:val="single" w:sz="8" w:space="0" w:color="auto"/>
            </w:tcBorders>
            <w:shd w:val="clear" w:color="auto" w:fill="FEBCBC" w:themeFill="accent1" w:themeFillTint="33"/>
            <w:vAlign w:val="center"/>
            <w:hideMark/>
          </w:tcPr>
          <w:p w:rsidR="00263C4D" w:rsidRPr="00EA224C" w:rsidRDefault="00263C4D" w:rsidP="00F541B2">
            <w:pPr>
              <w:spacing w:line="276" w:lineRule="auto"/>
              <w:jc w:val="center"/>
              <w:rPr>
                <w:rFonts w:ascii="Times New Roman" w:hAnsi="Times New Roman" w:cs="Times New Roman"/>
                <w:color w:val="000000"/>
              </w:rPr>
            </w:pPr>
            <w:r w:rsidRPr="00EA224C">
              <w:rPr>
                <w:rFonts w:ascii="Times New Roman" w:hAnsi="Times New Roman" w:cs="Times New Roman"/>
                <w:color w:val="000000"/>
              </w:rPr>
              <w:t> </w:t>
            </w:r>
          </w:p>
        </w:tc>
        <w:tc>
          <w:tcPr>
            <w:tcW w:w="1084" w:type="dxa"/>
            <w:tcBorders>
              <w:top w:val="nil"/>
              <w:left w:val="nil"/>
              <w:bottom w:val="single" w:sz="4" w:space="0" w:color="auto"/>
              <w:right w:val="nil"/>
            </w:tcBorders>
            <w:shd w:val="clear" w:color="auto" w:fill="FEBCBC" w:themeFill="accent1" w:themeFillTint="33"/>
            <w:vAlign w:val="center"/>
            <w:hideMark/>
          </w:tcPr>
          <w:p w:rsidR="00263C4D" w:rsidRPr="00EA224C" w:rsidRDefault="00263C4D" w:rsidP="00F541B2">
            <w:pPr>
              <w:spacing w:line="276" w:lineRule="auto"/>
              <w:jc w:val="center"/>
              <w:rPr>
                <w:rFonts w:ascii="Times New Roman" w:hAnsi="Times New Roman" w:cs="Times New Roman"/>
                <w:color w:val="000000"/>
              </w:rPr>
            </w:pPr>
            <w:r w:rsidRPr="00EA224C">
              <w:rPr>
                <w:rFonts w:ascii="Times New Roman" w:hAnsi="Times New Roman" w:cs="Times New Roman"/>
                <w:color w:val="000000"/>
              </w:rPr>
              <w:t> </w:t>
            </w:r>
          </w:p>
        </w:tc>
        <w:tc>
          <w:tcPr>
            <w:tcW w:w="1087" w:type="dxa"/>
            <w:tcBorders>
              <w:top w:val="nil"/>
              <w:left w:val="single" w:sz="8" w:space="0" w:color="auto"/>
              <w:bottom w:val="single" w:sz="4" w:space="0" w:color="auto"/>
              <w:right w:val="single" w:sz="4" w:space="0" w:color="auto"/>
            </w:tcBorders>
            <w:shd w:val="clear" w:color="auto" w:fill="FEBCBC" w:themeFill="accent1" w:themeFillTint="33"/>
            <w:vAlign w:val="center"/>
            <w:hideMark/>
          </w:tcPr>
          <w:p w:rsidR="00263C4D" w:rsidRPr="00EA224C" w:rsidRDefault="00263C4D" w:rsidP="00F541B2">
            <w:pPr>
              <w:spacing w:line="276" w:lineRule="auto"/>
              <w:jc w:val="center"/>
              <w:rPr>
                <w:rFonts w:ascii="Times New Roman" w:hAnsi="Times New Roman" w:cs="Times New Roman"/>
                <w:color w:val="000000"/>
              </w:rPr>
            </w:pPr>
            <w:r w:rsidRPr="00EA224C">
              <w:rPr>
                <w:rFonts w:ascii="Times New Roman" w:hAnsi="Times New Roman" w:cs="Times New Roman"/>
                <w:color w:val="000000"/>
              </w:rPr>
              <w:t> </w:t>
            </w:r>
          </w:p>
        </w:tc>
      </w:tr>
      <w:tr w:rsidR="00263C4D" w:rsidRPr="00E958CE" w:rsidTr="00F541B2">
        <w:trPr>
          <w:trHeight w:val="19"/>
        </w:trPr>
        <w:tc>
          <w:tcPr>
            <w:tcW w:w="4453" w:type="dxa"/>
            <w:tcBorders>
              <w:top w:val="nil"/>
              <w:left w:val="single" w:sz="8" w:space="0" w:color="auto"/>
              <w:bottom w:val="nil"/>
              <w:right w:val="nil"/>
            </w:tcBorders>
            <w:shd w:val="clear" w:color="auto" w:fill="auto"/>
            <w:vAlign w:val="center"/>
            <w:hideMark/>
          </w:tcPr>
          <w:p w:rsidR="00263C4D" w:rsidRPr="000A36AD" w:rsidRDefault="00263C4D" w:rsidP="00F541B2">
            <w:pPr>
              <w:spacing w:line="276" w:lineRule="auto"/>
              <w:rPr>
                <w:rFonts w:ascii="Times New Roman" w:hAnsi="Times New Roman" w:cs="Times New Roman"/>
                <w:b/>
                <w:bCs/>
                <w:color w:val="000000"/>
                <w:u w:val="single"/>
              </w:rPr>
            </w:pPr>
            <w:r w:rsidRPr="000A36AD">
              <w:rPr>
                <w:rFonts w:ascii="Times New Roman" w:hAnsi="Times New Roman" w:cs="Times New Roman"/>
                <w:b/>
                <w:bCs/>
                <w:color w:val="000000"/>
                <w:u w:val="single"/>
              </w:rPr>
              <w:t>Mõõdik 5</w:t>
            </w:r>
          </w:p>
        </w:tc>
        <w:tc>
          <w:tcPr>
            <w:tcW w:w="1114" w:type="dxa"/>
            <w:gridSpan w:val="2"/>
            <w:tcBorders>
              <w:top w:val="nil"/>
              <w:left w:val="nil"/>
              <w:bottom w:val="nil"/>
              <w:right w:val="nil"/>
            </w:tcBorders>
            <w:shd w:val="clear" w:color="auto" w:fill="auto"/>
            <w:vAlign w:val="center"/>
            <w:hideMark/>
          </w:tcPr>
          <w:p w:rsidR="00263C4D" w:rsidRPr="000A36AD" w:rsidRDefault="00263C4D" w:rsidP="00F541B2">
            <w:pPr>
              <w:spacing w:line="276" w:lineRule="auto"/>
              <w:rPr>
                <w:rFonts w:ascii="Times New Roman" w:hAnsi="Times New Roman" w:cs="Times New Roman"/>
                <w:color w:val="000000"/>
                <w:u w:val="single"/>
              </w:rPr>
            </w:pPr>
          </w:p>
        </w:tc>
        <w:tc>
          <w:tcPr>
            <w:tcW w:w="1426" w:type="dxa"/>
            <w:tcBorders>
              <w:top w:val="single" w:sz="4" w:space="0" w:color="auto"/>
              <w:left w:val="single" w:sz="8" w:space="0" w:color="auto"/>
              <w:bottom w:val="nil"/>
              <w:right w:val="single" w:sz="8" w:space="0" w:color="auto"/>
            </w:tcBorders>
            <w:shd w:val="clear" w:color="auto" w:fill="auto"/>
            <w:noWrap/>
            <w:vAlign w:val="bottom"/>
            <w:hideMark/>
          </w:tcPr>
          <w:p w:rsidR="00263C4D" w:rsidRPr="000A36AD" w:rsidRDefault="00263C4D" w:rsidP="00F541B2">
            <w:pPr>
              <w:spacing w:line="276" w:lineRule="auto"/>
              <w:rPr>
                <w:rFonts w:ascii="Times New Roman" w:hAnsi="Times New Roman" w:cs="Times New Roman"/>
                <w:color w:val="000000"/>
              </w:rPr>
            </w:pPr>
            <w:r w:rsidRPr="000A36AD">
              <w:rPr>
                <w:rFonts w:ascii="Times New Roman" w:hAnsi="Times New Roman" w:cs="Times New Roman"/>
                <w:color w:val="000000"/>
              </w:rPr>
              <w:t> </w:t>
            </w:r>
          </w:p>
        </w:tc>
        <w:tc>
          <w:tcPr>
            <w:tcW w:w="1084" w:type="dxa"/>
            <w:tcBorders>
              <w:top w:val="single" w:sz="4" w:space="0" w:color="auto"/>
              <w:left w:val="nil"/>
              <w:bottom w:val="nil"/>
              <w:right w:val="single" w:sz="8" w:space="0" w:color="auto"/>
            </w:tcBorders>
            <w:shd w:val="clear" w:color="auto" w:fill="auto"/>
            <w:noWrap/>
            <w:vAlign w:val="bottom"/>
            <w:hideMark/>
          </w:tcPr>
          <w:p w:rsidR="00263C4D" w:rsidRPr="000A36AD" w:rsidRDefault="00263C4D" w:rsidP="00F541B2">
            <w:pPr>
              <w:spacing w:line="276" w:lineRule="auto"/>
              <w:rPr>
                <w:rFonts w:ascii="Times New Roman" w:hAnsi="Times New Roman" w:cs="Times New Roman"/>
                <w:color w:val="000000"/>
              </w:rPr>
            </w:pPr>
            <w:r w:rsidRPr="000A36AD">
              <w:rPr>
                <w:rFonts w:ascii="Times New Roman" w:hAnsi="Times New Roman" w:cs="Times New Roman"/>
                <w:color w:val="000000"/>
              </w:rPr>
              <w:t> </w:t>
            </w:r>
          </w:p>
        </w:tc>
        <w:tc>
          <w:tcPr>
            <w:tcW w:w="1084" w:type="dxa"/>
            <w:tcBorders>
              <w:top w:val="single" w:sz="4" w:space="0" w:color="auto"/>
              <w:left w:val="nil"/>
              <w:bottom w:val="nil"/>
              <w:right w:val="nil"/>
            </w:tcBorders>
            <w:shd w:val="clear" w:color="auto" w:fill="auto"/>
            <w:noWrap/>
            <w:vAlign w:val="bottom"/>
            <w:hideMark/>
          </w:tcPr>
          <w:p w:rsidR="00263C4D" w:rsidRPr="000A36AD" w:rsidRDefault="00263C4D" w:rsidP="00F541B2">
            <w:pPr>
              <w:spacing w:line="276" w:lineRule="auto"/>
              <w:rPr>
                <w:rFonts w:ascii="Times New Roman" w:hAnsi="Times New Roman" w:cs="Times New Roman"/>
                <w:color w:val="000000"/>
              </w:rPr>
            </w:pPr>
          </w:p>
        </w:tc>
        <w:tc>
          <w:tcPr>
            <w:tcW w:w="1084" w:type="dxa"/>
            <w:tcBorders>
              <w:top w:val="single" w:sz="4" w:space="0" w:color="auto"/>
              <w:left w:val="single" w:sz="8" w:space="0" w:color="auto"/>
              <w:bottom w:val="nil"/>
              <w:right w:val="single" w:sz="8" w:space="0" w:color="auto"/>
            </w:tcBorders>
            <w:shd w:val="clear" w:color="auto" w:fill="auto"/>
            <w:noWrap/>
            <w:vAlign w:val="bottom"/>
            <w:hideMark/>
          </w:tcPr>
          <w:p w:rsidR="00263C4D" w:rsidRPr="000A36AD" w:rsidRDefault="00263C4D" w:rsidP="00F541B2">
            <w:pPr>
              <w:spacing w:line="276" w:lineRule="auto"/>
              <w:rPr>
                <w:rFonts w:ascii="Times New Roman" w:hAnsi="Times New Roman" w:cs="Times New Roman"/>
                <w:color w:val="000000"/>
              </w:rPr>
            </w:pPr>
            <w:r w:rsidRPr="000A36AD">
              <w:rPr>
                <w:rFonts w:ascii="Times New Roman" w:hAnsi="Times New Roman" w:cs="Times New Roman"/>
                <w:color w:val="000000"/>
              </w:rPr>
              <w:t> </w:t>
            </w:r>
          </w:p>
        </w:tc>
        <w:tc>
          <w:tcPr>
            <w:tcW w:w="1084" w:type="dxa"/>
            <w:tcBorders>
              <w:top w:val="single" w:sz="4" w:space="0" w:color="auto"/>
              <w:left w:val="nil"/>
              <w:bottom w:val="nil"/>
              <w:right w:val="nil"/>
            </w:tcBorders>
            <w:shd w:val="clear" w:color="auto" w:fill="auto"/>
            <w:noWrap/>
            <w:vAlign w:val="bottom"/>
            <w:hideMark/>
          </w:tcPr>
          <w:p w:rsidR="00263C4D" w:rsidRPr="000A36AD" w:rsidRDefault="00263C4D" w:rsidP="00F541B2">
            <w:pPr>
              <w:spacing w:line="276" w:lineRule="auto"/>
              <w:rPr>
                <w:rFonts w:ascii="Times New Roman" w:hAnsi="Times New Roman" w:cs="Times New Roman"/>
                <w:color w:val="000000"/>
              </w:rPr>
            </w:pPr>
          </w:p>
        </w:tc>
        <w:tc>
          <w:tcPr>
            <w:tcW w:w="1084" w:type="dxa"/>
            <w:tcBorders>
              <w:top w:val="single" w:sz="4" w:space="0" w:color="auto"/>
              <w:left w:val="single" w:sz="8" w:space="0" w:color="auto"/>
              <w:bottom w:val="nil"/>
              <w:right w:val="single" w:sz="8" w:space="0" w:color="auto"/>
            </w:tcBorders>
            <w:shd w:val="clear" w:color="auto" w:fill="auto"/>
            <w:noWrap/>
            <w:vAlign w:val="bottom"/>
            <w:hideMark/>
          </w:tcPr>
          <w:p w:rsidR="00263C4D" w:rsidRPr="000A36AD" w:rsidRDefault="00263C4D" w:rsidP="00F541B2">
            <w:pPr>
              <w:spacing w:line="276" w:lineRule="auto"/>
              <w:rPr>
                <w:rFonts w:ascii="Times New Roman" w:hAnsi="Times New Roman" w:cs="Times New Roman"/>
                <w:color w:val="000000"/>
              </w:rPr>
            </w:pPr>
            <w:r w:rsidRPr="000A36AD">
              <w:rPr>
                <w:rFonts w:ascii="Times New Roman" w:hAnsi="Times New Roman" w:cs="Times New Roman"/>
                <w:color w:val="000000"/>
              </w:rPr>
              <w:t> </w:t>
            </w:r>
          </w:p>
        </w:tc>
        <w:tc>
          <w:tcPr>
            <w:tcW w:w="1084" w:type="dxa"/>
            <w:tcBorders>
              <w:top w:val="single" w:sz="4" w:space="0" w:color="auto"/>
              <w:left w:val="nil"/>
              <w:bottom w:val="nil"/>
              <w:right w:val="nil"/>
            </w:tcBorders>
            <w:shd w:val="clear" w:color="auto" w:fill="auto"/>
            <w:noWrap/>
            <w:vAlign w:val="bottom"/>
            <w:hideMark/>
          </w:tcPr>
          <w:p w:rsidR="00263C4D" w:rsidRPr="000A36AD" w:rsidRDefault="00263C4D" w:rsidP="00F541B2">
            <w:pPr>
              <w:spacing w:line="276" w:lineRule="auto"/>
              <w:rPr>
                <w:rFonts w:ascii="Times New Roman" w:hAnsi="Times New Roman" w:cs="Times New Roman"/>
                <w:color w:val="000000"/>
              </w:rPr>
            </w:pPr>
          </w:p>
        </w:tc>
        <w:tc>
          <w:tcPr>
            <w:tcW w:w="1087" w:type="dxa"/>
            <w:tcBorders>
              <w:top w:val="single" w:sz="4" w:space="0" w:color="auto"/>
              <w:left w:val="single" w:sz="8" w:space="0" w:color="auto"/>
              <w:bottom w:val="nil"/>
              <w:right w:val="single" w:sz="8" w:space="0" w:color="auto"/>
            </w:tcBorders>
            <w:shd w:val="clear" w:color="auto" w:fill="auto"/>
            <w:noWrap/>
            <w:vAlign w:val="bottom"/>
            <w:hideMark/>
          </w:tcPr>
          <w:p w:rsidR="00263C4D" w:rsidRPr="000A36AD" w:rsidRDefault="00263C4D" w:rsidP="00F541B2">
            <w:pPr>
              <w:spacing w:line="276" w:lineRule="auto"/>
              <w:rPr>
                <w:rFonts w:ascii="Times New Roman" w:hAnsi="Times New Roman" w:cs="Times New Roman"/>
                <w:color w:val="000000"/>
              </w:rPr>
            </w:pPr>
            <w:r w:rsidRPr="000A36AD">
              <w:rPr>
                <w:rFonts w:ascii="Times New Roman" w:hAnsi="Times New Roman" w:cs="Times New Roman"/>
                <w:color w:val="000000"/>
              </w:rPr>
              <w:t> </w:t>
            </w:r>
          </w:p>
        </w:tc>
      </w:tr>
      <w:tr w:rsidR="00263C4D" w:rsidRPr="00E958CE" w:rsidTr="00F541B2">
        <w:trPr>
          <w:trHeight w:val="19"/>
        </w:trPr>
        <w:tc>
          <w:tcPr>
            <w:tcW w:w="4453" w:type="dxa"/>
            <w:vMerge w:val="restart"/>
            <w:tcBorders>
              <w:top w:val="nil"/>
              <w:left w:val="single" w:sz="8" w:space="0" w:color="auto"/>
              <w:bottom w:val="nil"/>
              <w:right w:val="nil"/>
            </w:tcBorders>
            <w:shd w:val="clear" w:color="auto" w:fill="auto"/>
            <w:hideMark/>
          </w:tcPr>
          <w:p w:rsidR="00263C4D" w:rsidRPr="000A36AD" w:rsidRDefault="00263C4D" w:rsidP="00F541B2">
            <w:pPr>
              <w:spacing w:line="276" w:lineRule="auto"/>
              <w:rPr>
                <w:rFonts w:ascii="Times New Roman" w:hAnsi="Times New Roman" w:cs="Times New Roman"/>
                <w:color w:val="000000"/>
              </w:rPr>
            </w:pPr>
            <w:r w:rsidRPr="000A36AD">
              <w:rPr>
                <w:rFonts w:ascii="Times New Roman" w:hAnsi="Times New Roman" w:cs="Times New Roman"/>
                <w:color w:val="000000"/>
              </w:rPr>
              <w:t>Saagikus; t/ha</w:t>
            </w:r>
            <w:r w:rsidRPr="000A36AD">
              <w:rPr>
                <w:rFonts w:ascii="Times New Roman" w:hAnsi="Times New Roman" w:cs="Times New Roman"/>
                <w:color w:val="000000"/>
              </w:rPr>
              <w:br/>
              <w:t>Allikas: Statistikaamet</w:t>
            </w:r>
          </w:p>
        </w:tc>
        <w:tc>
          <w:tcPr>
            <w:tcW w:w="1114" w:type="dxa"/>
            <w:gridSpan w:val="2"/>
            <w:tcBorders>
              <w:top w:val="nil"/>
              <w:left w:val="nil"/>
              <w:bottom w:val="nil"/>
              <w:right w:val="nil"/>
            </w:tcBorders>
            <w:shd w:val="clear" w:color="auto" w:fill="auto"/>
            <w:vAlign w:val="center"/>
            <w:hideMark/>
          </w:tcPr>
          <w:p w:rsidR="00263C4D" w:rsidRPr="000A36AD" w:rsidRDefault="00263C4D" w:rsidP="00F541B2">
            <w:pPr>
              <w:spacing w:line="276" w:lineRule="auto"/>
              <w:rPr>
                <w:rFonts w:ascii="Times New Roman" w:hAnsi="Times New Roman" w:cs="Times New Roman"/>
                <w:color w:val="000000"/>
              </w:rPr>
            </w:pPr>
            <w:r w:rsidRPr="000A36AD">
              <w:rPr>
                <w:rFonts w:ascii="Times New Roman" w:hAnsi="Times New Roman" w:cs="Times New Roman"/>
                <w:color w:val="000000"/>
              </w:rPr>
              <w:t>Teravili</w:t>
            </w:r>
          </w:p>
        </w:tc>
        <w:tc>
          <w:tcPr>
            <w:tcW w:w="1426" w:type="dxa"/>
            <w:tcBorders>
              <w:top w:val="nil"/>
              <w:left w:val="single" w:sz="8" w:space="0" w:color="auto"/>
              <w:bottom w:val="nil"/>
              <w:right w:val="single" w:sz="8" w:space="0" w:color="auto"/>
            </w:tcBorders>
            <w:shd w:val="clear" w:color="auto" w:fill="auto"/>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2,9</w:t>
            </w:r>
          </w:p>
        </w:tc>
        <w:tc>
          <w:tcPr>
            <w:tcW w:w="1084" w:type="dxa"/>
            <w:tcBorders>
              <w:top w:val="nil"/>
              <w:left w:val="nil"/>
              <w:bottom w:val="nil"/>
              <w:right w:val="single" w:sz="8" w:space="0" w:color="auto"/>
            </w:tcBorders>
            <w:shd w:val="clear" w:color="auto" w:fill="auto"/>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3,1</w:t>
            </w:r>
          </w:p>
        </w:tc>
        <w:tc>
          <w:tcPr>
            <w:tcW w:w="1084" w:type="dxa"/>
            <w:tcBorders>
              <w:top w:val="nil"/>
              <w:left w:val="nil"/>
              <w:bottom w:val="nil"/>
              <w:right w:val="nil"/>
            </w:tcBorders>
            <w:shd w:val="clear" w:color="auto" w:fill="auto"/>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3,3</w:t>
            </w:r>
          </w:p>
        </w:tc>
        <w:tc>
          <w:tcPr>
            <w:tcW w:w="1084" w:type="dxa"/>
            <w:tcBorders>
              <w:top w:val="nil"/>
              <w:left w:val="single" w:sz="8" w:space="0" w:color="auto"/>
              <w:bottom w:val="nil"/>
              <w:right w:val="single" w:sz="8" w:space="0" w:color="auto"/>
            </w:tcBorders>
            <w:shd w:val="clear" w:color="auto" w:fill="auto"/>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3,5</w:t>
            </w:r>
          </w:p>
        </w:tc>
        <w:tc>
          <w:tcPr>
            <w:tcW w:w="1084" w:type="dxa"/>
            <w:tcBorders>
              <w:top w:val="nil"/>
              <w:left w:val="nil"/>
              <w:bottom w:val="nil"/>
              <w:right w:val="nil"/>
            </w:tcBorders>
            <w:shd w:val="clear" w:color="auto" w:fill="auto"/>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3,7</w:t>
            </w:r>
          </w:p>
        </w:tc>
        <w:tc>
          <w:tcPr>
            <w:tcW w:w="1084" w:type="dxa"/>
            <w:tcBorders>
              <w:top w:val="nil"/>
              <w:left w:val="single" w:sz="8" w:space="0" w:color="auto"/>
              <w:bottom w:val="nil"/>
              <w:right w:val="single" w:sz="8" w:space="0" w:color="auto"/>
            </w:tcBorders>
            <w:shd w:val="clear" w:color="auto" w:fill="auto"/>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3,9</w:t>
            </w:r>
          </w:p>
        </w:tc>
        <w:tc>
          <w:tcPr>
            <w:tcW w:w="1084" w:type="dxa"/>
            <w:tcBorders>
              <w:top w:val="nil"/>
              <w:left w:val="nil"/>
              <w:bottom w:val="nil"/>
              <w:right w:val="nil"/>
            </w:tcBorders>
            <w:shd w:val="clear" w:color="auto" w:fill="auto"/>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4,2</w:t>
            </w:r>
          </w:p>
        </w:tc>
        <w:tc>
          <w:tcPr>
            <w:tcW w:w="1087" w:type="dxa"/>
            <w:tcBorders>
              <w:top w:val="nil"/>
              <w:left w:val="single" w:sz="8" w:space="0" w:color="auto"/>
              <w:bottom w:val="nil"/>
              <w:right w:val="single" w:sz="8" w:space="0" w:color="auto"/>
            </w:tcBorders>
            <w:shd w:val="clear" w:color="auto" w:fill="auto"/>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4,5</w:t>
            </w:r>
          </w:p>
        </w:tc>
      </w:tr>
      <w:tr w:rsidR="00263C4D" w:rsidRPr="00E958CE" w:rsidTr="00F541B2">
        <w:trPr>
          <w:trHeight w:val="19"/>
        </w:trPr>
        <w:tc>
          <w:tcPr>
            <w:tcW w:w="4453" w:type="dxa"/>
            <w:vMerge/>
            <w:tcBorders>
              <w:top w:val="nil"/>
              <w:left w:val="single" w:sz="8" w:space="0" w:color="auto"/>
              <w:bottom w:val="nil"/>
              <w:right w:val="nil"/>
            </w:tcBorders>
            <w:vAlign w:val="center"/>
            <w:hideMark/>
          </w:tcPr>
          <w:p w:rsidR="00263C4D" w:rsidRPr="000A36AD" w:rsidRDefault="00263C4D" w:rsidP="00F541B2">
            <w:pPr>
              <w:spacing w:line="276" w:lineRule="auto"/>
              <w:rPr>
                <w:rFonts w:ascii="Times New Roman" w:hAnsi="Times New Roman" w:cs="Times New Roman"/>
                <w:color w:val="000000"/>
              </w:rPr>
            </w:pPr>
          </w:p>
        </w:tc>
        <w:tc>
          <w:tcPr>
            <w:tcW w:w="1114" w:type="dxa"/>
            <w:gridSpan w:val="2"/>
            <w:tcBorders>
              <w:top w:val="nil"/>
              <w:left w:val="nil"/>
              <w:bottom w:val="nil"/>
              <w:right w:val="nil"/>
            </w:tcBorders>
            <w:shd w:val="clear" w:color="auto" w:fill="auto"/>
            <w:noWrap/>
            <w:vAlign w:val="bottom"/>
            <w:hideMark/>
          </w:tcPr>
          <w:p w:rsidR="00263C4D" w:rsidRPr="000A36AD" w:rsidRDefault="00263C4D" w:rsidP="00F541B2">
            <w:pPr>
              <w:spacing w:line="276" w:lineRule="auto"/>
              <w:rPr>
                <w:rFonts w:ascii="Times New Roman" w:hAnsi="Times New Roman" w:cs="Times New Roman"/>
                <w:color w:val="000000"/>
              </w:rPr>
            </w:pPr>
            <w:r w:rsidRPr="000A36AD">
              <w:rPr>
                <w:rFonts w:ascii="Times New Roman" w:hAnsi="Times New Roman" w:cs="Times New Roman"/>
                <w:color w:val="000000"/>
              </w:rPr>
              <w:t>Raps</w:t>
            </w:r>
          </w:p>
        </w:tc>
        <w:tc>
          <w:tcPr>
            <w:tcW w:w="1426" w:type="dxa"/>
            <w:tcBorders>
              <w:top w:val="nil"/>
              <w:left w:val="single" w:sz="8" w:space="0" w:color="auto"/>
              <w:bottom w:val="nil"/>
              <w:right w:val="single" w:sz="8" w:space="0" w:color="auto"/>
            </w:tcBorders>
            <w:shd w:val="clear" w:color="auto" w:fill="auto"/>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1,7</w:t>
            </w:r>
          </w:p>
        </w:tc>
        <w:tc>
          <w:tcPr>
            <w:tcW w:w="1084" w:type="dxa"/>
            <w:tcBorders>
              <w:top w:val="nil"/>
              <w:left w:val="nil"/>
              <w:bottom w:val="nil"/>
              <w:right w:val="single" w:sz="8" w:space="0" w:color="auto"/>
            </w:tcBorders>
            <w:shd w:val="clear" w:color="auto" w:fill="auto"/>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1,8</w:t>
            </w:r>
          </w:p>
        </w:tc>
        <w:tc>
          <w:tcPr>
            <w:tcW w:w="1084" w:type="dxa"/>
            <w:tcBorders>
              <w:top w:val="nil"/>
              <w:left w:val="nil"/>
              <w:bottom w:val="nil"/>
              <w:right w:val="nil"/>
            </w:tcBorders>
            <w:shd w:val="clear" w:color="auto" w:fill="auto"/>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1,9</w:t>
            </w:r>
          </w:p>
        </w:tc>
        <w:tc>
          <w:tcPr>
            <w:tcW w:w="1084" w:type="dxa"/>
            <w:tcBorders>
              <w:top w:val="nil"/>
              <w:left w:val="single" w:sz="8" w:space="0" w:color="auto"/>
              <w:bottom w:val="nil"/>
              <w:right w:val="single" w:sz="8" w:space="0" w:color="auto"/>
            </w:tcBorders>
            <w:shd w:val="clear" w:color="auto" w:fill="auto"/>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2,0</w:t>
            </w:r>
          </w:p>
        </w:tc>
        <w:tc>
          <w:tcPr>
            <w:tcW w:w="1084" w:type="dxa"/>
            <w:tcBorders>
              <w:top w:val="nil"/>
              <w:left w:val="nil"/>
              <w:bottom w:val="nil"/>
              <w:right w:val="nil"/>
            </w:tcBorders>
            <w:shd w:val="clear" w:color="auto" w:fill="auto"/>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2,1</w:t>
            </w:r>
          </w:p>
        </w:tc>
        <w:tc>
          <w:tcPr>
            <w:tcW w:w="1084" w:type="dxa"/>
            <w:tcBorders>
              <w:top w:val="nil"/>
              <w:left w:val="single" w:sz="8" w:space="0" w:color="auto"/>
              <w:bottom w:val="nil"/>
              <w:right w:val="single" w:sz="8" w:space="0" w:color="auto"/>
            </w:tcBorders>
            <w:shd w:val="clear" w:color="auto" w:fill="auto"/>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2,2</w:t>
            </w:r>
          </w:p>
        </w:tc>
        <w:tc>
          <w:tcPr>
            <w:tcW w:w="1084" w:type="dxa"/>
            <w:tcBorders>
              <w:top w:val="nil"/>
              <w:left w:val="nil"/>
              <w:bottom w:val="nil"/>
              <w:right w:val="nil"/>
            </w:tcBorders>
            <w:shd w:val="clear" w:color="auto" w:fill="auto"/>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2,3</w:t>
            </w:r>
          </w:p>
        </w:tc>
        <w:tc>
          <w:tcPr>
            <w:tcW w:w="1087" w:type="dxa"/>
            <w:tcBorders>
              <w:top w:val="nil"/>
              <w:left w:val="single" w:sz="8" w:space="0" w:color="auto"/>
              <w:bottom w:val="nil"/>
              <w:right w:val="single" w:sz="8" w:space="0" w:color="auto"/>
            </w:tcBorders>
            <w:shd w:val="clear" w:color="auto" w:fill="auto"/>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2,5</w:t>
            </w:r>
          </w:p>
        </w:tc>
      </w:tr>
      <w:tr w:rsidR="00502C28" w:rsidRPr="00E958CE" w:rsidTr="00F541B2">
        <w:trPr>
          <w:trHeight w:val="19"/>
        </w:trPr>
        <w:tc>
          <w:tcPr>
            <w:tcW w:w="4453" w:type="dxa"/>
            <w:tcBorders>
              <w:top w:val="single" w:sz="8" w:space="0" w:color="auto"/>
              <w:left w:val="single" w:sz="8" w:space="0" w:color="auto"/>
              <w:bottom w:val="nil"/>
              <w:right w:val="nil"/>
            </w:tcBorders>
            <w:shd w:val="clear" w:color="auto" w:fill="FEBCBC" w:themeFill="accent1" w:themeFillTint="33"/>
            <w:vAlign w:val="center"/>
            <w:hideMark/>
          </w:tcPr>
          <w:p w:rsidR="00263C4D" w:rsidRPr="000A36AD" w:rsidRDefault="00263C4D" w:rsidP="00F541B2">
            <w:pPr>
              <w:spacing w:line="276" w:lineRule="auto"/>
              <w:rPr>
                <w:rFonts w:ascii="Times New Roman" w:hAnsi="Times New Roman" w:cs="Times New Roman"/>
                <w:b/>
                <w:bCs/>
                <w:color w:val="000000"/>
                <w:u w:val="single"/>
              </w:rPr>
            </w:pPr>
            <w:r w:rsidRPr="000A36AD">
              <w:rPr>
                <w:rFonts w:ascii="Times New Roman" w:hAnsi="Times New Roman" w:cs="Times New Roman"/>
                <w:b/>
                <w:bCs/>
                <w:color w:val="000000"/>
                <w:u w:val="single"/>
              </w:rPr>
              <w:t xml:space="preserve">Mõõdik 6 </w:t>
            </w:r>
          </w:p>
        </w:tc>
        <w:tc>
          <w:tcPr>
            <w:tcW w:w="1114" w:type="dxa"/>
            <w:gridSpan w:val="2"/>
            <w:tcBorders>
              <w:top w:val="single" w:sz="8" w:space="0" w:color="auto"/>
              <w:left w:val="nil"/>
              <w:bottom w:val="nil"/>
              <w:right w:val="nil"/>
            </w:tcBorders>
            <w:shd w:val="clear" w:color="auto" w:fill="FEBCBC" w:themeFill="accent1" w:themeFillTint="33"/>
            <w:vAlign w:val="center"/>
            <w:hideMark/>
          </w:tcPr>
          <w:p w:rsidR="00263C4D" w:rsidRPr="000A36AD" w:rsidRDefault="00263C4D" w:rsidP="00F541B2">
            <w:pPr>
              <w:spacing w:line="276" w:lineRule="auto"/>
              <w:rPr>
                <w:rFonts w:ascii="Times New Roman" w:hAnsi="Times New Roman" w:cs="Times New Roman"/>
                <w:color w:val="000000"/>
                <w:u w:val="single"/>
              </w:rPr>
            </w:pPr>
          </w:p>
        </w:tc>
        <w:tc>
          <w:tcPr>
            <w:tcW w:w="1426" w:type="dxa"/>
            <w:tcBorders>
              <w:top w:val="single" w:sz="8" w:space="0" w:color="auto"/>
              <w:left w:val="single" w:sz="8" w:space="0" w:color="auto"/>
              <w:bottom w:val="nil"/>
              <w:right w:val="single" w:sz="8" w:space="0" w:color="auto"/>
            </w:tcBorders>
            <w:shd w:val="clear" w:color="auto" w:fill="FEBCBC" w:themeFill="accent1" w:themeFillTint="33"/>
            <w:noWrap/>
            <w:vAlign w:val="bottom"/>
            <w:hideMark/>
          </w:tcPr>
          <w:p w:rsidR="00263C4D" w:rsidRPr="000A36AD" w:rsidRDefault="00263C4D" w:rsidP="00F541B2">
            <w:pPr>
              <w:spacing w:line="276" w:lineRule="auto"/>
              <w:rPr>
                <w:rFonts w:ascii="Times New Roman" w:hAnsi="Times New Roman" w:cs="Times New Roman"/>
                <w:color w:val="000000"/>
              </w:rPr>
            </w:pPr>
            <w:r w:rsidRPr="000A36AD">
              <w:rPr>
                <w:rFonts w:ascii="Times New Roman" w:hAnsi="Times New Roman" w:cs="Times New Roman"/>
                <w:color w:val="000000"/>
              </w:rPr>
              <w:t> </w:t>
            </w:r>
          </w:p>
        </w:tc>
        <w:tc>
          <w:tcPr>
            <w:tcW w:w="1084" w:type="dxa"/>
            <w:tcBorders>
              <w:top w:val="single" w:sz="8" w:space="0" w:color="auto"/>
              <w:left w:val="nil"/>
              <w:bottom w:val="nil"/>
              <w:right w:val="single" w:sz="8" w:space="0" w:color="auto"/>
            </w:tcBorders>
            <w:shd w:val="clear" w:color="auto" w:fill="FEBCBC" w:themeFill="accent1" w:themeFillTint="33"/>
            <w:noWrap/>
            <w:vAlign w:val="bottom"/>
            <w:hideMark/>
          </w:tcPr>
          <w:p w:rsidR="00263C4D" w:rsidRPr="000A36AD" w:rsidRDefault="00263C4D" w:rsidP="00F541B2">
            <w:pPr>
              <w:spacing w:line="276" w:lineRule="auto"/>
              <w:rPr>
                <w:rFonts w:ascii="Times New Roman" w:hAnsi="Times New Roman" w:cs="Times New Roman"/>
                <w:color w:val="000000"/>
              </w:rPr>
            </w:pPr>
            <w:r w:rsidRPr="000A36AD">
              <w:rPr>
                <w:rFonts w:ascii="Times New Roman" w:hAnsi="Times New Roman" w:cs="Times New Roman"/>
                <w:color w:val="000000"/>
              </w:rPr>
              <w:t> </w:t>
            </w:r>
          </w:p>
        </w:tc>
        <w:tc>
          <w:tcPr>
            <w:tcW w:w="1084" w:type="dxa"/>
            <w:tcBorders>
              <w:top w:val="single" w:sz="8" w:space="0" w:color="auto"/>
              <w:left w:val="nil"/>
              <w:bottom w:val="nil"/>
              <w:right w:val="nil"/>
            </w:tcBorders>
            <w:shd w:val="clear" w:color="auto" w:fill="FEBCBC" w:themeFill="accent1" w:themeFillTint="33"/>
            <w:noWrap/>
            <w:vAlign w:val="bottom"/>
            <w:hideMark/>
          </w:tcPr>
          <w:p w:rsidR="00263C4D" w:rsidRPr="000A36AD" w:rsidRDefault="00263C4D" w:rsidP="00F541B2">
            <w:pPr>
              <w:spacing w:line="276" w:lineRule="auto"/>
              <w:rPr>
                <w:rFonts w:ascii="Times New Roman" w:hAnsi="Times New Roman" w:cs="Times New Roman"/>
                <w:color w:val="000000"/>
              </w:rPr>
            </w:pPr>
            <w:r w:rsidRPr="000A36AD">
              <w:rPr>
                <w:rFonts w:ascii="Times New Roman" w:hAnsi="Times New Roman" w:cs="Times New Roman"/>
                <w:color w:val="000000"/>
              </w:rPr>
              <w:t> </w:t>
            </w:r>
          </w:p>
        </w:tc>
        <w:tc>
          <w:tcPr>
            <w:tcW w:w="1084" w:type="dxa"/>
            <w:tcBorders>
              <w:top w:val="single" w:sz="8" w:space="0" w:color="auto"/>
              <w:left w:val="single" w:sz="8" w:space="0" w:color="auto"/>
              <w:bottom w:val="nil"/>
              <w:right w:val="single" w:sz="8" w:space="0" w:color="auto"/>
            </w:tcBorders>
            <w:shd w:val="clear" w:color="auto" w:fill="FEBCBC" w:themeFill="accent1" w:themeFillTint="33"/>
            <w:noWrap/>
            <w:vAlign w:val="bottom"/>
            <w:hideMark/>
          </w:tcPr>
          <w:p w:rsidR="00263C4D" w:rsidRPr="000A36AD" w:rsidRDefault="00263C4D" w:rsidP="00F541B2">
            <w:pPr>
              <w:spacing w:line="276" w:lineRule="auto"/>
              <w:rPr>
                <w:rFonts w:ascii="Times New Roman" w:hAnsi="Times New Roman" w:cs="Times New Roman"/>
                <w:color w:val="000000"/>
              </w:rPr>
            </w:pPr>
            <w:r w:rsidRPr="000A36AD">
              <w:rPr>
                <w:rFonts w:ascii="Times New Roman" w:hAnsi="Times New Roman" w:cs="Times New Roman"/>
                <w:color w:val="000000"/>
              </w:rPr>
              <w:t> </w:t>
            </w:r>
          </w:p>
        </w:tc>
        <w:tc>
          <w:tcPr>
            <w:tcW w:w="1084" w:type="dxa"/>
            <w:tcBorders>
              <w:top w:val="single" w:sz="8" w:space="0" w:color="auto"/>
              <w:left w:val="nil"/>
              <w:bottom w:val="nil"/>
              <w:right w:val="nil"/>
            </w:tcBorders>
            <w:shd w:val="clear" w:color="auto" w:fill="FEBCBC" w:themeFill="accent1" w:themeFillTint="33"/>
            <w:noWrap/>
            <w:vAlign w:val="bottom"/>
            <w:hideMark/>
          </w:tcPr>
          <w:p w:rsidR="00263C4D" w:rsidRPr="000A36AD" w:rsidRDefault="00263C4D" w:rsidP="00F541B2">
            <w:pPr>
              <w:spacing w:line="276" w:lineRule="auto"/>
              <w:rPr>
                <w:rFonts w:ascii="Times New Roman" w:hAnsi="Times New Roman" w:cs="Times New Roman"/>
                <w:color w:val="000000"/>
              </w:rPr>
            </w:pPr>
            <w:r w:rsidRPr="000A36AD">
              <w:rPr>
                <w:rFonts w:ascii="Times New Roman" w:hAnsi="Times New Roman" w:cs="Times New Roman"/>
                <w:color w:val="000000"/>
              </w:rPr>
              <w:t> </w:t>
            </w:r>
          </w:p>
        </w:tc>
        <w:tc>
          <w:tcPr>
            <w:tcW w:w="1084" w:type="dxa"/>
            <w:tcBorders>
              <w:top w:val="single" w:sz="8" w:space="0" w:color="auto"/>
              <w:left w:val="single" w:sz="8" w:space="0" w:color="auto"/>
              <w:bottom w:val="nil"/>
              <w:right w:val="single" w:sz="8" w:space="0" w:color="auto"/>
            </w:tcBorders>
            <w:shd w:val="clear" w:color="auto" w:fill="FEBCBC" w:themeFill="accent1" w:themeFillTint="33"/>
            <w:noWrap/>
            <w:vAlign w:val="bottom"/>
            <w:hideMark/>
          </w:tcPr>
          <w:p w:rsidR="00263C4D" w:rsidRPr="000A36AD" w:rsidRDefault="00263C4D" w:rsidP="00F541B2">
            <w:pPr>
              <w:spacing w:line="276" w:lineRule="auto"/>
              <w:rPr>
                <w:rFonts w:ascii="Times New Roman" w:hAnsi="Times New Roman" w:cs="Times New Roman"/>
                <w:color w:val="000000"/>
              </w:rPr>
            </w:pPr>
            <w:r w:rsidRPr="000A36AD">
              <w:rPr>
                <w:rFonts w:ascii="Times New Roman" w:hAnsi="Times New Roman" w:cs="Times New Roman"/>
                <w:color w:val="000000"/>
              </w:rPr>
              <w:t> </w:t>
            </w:r>
          </w:p>
        </w:tc>
        <w:tc>
          <w:tcPr>
            <w:tcW w:w="1084" w:type="dxa"/>
            <w:tcBorders>
              <w:top w:val="single" w:sz="8" w:space="0" w:color="auto"/>
              <w:left w:val="nil"/>
              <w:bottom w:val="nil"/>
              <w:right w:val="nil"/>
            </w:tcBorders>
            <w:shd w:val="clear" w:color="auto" w:fill="FEBCBC" w:themeFill="accent1" w:themeFillTint="33"/>
            <w:noWrap/>
            <w:vAlign w:val="bottom"/>
            <w:hideMark/>
          </w:tcPr>
          <w:p w:rsidR="00263C4D" w:rsidRPr="000A36AD" w:rsidRDefault="00263C4D" w:rsidP="00F541B2">
            <w:pPr>
              <w:spacing w:line="276" w:lineRule="auto"/>
              <w:rPr>
                <w:rFonts w:ascii="Times New Roman" w:hAnsi="Times New Roman" w:cs="Times New Roman"/>
                <w:color w:val="000000"/>
              </w:rPr>
            </w:pPr>
            <w:r w:rsidRPr="000A36AD">
              <w:rPr>
                <w:rFonts w:ascii="Times New Roman" w:hAnsi="Times New Roman" w:cs="Times New Roman"/>
                <w:color w:val="000000"/>
              </w:rPr>
              <w:t> </w:t>
            </w:r>
          </w:p>
        </w:tc>
        <w:tc>
          <w:tcPr>
            <w:tcW w:w="1087" w:type="dxa"/>
            <w:tcBorders>
              <w:top w:val="single" w:sz="8" w:space="0" w:color="auto"/>
              <w:left w:val="single" w:sz="8" w:space="0" w:color="auto"/>
              <w:bottom w:val="nil"/>
              <w:right w:val="single" w:sz="8" w:space="0" w:color="auto"/>
            </w:tcBorders>
            <w:shd w:val="clear" w:color="auto" w:fill="FEBCBC" w:themeFill="accent1" w:themeFillTint="33"/>
            <w:noWrap/>
            <w:vAlign w:val="bottom"/>
            <w:hideMark/>
          </w:tcPr>
          <w:p w:rsidR="00263C4D" w:rsidRPr="000A36AD" w:rsidRDefault="00263C4D" w:rsidP="00F541B2">
            <w:pPr>
              <w:spacing w:line="276" w:lineRule="auto"/>
              <w:rPr>
                <w:rFonts w:ascii="Times New Roman" w:hAnsi="Times New Roman" w:cs="Times New Roman"/>
                <w:color w:val="000000"/>
              </w:rPr>
            </w:pPr>
            <w:r w:rsidRPr="000A36AD">
              <w:rPr>
                <w:rFonts w:ascii="Times New Roman" w:hAnsi="Times New Roman" w:cs="Times New Roman"/>
                <w:color w:val="000000"/>
              </w:rPr>
              <w:t> </w:t>
            </w:r>
          </w:p>
        </w:tc>
      </w:tr>
      <w:tr w:rsidR="00502C28" w:rsidRPr="00E958CE" w:rsidTr="00F541B2">
        <w:trPr>
          <w:trHeight w:val="19"/>
        </w:trPr>
        <w:tc>
          <w:tcPr>
            <w:tcW w:w="4453" w:type="dxa"/>
            <w:vMerge w:val="restart"/>
            <w:tcBorders>
              <w:top w:val="nil"/>
              <w:left w:val="single" w:sz="8" w:space="0" w:color="auto"/>
              <w:bottom w:val="single" w:sz="8" w:space="0" w:color="000000"/>
              <w:right w:val="nil"/>
            </w:tcBorders>
            <w:shd w:val="clear" w:color="auto" w:fill="FEBCBC" w:themeFill="accent1" w:themeFillTint="33"/>
            <w:hideMark/>
          </w:tcPr>
          <w:p w:rsidR="00263C4D" w:rsidRPr="000A36AD" w:rsidRDefault="00263C4D" w:rsidP="00F541B2">
            <w:pPr>
              <w:spacing w:line="276" w:lineRule="auto"/>
              <w:rPr>
                <w:rFonts w:ascii="Times New Roman" w:hAnsi="Times New Roman" w:cs="Times New Roman"/>
                <w:color w:val="000000"/>
              </w:rPr>
            </w:pPr>
            <w:r w:rsidRPr="000A36AD">
              <w:rPr>
                <w:rFonts w:ascii="Times New Roman" w:hAnsi="Times New Roman" w:cs="Times New Roman"/>
                <w:color w:val="000000"/>
              </w:rPr>
              <w:t>Saak; tuh t</w:t>
            </w:r>
            <w:r w:rsidRPr="000A36AD">
              <w:rPr>
                <w:rFonts w:ascii="Times New Roman" w:hAnsi="Times New Roman" w:cs="Times New Roman"/>
                <w:color w:val="000000"/>
              </w:rPr>
              <w:br/>
              <w:t>Allikas: Statistikaamet</w:t>
            </w:r>
          </w:p>
        </w:tc>
        <w:tc>
          <w:tcPr>
            <w:tcW w:w="1114" w:type="dxa"/>
            <w:gridSpan w:val="2"/>
            <w:tcBorders>
              <w:top w:val="nil"/>
              <w:left w:val="nil"/>
              <w:bottom w:val="nil"/>
              <w:right w:val="nil"/>
            </w:tcBorders>
            <w:shd w:val="clear" w:color="auto" w:fill="FEBCBC" w:themeFill="accent1" w:themeFillTint="33"/>
            <w:vAlign w:val="center"/>
            <w:hideMark/>
          </w:tcPr>
          <w:p w:rsidR="00263C4D" w:rsidRPr="000A36AD" w:rsidRDefault="00263C4D" w:rsidP="00F541B2">
            <w:pPr>
              <w:spacing w:line="276" w:lineRule="auto"/>
              <w:rPr>
                <w:rFonts w:ascii="Times New Roman" w:hAnsi="Times New Roman" w:cs="Times New Roman"/>
                <w:color w:val="000000"/>
              </w:rPr>
            </w:pPr>
            <w:r w:rsidRPr="000A36AD">
              <w:rPr>
                <w:rFonts w:ascii="Times New Roman" w:hAnsi="Times New Roman" w:cs="Times New Roman"/>
                <w:color w:val="000000"/>
              </w:rPr>
              <w:t>Teravili</w:t>
            </w:r>
          </w:p>
        </w:tc>
        <w:tc>
          <w:tcPr>
            <w:tcW w:w="1426" w:type="dxa"/>
            <w:tcBorders>
              <w:top w:val="nil"/>
              <w:left w:val="single" w:sz="8" w:space="0" w:color="auto"/>
              <w:bottom w:val="nil"/>
              <w:right w:val="single" w:sz="8" w:space="0" w:color="auto"/>
            </w:tcBorders>
            <w:shd w:val="clear" w:color="auto" w:fill="FEBCBC" w:themeFill="accent1" w:themeFillTint="33"/>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855</w:t>
            </w:r>
          </w:p>
        </w:tc>
        <w:tc>
          <w:tcPr>
            <w:tcW w:w="1084" w:type="dxa"/>
            <w:tcBorders>
              <w:top w:val="nil"/>
              <w:left w:val="nil"/>
              <w:bottom w:val="nil"/>
              <w:right w:val="single" w:sz="8" w:space="0" w:color="auto"/>
            </w:tcBorders>
            <w:shd w:val="clear" w:color="auto" w:fill="FEBCBC" w:themeFill="accent1" w:themeFillTint="33"/>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925</w:t>
            </w:r>
          </w:p>
        </w:tc>
        <w:tc>
          <w:tcPr>
            <w:tcW w:w="1084" w:type="dxa"/>
            <w:tcBorders>
              <w:top w:val="nil"/>
              <w:left w:val="nil"/>
              <w:bottom w:val="nil"/>
              <w:right w:val="nil"/>
            </w:tcBorders>
            <w:shd w:val="clear" w:color="auto" w:fill="FEBCBC" w:themeFill="accent1" w:themeFillTint="33"/>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999</w:t>
            </w:r>
          </w:p>
        </w:tc>
        <w:tc>
          <w:tcPr>
            <w:tcW w:w="1084" w:type="dxa"/>
            <w:tcBorders>
              <w:top w:val="nil"/>
              <w:left w:val="single" w:sz="8" w:space="0" w:color="auto"/>
              <w:bottom w:val="nil"/>
              <w:right w:val="single" w:sz="8" w:space="0" w:color="auto"/>
            </w:tcBorders>
            <w:shd w:val="clear" w:color="auto" w:fill="FEBCBC" w:themeFill="accent1" w:themeFillTint="33"/>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1080</w:t>
            </w:r>
          </w:p>
        </w:tc>
        <w:tc>
          <w:tcPr>
            <w:tcW w:w="1084" w:type="dxa"/>
            <w:tcBorders>
              <w:top w:val="nil"/>
              <w:left w:val="nil"/>
              <w:bottom w:val="nil"/>
              <w:right w:val="nil"/>
            </w:tcBorders>
            <w:shd w:val="clear" w:color="auto" w:fill="FEBCBC" w:themeFill="accent1" w:themeFillTint="33"/>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1168</w:t>
            </w:r>
          </w:p>
        </w:tc>
        <w:tc>
          <w:tcPr>
            <w:tcW w:w="1084" w:type="dxa"/>
            <w:tcBorders>
              <w:top w:val="nil"/>
              <w:left w:val="single" w:sz="8" w:space="0" w:color="auto"/>
              <w:bottom w:val="nil"/>
              <w:right w:val="single" w:sz="8" w:space="0" w:color="auto"/>
            </w:tcBorders>
            <w:shd w:val="clear" w:color="auto" w:fill="FEBCBC" w:themeFill="accent1" w:themeFillTint="33"/>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1262</w:t>
            </w:r>
          </w:p>
        </w:tc>
        <w:tc>
          <w:tcPr>
            <w:tcW w:w="1084" w:type="dxa"/>
            <w:tcBorders>
              <w:top w:val="nil"/>
              <w:left w:val="nil"/>
              <w:bottom w:val="nil"/>
              <w:right w:val="nil"/>
            </w:tcBorders>
            <w:shd w:val="clear" w:color="auto" w:fill="FEBCBC" w:themeFill="accent1" w:themeFillTint="33"/>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1365</w:t>
            </w:r>
          </w:p>
        </w:tc>
        <w:tc>
          <w:tcPr>
            <w:tcW w:w="1087" w:type="dxa"/>
            <w:tcBorders>
              <w:top w:val="nil"/>
              <w:left w:val="single" w:sz="8" w:space="0" w:color="auto"/>
              <w:bottom w:val="nil"/>
              <w:right w:val="single" w:sz="8" w:space="0" w:color="auto"/>
            </w:tcBorders>
            <w:shd w:val="clear" w:color="auto" w:fill="FEBCBC" w:themeFill="accent1" w:themeFillTint="33"/>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1475</w:t>
            </w:r>
          </w:p>
        </w:tc>
      </w:tr>
      <w:tr w:rsidR="00502C28" w:rsidRPr="00E958CE" w:rsidTr="00F541B2">
        <w:trPr>
          <w:trHeight w:val="175"/>
        </w:trPr>
        <w:tc>
          <w:tcPr>
            <w:tcW w:w="4453" w:type="dxa"/>
            <w:vMerge/>
            <w:tcBorders>
              <w:top w:val="nil"/>
              <w:left w:val="single" w:sz="8" w:space="0" w:color="auto"/>
              <w:bottom w:val="single" w:sz="8" w:space="0" w:color="000000"/>
              <w:right w:val="nil"/>
            </w:tcBorders>
            <w:shd w:val="clear" w:color="auto" w:fill="FEBCBC" w:themeFill="accent1" w:themeFillTint="33"/>
            <w:vAlign w:val="center"/>
            <w:hideMark/>
          </w:tcPr>
          <w:p w:rsidR="00263C4D" w:rsidRPr="000A36AD" w:rsidRDefault="00263C4D" w:rsidP="00F541B2">
            <w:pPr>
              <w:spacing w:line="276" w:lineRule="auto"/>
              <w:rPr>
                <w:rFonts w:ascii="Times New Roman" w:hAnsi="Times New Roman" w:cs="Times New Roman"/>
                <w:color w:val="000000"/>
              </w:rPr>
            </w:pPr>
          </w:p>
        </w:tc>
        <w:tc>
          <w:tcPr>
            <w:tcW w:w="1114" w:type="dxa"/>
            <w:gridSpan w:val="2"/>
            <w:tcBorders>
              <w:top w:val="nil"/>
              <w:left w:val="nil"/>
              <w:bottom w:val="single" w:sz="8" w:space="0" w:color="auto"/>
              <w:right w:val="nil"/>
            </w:tcBorders>
            <w:shd w:val="clear" w:color="auto" w:fill="FEBCBC" w:themeFill="accent1" w:themeFillTint="33"/>
            <w:noWrap/>
            <w:vAlign w:val="bottom"/>
            <w:hideMark/>
          </w:tcPr>
          <w:p w:rsidR="00263C4D" w:rsidRPr="000A36AD" w:rsidRDefault="00263C4D" w:rsidP="00F541B2">
            <w:pPr>
              <w:spacing w:line="276" w:lineRule="auto"/>
              <w:rPr>
                <w:rFonts w:ascii="Times New Roman" w:hAnsi="Times New Roman" w:cs="Times New Roman"/>
                <w:color w:val="000000"/>
              </w:rPr>
            </w:pPr>
            <w:r w:rsidRPr="000A36AD">
              <w:rPr>
                <w:rFonts w:ascii="Times New Roman" w:hAnsi="Times New Roman" w:cs="Times New Roman"/>
                <w:color w:val="000000"/>
              </w:rPr>
              <w:t>Raps</w:t>
            </w:r>
          </w:p>
        </w:tc>
        <w:tc>
          <w:tcPr>
            <w:tcW w:w="1426" w:type="dxa"/>
            <w:tcBorders>
              <w:top w:val="nil"/>
              <w:left w:val="single" w:sz="8" w:space="0" w:color="auto"/>
              <w:bottom w:val="single" w:sz="8" w:space="0" w:color="auto"/>
              <w:right w:val="single" w:sz="8" w:space="0" w:color="auto"/>
            </w:tcBorders>
            <w:shd w:val="clear" w:color="auto" w:fill="FEBCBC" w:themeFill="accent1" w:themeFillTint="33"/>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149</w:t>
            </w:r>
          </w:p>
        </w:tc>
        <w:tc>
          <w:tcPr>
            <w:tcW w:w="1084" w:type="dxa"/>
            <w:tcBorders>
              <w:top w:val="nil"/>
              <w:left w:val="nil"/>
              <w:bottom w:val="single" w:sz="8" w:space="0" w:color="auto"/>
              <w:right w:val="single" w:sz="8" w:space="0" w:color="auto"/>
            </w:tcBorders>
            <w:shd w:val="clear" w:color="auto" w:fill="FEBCBC" w:themeFill="accent1" w:themeFillTint="33"/>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159</w:t>
            </w:r>
          </w:p>
        </w:tc>
        <w:tc>
          <w:tcPr>
            <w:tcW w:w="1084" w:type="dxa"/>
            <w:tcBorders>
              <w:top w:val="nil"/>
              <w:left w:val="nil"/>
              <w:bottom w:val="single" w:sz="8" w:space="0" w:color="auto"/>
              <w:right w:val="nil"/>
            </w:tcBorders>
            <w:shd w:val="clear" w:color="auto" w:fill="FEBCBC" w:themeFill="accent1" w:themeFillTint="33"/>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171</w:t>
            </w:r>
          </w:p>
        </w:tc>
        <w:tc>
          <w:tcPr>
            <w:tcW w:w="1084" w:type="dxa"/>
            <w:tcBorders>
              <w:top w:val="nil"/>
              <w:left w:val="single" w:sz="8" w:space="0" w:color="auto"/>
              <w:bottom w:val="single" w:sz="8" w:space="0" w:color="auto"/>
              <w:right w:val="single" w:sz="8" w:space="0" w:color="auto"/>
            </w:tcBorders>
            <w:shd w:val="clear" w:color="auto" w:fill="FEBCBC" w:themeFill="accent1" w:themeFillTint="33"/>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183</w:t>
            </w:r>
          </w:p>
        </w:tc>
        <w:tc>
          <w:tcPr>
            <w:tcW w:w="1084" w:type="dxa"/>
            <w:tcBorders>
              <w:top w:val="nil"/>
              <w:left w:val="nil"/>
              <w:bottom w:val="single" w:sz="8" w:space="0" w:color="auto"/>
              <w:right w:val="nil"/>
            </w:tcBorders>
            <w:shd w:val="clear" w:color="auto" w:fill="FEBCBC" w:themeFill="accent1" w:themeFillTint="33"/>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196</w:t>
            </w:r>
          </w:p>
        </w:tc>
        <w:tc>
          <w:tcPr>
            <w:tcW w:w="1084" w:type="dxa"/>
            <w:tcBorders>
              <w:top w:val="nil"/>
              <w:left w:val="single" w:sz="8" w:space="0" w:color="auto"/>
              <w:bottom w:val="single" w:sz="8" w:space="0" w:color="auto"/>
              <w:right w:val="single" w:sz="8" w:space="0" w:color="auto"/>
            </w:tcBorders>
            <w:shd w:val="clear" w:color="auto" w:fill="FEBCBC" w:themeFill="accent1" w:themeFillTint="33"/>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209</w:t>
            </w:r>
          </w:p>
        </w:tc>
        <w:tc>
          <w:tcPr>
            <w:tcW w:w="1084" w:type="dxa"/>
            <w:tcBorders>
              <w:top w:val="nil"/>
              <w:left w:val="nil"/>
              <w:bottom w:val="single" w:sz="8" w:space="0" w:color="auto"/>
              <w:right w:val="nil"/>
            </w:tcBorders>
            <w:shd w:val="clear" w:color="auto" w:fill="FEBCBC" w:themeFill="accent1" w:themeFillTint="33"/>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224</w:t>
            </w:r>
          </w:p>
        </w:tc>
        <w:tc>
          <w:tcPr>
            <w:tcW w:w="1087" w:type="dxa"/>
            <w:tcBorders>
              <w:top w:val="nil"/>
              <w:left w:val="single" w:sz="8" w:space="0" w:color="auto"/>
              <w:bottom w:val="single" w:sz="8" w:space="0" w:color="auto"/>
              <w:right w:val="single" w:sz="8" w:space="0" w:color="auto"/>
            </w:tcBorders>
            <w:shd w:val="clear" w:color="auto" w:fill="FEBCBC" w:themeFill="accent1" w:themeFillTint="33"/>
            <w:vAlign w:val="center"/>
            <w:hideMark/>
          </w:tcPr>
          <w:p w:rsidR="00263C4D" w:rsidRPr="000A36AD" w:rsidRDefault="00263C4D" w:rsidP="00F541B2">
            <w:pPr>
              <w:spacing w:line="276" w:lineRule="auto"/>
              <w:jc w:val="center"/>
              <w:rPr>
                <w:rFonts w:ascii="Times New Roman" w:hAnsi="Times New Roman" w:cs="Times New Roman"/>
                <w:color w:val="000000"/>
              </w:rPr>
            </w:pPr>
            <w:r w:rsidRPr="000A36AD">
              <w:rPr>
                <w:rFonts w:ascii="Times New Roman" w:hAnsi="Times New Roman" w:cs="Times New Roman"/>
                <w:color w:val="000000"/>
              </w:rPr>
              <w:t>240</w:t>
            </w:r>
          </w:p>
        </w:tc>
      </w:tr>
      <w:tr w:rsidR="00502C28" w:rsidRPr="00652D8A" w:rsidTr="00F541B2">
        <w:trPr>
          <w:trHeight w:val="19"/>
        </w:trPr>
        <w:tc>
          <w:tcPr>
            <w:tcW w:w="5006" w:type="dxa"/>
            <w:gridSpan w:val="2"/>
            <w:tcBorders>
              <w:top w:val="single" w:sz="8" w:space="0" w:color="auto"/>
              <w:left w:val="single" w:sz="8" w:space="0" w:color="auto"/>
              <w:bottom w:val="nil"/>
              <w:right w:val="nil"/>
            </w:tcBorders>
            <w:shd w:val="clear" w:color="000000" w:fill="FFFFFF"/>
            <w:vAlign w:val="center"/>
            <w:hideMark/>
          </w:tcPr>
          <w:p w:rsidR="00263C4D" w:rsidRPr="000A36AD" w:rsidRDefault="00263C4D" w:rsidP="00F541B2">
            <w:pPr>
              <w:rPr>
                <w:rFonts w:ascii="Times New Roman" w:eastAsia="Times New Roman" w:hAnsi="Times New Roman" w:cs="Times New Roman"/>
                <w:b/>
                <w:bCs/>
                <w:color w:val="000000"/>
                <w:u w:val="single"/>
              </w:rPr>
            </w:pPr>
            <w:r w:rsidRPr="000A36AD">
              <w:rPr>
                <w:rFonts w:ascii="Times New Roman" w:eastAsia="Times New Roman" w:hAnsi="Times New Roman" w:cs="Times New Roman"/>
                <w:b/>
                <w:bCs/>
                <w:color w:val="000000"/>
                <w:u w:val="single"/>
              </w:rPr>
              <w:t>Mõõdik 7</w:t>
            </w:r>
          </w:p>
        </w:tc>
        <w:tc>
          <w:tcPr>
            <w:tcW w:w="561" w:type="dxa"/>
            <w:tcBorders>
              <w:top w:val="single" w:sz="8" w:space="0" w:color="auto"/>
              <w:left w:val="nil"/>
              <w:bottom w:val="nil"/>
              <w:right w:val="nil"/>
            </w:tcBorders>
            <w:shd w:val="clear" w:color="000000" w:fill="FFFFFF"/>
            <w:vAlign w:val="center"/>
            <w:hideMark/>
          </w:tcPr>
          <w:p w:rsidR="00263C4D" w:rsidRPr="000A36AD" w:rsidRDefault="00263C4D" w:rsidP="00F541B2">
            <w:pPr>
              <w:rPr>
                <w:rFonts w:ascii="Times New Roman" w:eastAsia="Times New Roman" w:hAnsi="Times New Roman" w:cs="Times New Roman"/>
                <w:color w:val="000000"/>
                <w:u w:val="single"/>
              </w:rPr>
            </w:pPr>
          </w:p>
        </w:tc>
        <w:tc>
          <w:tcPr>
            <w:tcW w:w="1426" w:type="dxa"/>
            <w:tcBorders>
              <w:top w:val="single" w:sz="8" w:space="0" w:color="auto"/>
              <w:left w:val="single" w:sz="8" w:space="0" w:color="auto"/>
              <w:bottom w:val="nil"/>
              <w:right w:val="single" w:sz="8" w:space="0" w:color="auto"/>
            </w:tcBorders>
            <w:shd w:val="clear" w:color="000000" w:fill="FFFFFF"/>
            <w:noWrap/>
            <w:vAlign w:val="bottom"/>
            <w:hideMark/>
          </w:tcPr>
          <w:p w:rsidR="00263C4D" w:rsidRPr="000A36AD" w:rsidRDefault="00263C4D" w:rsidP="00F541B2">
            <w:pPr>
              <w:rPr>
                <w:rFonts w:ascii="Times New Roman" w:eastAsia="Times New Roman" w:hAnsi="Times New Roman" w:cs="Times New Roman"/>
                <w:color w:val="000000"/>
              </w:rPr>
            </w:pPr>
            <w:r w:rsidRPr="000A36AD">
              <w:rPr>
                <w:rFonts w:ascii="Times New Roman" w:eastAsia="Times New Roman" w:hAnsi="Times New Roman" w:cs="Times New Roman"/>
                <w:color w:val="000000"/>
              </w:rPr>
              <w:t> </w:t>
            </w:r>
          </w:p>
        </w:tc>
        <w:tc>
          <w:tcPr>
            <w:tcW w:w="1084" w:type="dxa"/>
            <w:tcBorders>
              <w:top w:val="single" w:sz="8" w:space="0" w:color="auto"/>
              <w:left w:val="nil"/>
              <w:bottom w:val="nil"/>
              <w:right w:val="single" w:sz="8" w:space="0" w:color="auto"/>
            </w:tcBorders>
            <w:shd w:val="clear" w:color="000000" w:fill="FFFFFF"/>
            <w:noWrap/>
            <w:vAlign w:val="bottom"/>
            <w:hideMark/>
          </w:tcPr>
          <w:p w:rsidR="00263C4D" w:rsidRPr="000A36AD" w:rsidRDefault="00263C4D" w:rsidP="00F541B2">
            <w:pPr>
              <w:rPr>
                <w:rFonts w:ascii="Times New Roman" w:eastAsia="Times New Roman" w:hAnsi="Times New Roman" w:cs="Times New Roman"/>
                <w:color w:val="000000"/>
              </w:rPr>
            </w:pPr>
            <w:r w:rsidRPr="000A36AD">
              <w:rPr>
                <w:rFonts w:ascii="Times New Roman" w:eastAsia="Times New Roman" w:hAnsi="Times New Roman" w:cs="Times New Roman"/>
                <w:color w:val="000000"/>
              </w:rPr>
              <w:t> </w:t>
            </w:r>
          </w:p>
        </w:tc>
        <w:tc>
          <w:tcPr>
            <w:tcW w:w="1084" w:type="dxa"/>
            <w:tcBorders>
              <w:top w:val="single" w:sz="8" w:space="0" w:color="auto"/>
              <w:left w:val="nil"/>
              <w:bottom w:val="nil"/>
              <w:right w:val="nil"/>
            </w:tcBorders>
            <w:shd w:val="clear" w:color="000000" w:fill="FFFFFF"/>
            <w:noWrap/>
            <w:vAlign w:val="bottom"/>
            <w:hideMark/>
          </w:tcPr>
          <w:p w:rsidR="00263C4D" w:rsidRPr="000A36AD" w:rsidRDefault="00263C4D" w:rsidP="00F541B2">
            <w:pPr>
              <w:rPr>
                <w:rFonts w:ascii="Times New Roman" w:eastAsia="Times New Roman" w:hAnsi="Times New Roman" w:cs="Times New Roman"/>
                <w:color w:val="000000"/>
              </w:rPr>
            </w:pPr>
            <w:r w:rsidRPr="000A36AD">
              <w:rPr>
                <w:rFonts w:ascii="Times New Roman" w:eastAsia="Times New Roman" w:hAnsi="Times New Roman" w:cs="Times New Roman"/>
                <w:color w:val="000000"/>
              </w:rPr>
              <w:t> </w:t>
            </w:r>
          </w:p>
        </w:tc>
        <w:tc>
          <w:tcPr>
            <w:tcW w:w="1084" w:type="dxa"/>
            <w:tcBorders>
              <w:top w:val="single" w:sz="8" w:space="0" w:color="auto"/>
              <w:left w:val="single" w:sz="8" w:space="0" w:color="auto"/>
              <w:bottom w:val="nil"/>
              <w:right w:val="single" w:sz="8" w:space="0" w:color="auto"/>
            </w:tcBorders>
            <w:shd w:val="clear" w:color="000000" w:fill="FFFFFF"/>
            <w:noWrap/>
            <w:vAlign w:val="bottom"/>
            <w:hideMark/>
          </w:tcPr>
          <w:p w:rsidR="00263C4D" w:rsidRPr="000A36AD" w:rsidRDefault="00263C4D" w:rsidP="00F541B2">
            <w:pPr>
              <w:rPr>
                <w:rFonts w:ascii="Times New Roman" w:eastAsia="Times New Roman" w:hAnsi="Times New Roman" w:cs="Times New Roman"/>
                <w:color w:val="000000"/>
              </w:rPr>
            </w:pPr>
            <w:r w:rsidRPr="000A36AD">
              <w:rPr>
                <w:rFonts w:ascii="Times New Roman" w:eastAsia="Times New Roman" w:hAnsi="Times New Roman" w:cs="Times New Roman"/>
                <w:color w:val="000000"/>
              </w:rPr>
              <w:t> </w:t>
            </w:r>
          </w:p>
        </w:tc>
        <w:tc>
          <w:tcPr>
            <w:tcW w:w="1084" w:type="dxa"/>
            <w:tcBorders>
              <w:top w:val="single" w:sz="8" w:space="0" w:color="auto"/>
              <w:left w:val="nil"/>
              <w:bottom w:val="nil"/>
              <w:right w:val="nil"/>
            </w:tcBorders>
            <w:shd w:val="clear" w:color="000000" w:fill="FFFFFF"/>
            <w:noWrap/>
            <w:vAlign w:val="bottom"/>
            <w:hideMark/>
          </w:tcPr>
          <w:p w:rsidR="00263C4D" w:rsidRPr="000A36AD" w:rsidRDefault="00263C4D" w:rsidP="00F541B2">
            <w:pPr>
              <w:rPr>
                <w:rFonts w:ascii="Times New Roman" w:eastAsia="Times New Roman" w:hAnsi="Times New Roman" w:cs="Times New Roman"/>
                <w:color w:val="000000"/>
              </w:rPr>
            </w:pPr>
            <w:r w:rsidRPr="000A36AD">
              <w:rPr>
                <w:rFonts w:ascii="Times New Roman" w:eastAsia="Times New Roman" w:hAnsi="Times New Roman" w:cs="Times New Roman"/>
                <w:color w:val="000000"/>
              </w:rPr>
              <w:t> </w:t>
            </w:r>
          </w:p>
        </w:tc>
        <w:tc>
          <w:tcPr>
            <w:tcW w:w="1084" w:type="dxa"/>
            <w:tcBorders>
              <w:top w:val="single" w:sz="8" w:space="0" w:color="auto"/>
              <w:left w:val="single" w:sz="8" w:space="0" w:color="auto"/>
              <w:bottom w:val="nil"/>
              <w:right w:val="single" w:sz="8" w:space="0" w:color="auto"/>
            </w:tcBorders>
            <w:shd w:val="clear" w:color="000000" w:fill="FFFFFF"/>
            <w:noWrap/>
            <w:vAlign w:val="bottom"/>
            <w:hideMark/>
          </w:tcPr>
          <w:p w:rsidR="00263C4D" w:rsidRPr="000A36AD" w:rsidRDefault="00263C4D" w:rsidP="00F541B2">
            <w:pPr>
              <w:rPr>
                <w:rFonts w:ascii="Times New Roman" w:eastAsia="Times New Roman" w:hAnsi="Times New Roman" w:cs="Times New Roman"/>
                <w:color w:val="000000"/>
              </w:rPr>
            </w:pPr>
            <w:r w:rsidRPr="000A36AD">
              <w:rPr>
                <w:rFonts w:ascii="Times New Roman" w:eastAsia="Times New Roman" w:hAnsi="Times New Roman" w:cs="Times New Roman"/>
                <w:color w:val="000000"/>
              </w:rPr>
              <w:t> </w:t>
            </w:r>
          </w:p>
        </w:tc>
        <w:tc>
          <w:tcPr>
            <w:tcW w:w="1084" w:type="dxa"/>
            <w:tcBorders>
              <w:top w:val="single" w:sz="8" w:space="0" w:color="auto"/>
              <w:left w:val="nil"/>
              <w:bottom w:val="nil"/>
              <w:right w:val="nil"/>
            </w:tcBorders>
            <w:shd w:val="clear" w:color="000000" w:fill="FFFFFF"/>
            <w:noWrap/>
            <w:vAlign w:val="bottom"/>
            <w:hideMark/>
          </w:tcPr>
          <w:p w:rsidR="00263C4D" w:rsidRPr="000A36AD" w:rsidRDefault="00263C4D" w:rsidP="00F541B2">
            <w:pPr>
              <w:rPr>
                <w:rFonts w:ascii="Times New Roman" w:eastAsia="Times New Roman" w:hAnsi="Times New Roman" w:cs="Times New Roman"/>
                <w:color w:val="000000"/>
              </w:rPr>
            </w:pPr>
            <w:r w:rsidRPr="000A36AD">
              <w:rPr>
                <w:rFonts w:ascii="Times New Roman" w:eastAsia="Times New Roman" w:hAnsi="Times New Roman" w:cs="Times New Roman"/>
                <w:color w:val="000000"/>
              </w:rPr>
              <w:t> </w:t>
            </w:r>
          </w:p>
        </w:tc>
        <w:tc>
          <w:tcPr>
            <w:tcW w:w="1087" w:type="dxa"/>
            <w:tcBorders>
              <w:top w:val="single" w:sz="8" w:space="0" w:color="auto"/>
              <w:left w:val="single" w:sz="8" w:space="0" w:color="auto"/>
              <w:bottom w:val="nil"/>
              <w:right w:val="single" w:sz="8" w:space="0" w:color="auto"/>
            </w:tcBorders>
            <w:shd w:val="clear" w:color="000000" w:fill="FFFFFF"/>
            <w:noWrap/>
            <w:vAlign w:val="bottom"/>
            <w:hideMark/>
          </w:tcPr>
          <w:p w:rsidR="00263C4D" w:rsidRPr="000A36AD" w:rsidRDefault="00263C4D" w:rsidP="00F541B2">
            <w:pPr>
              <w:rPr>
                <w:rFonts w:ascii="Times New Roman" w:eastAsia="Times New Roman" w:hAnsi="Times New Roman" w:cs="Times New Roman"/>
                <w:color w:val="000000"/>
              </w:rPr>
            </w:pPr>
            <w:r w:rsidRPr="000A36AD">
              <w:rPr>
                <w:rFonts w:ascii="Times New Roman" w:eastAsia="Times New Roman" w:hAnsi="Times New Roman" w:cs="Times New Roman"/>
                <w:color w:val="000000"/>
              </w:rPr>
              <w:t> </w:t>
            </w:r>
          </w:p>
        </w:tc>
      </w:tr>
      <w:tr w:rsidR="00502C28" w:rsidRPr="00652D8A" w:rsidTr="00F541B2">
        <w:trPr>
          <w:trHeight w:val="19"/>
        </w:trPr>
        <w:tc>
          <w:tcPr>
            <w:tcW w:w="5006" w:type="dxa"/>
            <w:gridSpan w:val="2"/>
            <w:vMerge w:val="restart"/>
            <w:tcBorders>
              <w:top w:val="nil"/>
              <w:left w:val="single" w:sz="8" w:space="0" w:color="auto"/>
              <w:bottom w:val="single" w:sz="8" w:space="0" w:color="000000"/>
              <w:right w:val="nil"/>
            </w:tcBorders>
            <w:shd w:val="clear" w:color="000000" w:fill="FFFFFF"/>
            <w:hideMark/>
          </w:tcPr>
          <w:p w:rsidR="00263C4D" w:rsidRPr="000A36AD" w:rsidRDefault="00263C4D" w:rsidP="00F541B2">
            <w:pPr>
              <w:rPr>
                <w:rFonts w:ascii="Times New Roman" w:eastAsia="Times New Roman" w:hAnsi="Times New Roman" w:cs="Times New Roman"/>
                <w:color w:val="000000"/>
              </w:rPr>
            </w:pPr>
            <w:r w:rsidRPr="000A36AD">
              <w:rPr>
                <w:rFonts w:ascii="Times New Roman" w:eastAsia="Times New Roman" w:hAnsi="Times New Roman" w:cs="Times New Roman"/>
                <w:color w:val="000000"/>
              </w:rPr>
              <w:t>Positiivse ettevõtjatuluga ettevõtete osatähtsus; %</w:t>
            </w:r>
            <w:r w:rsidRPr="000A36AD">
              <w:rPr>
                <w:rFonts w:ascii="Times New Roman" w:eastAsia="Times New Roman" w:hAnsi="Times New Roman" w:cs="Times New Roman"/>
                <w:color w:val="000000"/>
              </w:rPr>
              <w:br/>
              <w:t>Allikas: FADN</w:t>
            </w:r>
          </w:p>
        </w:tc>
        <w:tc>
          <w:tcPr>
            <w:tcW w:w="561" w:type="dxa"/>
            <w:tcBorders>
              <w:top w:val="nil"/>
              <w:left w:val="nil"/>
              <w:bottom w:val="nil"/>
              <w:right w:val="nil"/>
            </w:tcBorders>
            <w:shd w:val="clear" w:color="000000" w:fill="FFFFFF"/>
            <w:noWrap/>
            <w:vAlign w:val="bottom"/>
            <w:hideMark/>
          </w:tcPr>
          <w:p w:rsidR="00263C4D" w:rsidRPr="000A36AD" w:rsidRDefault="00263C4D" w:rsidP="00F541B2">
            <w:pPr>
              <w:rPr>
                <w:rFonts w:ascii="Times New Roman" w:eastAsia="Times New Roman" w:hAnsi="Times New Roman" w:cs="Times New Roman"/>
                <w:color w:val="000000"/>
              </w:rPr>
            </w:pPr>
            <w:r w:rsidRPr="000A36AD">
              <w:rPr>
                <w:rFonts w:ascii="Times New Roman" w:eastAsia="Times New Roman" w:hAnsi="Times New Roman" w:cs="Times New Roman"/>
                <w:color w:val="000000"/>
              </w:rPr>
              <w:t> </w:t>
            </w:r>
          </w:p>
        </w:tc>
        <w:tc>
          <w:tcPr>
            <w:tcW w:w="1426" w:type="dxa"/>
            <w:tcBorders>
              <w:top w:val="nil"/>
              <w:left w:val="single" w:sz="8" w:space="0" w:color="auto"/>
              <w:bottom w:val="nil"/>
              <w:right w:val="single" w:sz="8" w:space="0" w:color="auto"/>
            </w:tcBorders>
            <w:shd w:val="clear" w:color="000000" w:fill="FFFFFF"/>
            <w:vAlign w:val="center"/>
            <w:hideMark/>
          </w:tcPr>
          <w:p w:rsidR="00263C4D" w:rsidRPr="000A36AD" w:rsidRDefault="00263C4D" w:rsidP="00F541B2">
            <w:pPr>
              <w:jc w:val="center"/>
              <w:rPr>
                <w:rFonts w:ascii="Times New Roman" w:eastAsia="Times New Roman" w:hAnsi="Times New Roman" w:cs="Times New Roman"/>
                <w:color w:val="000000"/>
              </w:rPr>
            </w:pPr>
            <w:r w:rsidRPr="000A36AD">
              <w:rPr>
                <w:rFonts w:ascii="Times New Roman" w:eastAsia="Times New Roman" w:hAnsi="Times New Roman" w:cs="Times New Roman"/>
                <w:color w:val="000000"/>
              </w:rPr>
              <w:t>84</w:t>
            </w:r>
          </w:p>
        </w:tc>
        <w:tc>
          <w:tcPr>
            <w:tcW w:w="1084" w:type="dxa"/>
            <w:tcBorders>
              <w:top w:val="nil"/>
              <w:left w:val="nil"/>
              <w:bottom w:val="nil"/>
              <w:right w:val="single" w:sz="8" w:space="0" w:color="auto"/>
            </w:tcBorders>
            <w:shd w:val="clear" w:color="000000" w:fill="FFFFFF"/>
            <w:vAlign w:val="center"/>
            <w:hideMark/>
          </w:tcPr>
          <w:p w:rsidR="00263C4D" w:rsidRPr="000A36AD" w:rsidRDefault="00263C4D" w:rsidP="00F541B2">
            <w:pPr>
              <w:jc w:val="center"/>
              <w:rPr>
                <w:rFonts w:ascii="Times New Roman" w:eastAsia="Times New Roman" w:hAnsi="Times New Roman" w:cs="Times New Roman"/>
                <w:color w:val="000000"/>
              </w:rPr>
            </w:pPr>
            <w:r w:rsidRPr="000A36AD">
              <w:rPr>
                <w:rFonts w:ascii="Times New Roman" w:eastAsia="Times New Roman" w:hAnsi="Times New Roman" w:cs="Times New Roman"/>
                <w:color w:val="000000"/>
              </w:rPr>
              <w:t>85</w:t>
            </w:r>
          </w:p>
        </w:tc>
        <w:tc>
          <w:tcPr>
            <w:tcW w:w="1084" w:type="dxa"/>
            <w:tcBorders>
              <w:top w:val="nil"/>
              <w:left w:val="nil"/>
              <w:bottom w:val="nil"/>
              <w:right w:val="single" w:sz="8" w:space="0" w:color="auto"/>
            </w:tcBorders>
            <w:shd w:val="clear" w:color="000000" w:fill="FFFFFF"/>
            <w:vAlign w:val="center"/>
            <w:hideMark/>
          </w:tcPr>
          <w:p w:rsidR="00263C4D" w:rsidRPr="000A36AD" w:rsidRDefault="00263C4D" w:rsidP="00F541B2">
            <w:pPr>
              <w:jc w:val="center"/>
              <w:rPr>
                <w:rFonts w:ascii="Times New Roman" w:eastAsia="Times New Roman" w:hAnsi="Times New Roman" w:cs="Times New Roman"/>
                <w:color w:val="000000"/>
              </w:rPr>
            </w:pPr>
            <w:r w:rsidRPr="000A36AD">
              <w:rPr>
                <w:rFonts w:ascii="Times New Roman" w:eastAsia="Times New Roman" w:hAnsi="Times New Roman" w:cs="Times New Roman"/>
                <w:color w:val="000000"/>
              </w:rPr>
              <w:t>86</w:t>
            </w:r>
          </w:p>
        </w:tc>
        <w:tc>
          <w:tcPr>
            <w:tcW w:w="1084" w:type="dxa"/>
            <w:tcBorders>
              <w:top w:val="nil"/>
              <w:left w:val="nil"/>
              <w:bottom w:val="nil"/>
              <w:right w:val="single" w:sz="8" w:space="0" w:color="auto"/>
            </w:tcBorders>
            <w:shd w:val="clear" w:color="000000" w:fill="FFFFFF"/>
            <w:vAlign w:val="center"/>
            <w:hideMark/>
          </w:tcPr>
          <w:p w:rsidR="00263C4D" w:rsidRPr="000A36AD" w:rsidRDefault="00263C4D" w:rsidP="00F541B2">
            <w:pPr>
              <w:jc w:val="center"/>
              <w:rPr>
                <w:rFonts w:ascii="Times New Roman" w:eastAsia="Times New Roman" w:hAnsi="Times New Roman" w:cs="Times New Roman"/>
                <w:color w:val="000000"/>
              </w:rPr>
            </w:pPr>
            <w:r w:rsidRPr="000A36AD">
              <w:rPr>
                <w:rFonts w:ascii="Times New Roman" w:eastAsia="Times New Roman" w:hAnsi="Times New Roman" w:cs="Times New Roman"/>
                <w:color w:val="000000"/>
              </w:rPr>
              <w:t>87</w:t>
            </w:r>
          </w:p>
        </w:tc>
        <w:tc>
          <w:tcPr>
            <w:tcW w:w="1084" w:type="dxa"/>
            <w:tcBorders>
              <w:top w:val="nil"/>
              <w:left w:val="nil"/>
              <w:bottom w:val="nil"/>
              <w:right w:val="single" w:sz="8" w:space="0" w:color="auto"/>
            </w:tcBorders>
            <w:shd w:val="clear" w:color="000000" w:fill="FFFFFF"/>
            <w:vAlign w:val="center"/>
            <w:hideMark/>
          </w:tcPr>
          <w:p w:rsidR="00263C4D" w:rsidRPr="000A36AD" w:rsidRDefault="00263C4D" w:rsidP="00F541B2">
            <w:pPr>
              <w:jc w:val="center"/>
              <w:rPr>
                <w:rFonts w:ascii="Times New Roman" w:eastAsia="Times New Roman" w:hAnsi="Times New Roman" w:cs="Times New Roman"/>
                <w:color w:val="000000"/>
              </w:rPr>
            </w:pPr>
            <w:r w:rsidRPr="000A36AD">
              <w:rPr>
                <w:rFonts w:ascii="Times New Roman" w:eastAsia="Times New Roman" w:hAnsi="Times New Roman" w:cs="Times New Roman"/>
                <w:color w:val="000000"/>
              </w:rPr>
              <w:t>87</w:t>
            </w:r>
          </w:p>
        </w:tc>
        <w:tc>
          <w:tcPr>
            <w:tcW w:w="1084" w:type="dxa"/>
            <w:tcBorders>
              <w:top w:val="nil"/>
              <w:left w:val="nil"/>
              <w:bottom w:val="nil"/>
              <w:right w:val="single" w:sz="8" w:space="0" w:color="auto"/>
            </w:tcBorders>
            <w:shd w:val="clear" w:color="000000" w:fill="FFFFFF"/>
            <w:vAlign w:val="center"/>
            <w:hideMark/>
          </w:tcPr>
          <w:p w:rsidR="00263C4D" w:rsidRPr="000A36AD" w:rsidRDefault="00263C4D" w:rsidP="00F541B2">
            <w:pPr>
              <w:jc w:val="center"/>
              <w:rPr>
                <w:rFonts w:ascii="Times New Roman" w:eastAsia="Times New Roman" w:hAnsi="Times New Roman" w:cs="Times New Roman"/>
                <w:color w:val="000000"/>
              </w:rPr>
            </w:pPr>
            <w:r w:rsidRPr="000A36AD">
              <w:rPr>
                <w:rFonts w:ascii="Times New Roman" w:eastAsia="Times New Roman" w:hAnsi="Times New Roman" w:cs="Times New Roman"/>
                <w:color w:val="000000"/>
              </w:rPr>
              <w:t>88</w:t>
            </w:r>
          </w:p>
        </w:tc>
        <w:tc>
          <w:tcPr>
            <w:tcW w:w="1084" w:type="dxa"/>
            <w:tcBorders>
              <w:top w:val="nil"/>
              <w:left w:val="nil"/>
              <w:bottom w:val="nil"/>
              <w:right w:val="single" w:sz="8" w:space="0" w:color="auto"/>
            </w:tcBorders>
            <w:shd w:val="clear" w:color="000000" w:fill="FFFFFF"/>
            <w:vAlign w:val="center"/>
            <w:hideMark/>
          </w:tcPr>
          <w:p w:rsidR="00263C4D" w:rsidRPr="000A36AD" w:rsidRDefault="00263C4D" w:rsidP="00F541B2">
            <w:pPr>
              <w:jc w:val="center"/>
              <w:rPr>
                <w:rFonts w:ascii="Times New Roman" w:eastAsia="Times New Roman" w:hAnsi="Times New Roman" w:cs="Times New Roman"/>
                <w:color w:val="000000"/>
              </w:rPr>
            </w:pPr>
            <w:r w:rsidRPr="000A36AD">
              <w:rPr>
                <w:rFonts w:ascii="Times New Roman" w:eastAsia="Times New Roman" w:hAnsi="Times New Roman" w:cs="Times New Roman"/>
                <w:color w:val="000000"/>
              </w:rPr>
              <w:t>89</w:t>
            </w:r>
          </w:p>
        </w:tc>
        <w:tc>
          <w:tcPr>
            <w:tcW w:w="1087" w:type="dxa"/>
            <w:tcBorders>
              <w:top w:val="nil"/>
              <w:left w:val="nil"/>
              <w:bottom w:val="nil"/>
              <w:right w:val="single" w:sz="8" w:space="0" w:color="auto"/>
            </w:tcBorders>
            <w:shd w:val="clear" w:color="000000" w:fill="FFFFFF"/>
            <w:vAlign w:val="center"/>
            <w:hideMark/>
          </w:tcPr>
          <w:p w:rsidR="00263C4D" w:rsidRPr="000A36AD" w:rsidRDefault="00263C4D" w:rsidP="00F541B2">
            <w:pPr>
              <w:jc w:val="center"/>
              <w:rPr>
                <w:rFonts w:ascii="Times New Roman" w:eastAsia="Times New Roman" w:hAnsi="Times New Roman" w:cs="Times New Roman"/>
                <w:color w:val="000000"/>
              </w:rPr>
            </w:pPr>
            <w:r w:rsidRPr="000A36AD">
              <w:rPr>
                <w:rFonts w:ascii="Times New Roman" w:eastAsia="Times New Roman" w:hAnsi="Times New Roman" w:cs="Times New Roman"/>
                <w:color w:val="000000"/>
              </w:rPr>
              <w:t>90</w:t>
            </w:r>
          </w:p>
        </w:tc>
      </w:tr>
      <w:tr w:rsidR="00263C4D" w:rsidRPr="00652D8A" w:rsidTr="00F541B2">
        <w:trPr>
          <w:trHeight w:val="19"/>
        </w:trPr>
        <w:tc>
          <w:tcPr>
            <w:tcW w:w="5006" w:type="dxa"/>
            <w:gridSpan w:val="2"/>
            <w:vMerge/>
            <w:tcBorders>
              <w:top w:val="nil"/>
              <w:left w:val="single" w:sz="8" w:space="0" w:color="auto"/>
              <w:bottom w:val="single" w:sz="4" w:space="0" w:color="auto"/>
              <w:right w:val="nil"/>
            </w:tcBorders>
            <w:vAlign w:val="center"/>
            <w:hideMark/>
          </w:tcPr>
          <w:p w:rsidR="00263C4D" w:rsidRPr="000A36AD" w:rsidRDefault="00263C4D" w:rsidP="00F541B2">
            <w:pPr>
              <w:rPr>
                <w:rFonts w:ascii="Times New Roman" w:eastAsia="Times New Roman" w:hAnsi="Times New Roman" w:cs="Times New Roman"/>
                <w:color w:val="000000"/>
              </w:rPr>
            </w:pPr>
          </w:p>
        </w:tc>
        <w:tc>
          <w:tcPr>
            <w:tcW w:w="561" w:type="dxa"/>
            <w:tcBorders>
              <w:top w:val="nil"/>
              <w:left w:val="nil"/>
              <w:bottom w:val="single" w:sz="4" w:space="0" w:color="auto"/>
              <w:right w:val="nil"/>
            </w:tcBorders>
            <w:shd w:val="clear" w:color="000000" w:fill="FFFFFF"/>
            <w:vAlign w:val="center"/>
            <w:hideMark/>
          </w:tcPr>
          <w:p w:rsidR="00263C4D" w:rsidRPr="000A36AD" w:rsidRDefault="00263C4D" w:rsidP="00F541B2">
            <w:pPr>
              <w:rPr>
                <w:rFonts w:ascii="Times New Roman" w:eastAsia="Times New Roman" w:hAnsi="Times New Roman" w:cs="Times New Roman"/>
                <w:i/>
                <w:iCs/>
                <w:color w:val="000000"/>
              </w:rPr>
            </w:pPr>
            <w:r w:rsidRPr="000A36AD">
              <w:rPr>
                <w:rFonts w:ascii="Times New Roman" w:eastAsia="Times New Roman" w:hAnsi="Times New Roman" w:cs="Times New Roman"/>
                <w:i/>
                <w:iCs/>
                <w:color w:val="000000"/>
              </w:rPr>
              <w:t> </w:t>
            </w:r>
          </w:p>
        </w:tc>
        <w:tc>
          <w:tcPr>
            <w:tcW w:w="1426" w:type="dxa"/>
            <w:tcBorders>
              <w:top w:val="nil"/>
              <w:left w:val="single" w:sz="8" w:space="0" w:color="auto"/>
              <w:bottom w:val="single" w:sz="4" w:space="0" w:color="auto"/>
              <w:right w:val="single" w:sz="8" w:space="0" w:color="auto"/>
            </w:tcBorders>
            <w:shd w:val="clear" w:color="000000" w:fill="FFFFFF"/>
            <w:vAlign w:val="center"/>
            <w:hideMark/>
          </w:tcPr>
          <w:p w:rsidR="00263C4D" w:rsidRPr="000A36AD" w:rsidRDefault="00263C4D" w:rsidP="00F541B2">
            <w:pPr>
              <w:jc w:val="center"/>
              <w:rPr>
                <w:rFonts w:ascii="Times New Roman" w:eastAsia="Times New Roman" w:hAnsi="Times New Roman" w:cs="Times New Roman"/>
                <w:color w:val="000000"/>
              </w:rPr>
            </w:pPr>
            <w:r w:rsidRPr="000A36AD">
              <w:rPr>
                <w:rFonts w:ascii="Times New Roman" w:eastAsia="Times New Roman" w:hAnsi="Times New Roman" w:cs="Times New Roman"/>
                <w:color w:val="000000"/>
              </w:rPr>
              <w:t> </w:t>
            </w:r>
          </w:p>
        </w:tc>
        <w:tc>
          <w:tcPr>
            <w:tcW w:w="1084" w:type="dxa"/>
            <w:tcBorders>
              <w:top w:val="nil"/>
              <w:left w:val="nil"/>
              <w:bottom w:val="single" w:sz="4" w:space="0" w:color="auto"/>
              <w:right w:val="single" w:sz="8" w:space="0" w:color="auto"/>
            </w:tcBorders>
            <w:shd w:val="clear" w:color="000000" w:fill="FFFFFF"/>
            <w:vAlign w:val="center"/>
            <w:hideMark/>
          </w:tcPr>
          <w:p w:rsidR="00263C4D" w:rsidRPr="000A36AD" w:rsidRDefault="00263C4D" w:rsidP="00F541B2">
            <w:pPr>
              <w:jc w:val="center"/>
              <w:rPr>
                <w:rFonts w:ascii="Times New Roman" w:eastAsia="Times New Roman" w:hAnsi="Times New Roman" w:cs="Times New Roman"/>
                <w:color w:val="000000"/>
              </w:rPr>
            </w:pPr>
            <w:r w:rsidRPr="000A36AD">
              <w:rPr>
                <w:rFonts w:ascii="Times New Roman" w:eastAsia="Times New Roman" w:hAnsi="Times New Roman" w:cs="Times New Roman"/>
                <w:color w:val="000000"/>
              </w:rPr>
              <w:t> </w:t>
            </w:r>
          </w:p>
        </w:tc>
        <w:tc>
          <w:tcPr>
            <w:tcW w:w="1084" w:type="dxa"/>
            <w:tcBorders>
              <w:top w:val="nil"/>
              <w:left w:val="nil"/>
              <w:bottom w:val="single" w:sz="4" w:space="0" w:color="auto"/>
              <w:right w:val="nil"/>
            </w:tcBorders>
            <w:shd w:val="clear" w:color="000000" w:fill="FFFFFF"/>
            <w:vAlign w:val="center"/>
            <w:hideMark/>
          </w:tcPr>
          <w:p w:rsidR="00263C4D" w:rsidRPr="000A36AD" w:rsidRDefault="00263C4D" w:rsidP="00F541B2">
            <w:pPr>
              <w:jc w:val="center"/>
              <w:rPr>
                <w:rFonts w:ascii="Times New Roman" w:eastAsia="Times New Roman" w:hAnsi="Times New Roman" w:cs="Times New Roman"/>
                <w:color w:val="000000"/>
              </w:rPr>
            </w:pPr>
            <w:r w:rsidRPr="000A36AD">
              <w:rPr>
                <w:rFonts w:ascii="Times New Roman" w:eastAsia="Times New Roman" w:hAnsi="Times New Roman" w:cs="Times New Roman"/>
                <w:color w:val="000000"/>
              </w:rPr>
              <w:t> </w:t>
            </w:r>
          </w:p>
        </w:tc>
        <w:tc>
          <w:tcPr>
            <w:tcW w:w="1084" w:type="dxa"/>
            <w:tcBorders>
              <w:top w:val="nil"/>
              <w:left w:val="single" w:sz="8" w:space="0" w:color="auto"/>
              <w:bottom w:val="single" w:sz="4" w:space="0" w:color="auto"/>
              <w:right w:val="single" w:sz="8" w:space="0" w:color="auto"/>
            </w:tcBorders>
            <w:shd w:val="clear" w:color="000000" w:fill="FFFFFF"/>
            <w:vAlign w:val="center"/>
            <w:hideMark/>
          </w:tcPr>
          <w:p w:rsidR="00263C4D" w:rsidRPr="000A36AD" w:rsidRDefault="00263C4D" w:rsidP="00F541B2">
            <w:pPr>
              <w:jc w:val="center"/>
              <w:rPr>
                <w:rFonts w:ascii="Times New Roman" w:eastAsia="Times New Roman" w:hAnsi="Times New Roman" w:cs="Times New Roman"/>
                <w:color w:val="000000"/>
              </w:rPr>
            </w:pPr>
            <w:r w:rsidRPr="000A36AD">
              <w:rPr>
                <w:rFonts w:ascii="Times New Roman" w:eastAsia="Times New Roman" w:hAnsi="Times New Roman" w:cs="Times New Roman"/>
                <w:color w:val="000000"/>
              </w:rPr>
              <w:t> </w:t>
            </w:r>
          </w:p>
        </w:tc>
        <w:tc>
          <w:tcPr>
            <w:tcW w:w="1084" w:type="dxa"/>
            <w:tcBorders>
              <w:top w:val="nil"/>
              <w:left w:val="nil"/>
              <w:bottom w:val="single" w:sz="4" w:space="0" w:color="auto"/>
              <w:right w:val="nil"/>
            </w:tcBorders>
            <w:shd w:val="clear" w:color="000000" w:fill="FFFFFF"/>
            <w:vAlign w:val="center"/>
            <w:hideMark/>
          </w:tcPr>
          <w:p w:rsidR="00263C4D" w:rsidRPr="000A36AD" w:rsidRDefault="00263C4D" w:rsidP="00F541B2">
            <w:pPr>
              <w:jc w:val="center"/>
              <w:rPr>
                <w:rFonts w:ascii="Times New Roman" w:eastAsia="Times New Roman" w:hAnsi="Times New Roman" w:cs="Times New Roman"/>
                <w:color w:val="000000"/>
              </w:rPr>
            </w:pPr>
            <w:r w:rsidRPr="000A36AD">
              <w:rPr>
                <w:rFonts w:ascii="Times New Roman" w:eastAsia="Times New Roman" w:hAnsi="Times New Roman" w:cs="Times New Roman"/>
                <w:color w:val="000000"/>
              </w:rPr>
              <w:t> </w:t>
            </w:r>
          </w:p>
        </w:tc>
        <w:tc>
          <w:tcPr>
            <w:tcW w:w="1084" w:type="dxa"/>
            <w:tcBorders>
              <w:top w:val="nil"/>
              <w:left w:val="single" w:sz="8" w:space="0" w:color="auto"/>
              <w:bottom w:val="single" w:sz="4" w:space="0" w:color="auto"/>
              <w:right w:val="single" w:sz="8" w:space="0" w:color="auto"/>
            </w:tcBorders>
            <w:shd w:val="clear" w:color="000000" w:fill="FFFFFF"/>
            <w:vAlign w:val="center"/>
            <w:hideMark/>
          </w:tcPr>
          <w:p w:rsidR="00263C4D" w:rsidRPr="000A36AD" w:rsidRDefault="00263C4D" w:rsidP="00F541B2">
            <w:pPr>
              <w:jc w:val="center"/>
              <w:rPr>
                <w:rFonts w:ascii="Times New Roman" w:eastAsia="Times New Roman" w:hAnsi="Times New Roman" w:cs="Times New Roman"/>
                <w:color w:val="000000"/>
              </w:rPr>
            </w:pPr>
            <w:r w:rsidRPr="000A36AD">
              <w:rPr>
                <w:rFonts w:ascii="Times New Roman" w:eastAsia="Times New Roman" w:hAnsi="Times New Roman" w:cs="Times New Roman"/>
                <w:color w:val="000000"/>
              </w:rPr>
              <w:t> </w:t>
            </w:r>
          </w:p>
        </w:tc>
        <w:tc>
          <w:tcPr>
            <w:tcW w:w="1084" w:type="dxa"/>
            <w:tcBorders>
              <w:top w:val="nil"/>
              <w:left w:val="nil"/>
              <w:bottom w:val="single" w:sz="4" w:space="0" w:color="auto"/>
              <w:right w:val="nil"/>
            </w:tcBorders>
            <w:shd w:val="clear" w:color="000000" w:fill="FFFFFF"/>
            <w:vAlign w:val="center"/>
            <w:hideMark/>
          </w:tcPr>
          <w:p w:rsidR="00263C4D" w:rsidRPr="000A36AD" w:rsidRDefault="00263C4D" w:rsidP="00F541B2">
            <w:pPr>
              <w:jc w:val="center"/>
              <w:rPr>
                <w:rFonts w:ascii="Times New Roman" w:eastAsia="Times New Roman" w:hAnsi="Times New Roman" w:cs="Times New Roman"/>
                <w:color w:val="000000"/>
              </w:rPr>
            </w:pPr>
            <w:r w:rsidRPr="000A36AD">
              <w:rPr>
                <w:rFonts w:ascii="Times New Roman" w:eastAsia="Times New Roman" w:hAnsi="Times New Roman" w:cs="Times New Roman"/>
                <w:color w:val="000000"/>
              </w:rPr>
              <w:t> </w:t>
            </w:r>
          </w:p>
        </w:tc>
        <w:tc>
          <w:tcPr>
            <w:tcW w:w="1087" w:type="dxa"/>
            <w:tcBorders>
              <w:top w:val="nil"/>
              <w:left w:val="single" w:sz="8" w:space="0" w:color="auto"/>
              <w:bottom w:val="single" w:sz="4" w:space="0" w:color="auto"/>
              <w:right w:val="single" w:sz="8" w:space="0" w:color="auto"/>
            </w:tcBorders>
            <w:shd w:val="clear" w:color="000000" w:fill="FFFFFF"/>
            <w:vAlign w:val="center"/>
            <w:hideMark/>
          </w:tcPr>
          <w:p w:rsidR="00263C4D" w:rsidRPr="000A36AD" w:rsidRDefault="00263C4D" w:rsidP="00F541B2">
            <w:pPr>
              <w:jc w:val="center"/>
              <w:rPr>
                <w:rFonts w:ascii="Times New Roman" w:eastAsia="Times New Roman" w:hAnsi="Times New Roman" w:cs="Times New Roman"/>
                <w:color w:val="000000"/>
              </w:rPr>
            </w:pPr>
            <w:r w:rsidRPr="000A36AD">
              <w:rPr>
                <w:rFonts w:ascii="Times New Roman" w:eastAsia="Times New Roman" w:hAnsi="Times New Roman" w:cs="Times New Roman"/>
                <w:color w:val="000000"/>
              </w:rPr>
              <w:t> </w:t>
            </w:r>
          </w:p>
        </w:tc>
      </w:tr>
      <w:tr w:rsidR="00502C28" w:rsidRPr="00652D8A" w:rsidTr="00F541B2">
        <w:trPr>
          <w:trHeight w:val="19"/>
        </w:trPr>
        <w:tc>
          <w:tcPr>
            <w:tcW w:w="5006" w:type="dxa"/>
            <w:gridSpan w:val="2"/>
            <w:tcBorders>
              <w:top w:val="single" w:sz="4" w:space="0" w:color="auto"/>
              <w:left w:val="single" w:sz="4" w:space="0" w:color="auto"/>
              <w:bottom w:val="nil"/>
              <w:right w:val="nil"/>
            </w:tcBorders>
            <w:shd w:val="clear" w:color="auto" w:fill="FEBCBC" w:themeFill="accent1" w:themeFillTint="33"/>
            <w:vAlign w:val="center"/>
            <w:hideMark/>
          </w:tcPr>
          <w:p w:rsidR="00263C4D" w:rsidRPr="000A36AD" w:rsidRDefault="00263C4D" w:rsidP="00F541B2">
            <w:pPr>
              <w:rPr>
                <w:rFonts w:ascii="Times New Roman" w:eastAsia="Times New Roman" w:hAnsi="Times New Roman" w:cs="Times New Roman"/>
                <w:b/>
                <w:bCs/>
                <w:color w:val="000000"/>
                <w:u w:val="single"/>
              </w:rPr>
            </w:pPr>
            <w:r w:rsidRPr="000A36AD">
              <w:rPr>
                <w:rFonts w:ascii="Times New Roman" w:eastAsia="Times New Roman" w:hAnsi="Times New Roman" w:cs="Times New Roman"/>
                <w:b/>
                <w:bCs/>
                <w:color w:val="000000"/>
                <w:u w:val="single"/>
              </w:rPr>
              <w:t>Mõõdik 8</w:t>
            </w:r>
          </w:p>
        </w:tc>
        <w:tc>
          <w:tcPr>
            <w:tcW w:w="561" w:type="dxa"/>
            <w:tcBorders>
              <w:top w:val="single" w:sz="4" w:space="0" w:color="auto"/>
              <w:left w:val="nil"/>
              <w:bottom w:val="nil"/>
              <w:right w:val="nil"/>
            </w:tcBorders>
            <w:shd w:val="clear" w:color="auto" w:fill="FEBCBC" w:themeFill="accent1" w:themeFillTint="33"/>
            <w:vAlign w:val="center"/>
            <w:hideMark/>
          </w:tcPr>
          <w:p w:rsidR="00263C4D" w:rsidRPr="000A36AD" w:rsidRDefault="00263C4D" w:rsidP="00F541B2">
            <w:pPr>
              <w:rPr>
                <w:rFonts w:ascii="Times New Roman" w:eastAsia="Times New Roman" w:hAnsi="Times New Roman" w:cs="Times New Roman"/>
                <w:color w:val="000000"/>
                <w:u w:val="single"/>
              </w:rPr>
            </w:pPr>
          </w:p>
        </w:tc>
        <w:tc>
          <w:tcPr>
            <w:tcW w:w="1426" w:type="dxa"/>
            <w:tcBorders>
              <w:top w:val="single" w:sz="4" w:space="0" w:color="auto"/>
              <w:left w:val="single" w:sz="8" w:space="0" w:color="auto"/>
              <w:bottom w:val="nil"/>
              <w:right w:val="single" w:sz="8" w:space="0" w:color="auto"/>
            </w:tcBorders>
            <w:shd w:val="clear" w:color="auto" w:fill="FEBCBC" w:themeFill="accent1" w:themeFillTint="33"/>
            <w:noWrap/>
            <w:vAlign w:val="bottom"/>
            <w:hideMark/>
          </w:tcPr>
          <w:p w:rsidR="00263C4D" w:rsidRPr="000A36AD" w:rsidRDefault="00263C4D" w:rsidP="00F541B2">
            <w:pPr>
              <w:rPr>
                <w:rFonts w:ascii="Times New Roman" w:eastAsia="Times New Roman" w:hAnsi="Times New Roman" w:cs="Times New Roman"/>
                <w:color w:val="000000"/>
              </w:rPr>
            </w:pPr>
            <w:r w:rsidRPr="000A36AD">
              <w:rPr>
                <w:rFonts w:ascii="Times New Roman" w:eastAsia="Times New Roman" w:hAnsi="Times New Roman" w:cs="Times New Roman"/>
                <w:color w:val="000000"/>
              </w:rPr>
              <w:t> </w:t>
            </w:r>
          </w:p>
        </w:tc>
        <w:tc>
          <w:tcPr>
            <w:tcW w:w="1084" w:type="dxa"/>
            <w:tcBorders>
              <w:top w:val="single" w:sz="4" w:space="0" w:color="auto"/>
              <w:left w:val="nil"/>
              <w:bottom w:val="nil"/>
              <w:right w:val="single" w:sz="8" w:space="0" w:color="auto"/>
            </w:tcBorders>
            <w:shd w:val="clear" w:color="auto" w:fill="FEBCBC" w:themeFill="accent1" w:themeFillTint="33"/>
            <w:noWrap/>
            <w:vAlign w:val="bottom"/>
            <w:hideMark/>
          </w:tcPr>
          <w:p w:rsidR="00263C4D" w:rsidRPr="000A36AD" w:rsidRDefault="00263C4D" w:rsidP="00F541B2">
            <w:pPr>
              <w:rPr>
                <w:rFonts w:ascii="Times New Roman" w:eastAsia="Times New Roman" w:hAnsi="Times New Roman" w:cs="Times New Roman"/>
                <w:color w:val="000000"/>
              </w:rPr>
            </w:pPr>
            <w:r w:rsidRPr="000A36AD">
              <w:rPr>
                <w:rFonts w:ascii="Times New Roman" w:eastAsia="Times New Roman" w:hAnsi="Times New Roman" w:cs="Times New Roman"/>
                <w:color w:val="000000"/>
              </w:rPr>
              <w:t> </w:t>
            </w:r>
          </w:p>
        </w:tc>
        <w:tc>
          <w:tcPr>
            <w:tcW w:w="1084" w:type="dxa"/>
            <w:tcBorders>
              <w:top w:val="single" w:sz="4" w:space="0" w:color="auto"/>
              <w:left w:val="nil"/>
              <w:bottom w:val="nil"/>
              <w:right w:val="nil"/>
            </w:tcBorders>
            <w:shd w:val="clear" w:color="auto" w:fill="FEBCBC" w:themeFill="accent1" w:themeFillTint="33"/>
            <w:noWrap/>
            <w:vAlign w:val="bottom"/>
            <w:hideMark/>
          </w:tcPr>
          <w:p w:rsidR="00263C4D" w:rsidRPr="000A36AD" w:rsidRDefault="00263C4D" w:rsidP="00F541B2">
            <w:pPr>
              <w:rPr>
                <w:rFonts w:ascii="Times New Roman" w:eastAsia="Times New Roman" w:hAnsi="Times New Roman" w:cs="Times New Roman"/>
                <w:color w:val="000000"/>
              </w:rPr>
            </w:pPr>
            <w:r w:rsidRPr="000A36AD">
              <w:rPr>
                <w:rFonts w:ascii="Times New Roman" w:eastAsia="Times New Roman" w:hAnsi="Times New Roman" w:cs="Times New Roman"/>
                <w:color w:val="000000"/>
              </w:rPr>
              <w:t> </w:t>
            </w:r>
          </w:p>
        </w:tc>
        <w:tc>
          <w:tcPr>
            <w:tcW w:w="1084" w:type="dxa"/>
            <w:tcBorders>
              <w:top w:val="single" w:sz="4" w:space="0" w:color="auto"/>
              <w:left w:val="single" w:sz="8" w:space="0" w:color="auto"/>
              <w:bottom w:val="nil"/>
              <w:right w:val="single" w:sz="8" w:space="0" w:color="auto"/>
            </w:tcBorders>
            <w:shd w:val="clear" w:color="auto" w:fill="FEBCBC" w:themeFill="accent1" w:themeFillTint="33"/>
            <w:noWrap/>
            <w:vAlign w:val="bottom"/>
            <w:hideMark/>
          </w:tcPr>
          <w:p w:rsidR="00263C4D" w:rsidRPr="000A36AD" w:rsidRDefault="00263C4D" w:rsidP="00F541B2">
            <w:pPr>
              <w:rPr>
                <w:rFonts w:ascii="Times New Roman" w:eastAsia="Times New Roman" w:hAnsi="Times New Roman" w:cs="Times New Roman"/>
                <w:color w:val="000000"/>
              </w:rPr>
            </w:pPr>
            <w:r w:rsidRPr="000A36AD">
              <w:rPr>
                <w:rFonts w:ascii="Times New Roman" w:eastAsia="Times New Roman" w:hAnsi="Times New Roman" w:cs="Times New Roman"/>
                <w:color w:val="000000"/>
              </w:rPr>
              <w:t> </w:t>
            </w:r>
          </w:p>
        </w:tc>
        <w:tc>
          <w:tcPr>
            <w:tcW w:w="1084" w:type="dxa"/>
            <w:tcBorders>
              <w:top w:val="single" w:sz="4" w:space="0" w:color="auto"/>
              <w:left w:val="nil"/>
              <w:bottom w:val="nil"/>
              <w:right w:val="nil"/>
            </w:tcBorders>
            <w:shd w:val="clear" w:color="auto" w:fill="FEBCBC" w:themeFill="accent1" w:themeFillTint="33"/>
            <w:noWrap/>
            <w:vAlign w:val="bottom"/>
            <w:hideMark/>
          </w:tcPr>
          <w:p w:rsidR="00263C4D" w:rsidRPr="000A36AD" w:rsidRDefault="00263C4D" w:rsidP="00F541B2">
            <w:pPr>
              <w:rPr>
                <w:rFonts w:ascii="Times New Roman" w:eastAsia="Times New Roman" w:hAnsi="Times New Roman" w:cs="Times New Roman"/>
                <w:color w:val="000000"/>
              </w:rPr>
            </w:pPr>
            <w:r w:rsidRPr="000A36AD">
              <w:rPr>
                <w:rFonts w:ascii="Times New Roman" w:eastAsia="Times New Roman" w:hAnsi="Times New Roman" w:cs="Times New Roman"/>
                <w:color w:val="000000"/>
              </w:rPr>
              <w:t> </w:t>
            </w:r>
          </w:p>
        </w:tc>
        <w:tc>
          <w:tcPr>
            <w:tcW w:w="1084" w:type="dxa"/>
            <w:tcBorders>
              <w:top w:val="single" w:sz="4" w:space="0" w:color="auto"/>
              <w:left w:val="single" w:sz="8" w:space="0" w:color="auto"/>
              <w:bottom w:val="nil"/>
              <w:right w:val="single" w:sz="8" w:space="0" w:color="auto"/>
            </w:tcBorders>
            <w:shd w:val="clear" w:color="auto" w:fill="FEBCBC" w:themeFill="accent1" w:themeFillTint="33"/>
            <w:noWrap/>
            <w:vAlign w:val="bottom"/>
            <w:hideMark/>
          </w:tcPr>
          <w:p w:rsidR="00263C4D" w:rsidRPr="000A36AD" w:rsidRDefault="00263C4D" w:rsidP="00F541B2">
            <w:pPr>
              <w:rPr>
                <w:rFonts w:ascii="Times New Roman" w:eastAsia="Times New Roman" w:hAnsi="Times New Roman" w:cs="Times New Roman"/>
                <w:color w:val="000000"/>
              </w:rPr>
            </w:pPr>
            <w:r w:rsidRPr="000A36AD">
              <w:rPr>
                <w:rFonts w:ascii="Times New Roman" w:eastAsia="Times New Roman" w:hAnsi="Times New Roman" w:cs="Times New Roman"/>
                <w:color w:val="000000"/>
              </w:rPr>
              <w:t> </w:t>
            </w:r>
          </w:p>
        </w:tc>
        <w:tc>
          <w:tcPr>
            <w:tcW w:w="1084" w:type="dxa"/>
            <w:tcBorders>
              <w:top w:val="single" w:sz="4" w:space="0" w:color="auto"/>
              <w:left w:val="nil"/>
              <w:bottom w:val="nil"/>
              <w:right w:val="nil"/>
            </w:tcBorders>
            <w:shd w:val="clear" w:color="auto" w:fill="FEBCBC" w:themeFill="accent1" w:themeFillTint="33"/>
            <w:noWrap/>
            <w:vAlign w:val="bottom"/>
            <w:hideMark/>
          </w:tcPr>
          <w:p w:rsidR="00263C4D" w:rsidRPr="000A36AD" w:rsidRDefault="00263C4D" w:rsidP="00F541B2">
            <w:pPr>
              <w:rPr>
                <w:rFonts w:ascii="Times New Roman" w:eastAsia="Times New Roman" w:hAnsi="Times New Roman" w:cs="Times New Roman"/>
                <w:color w:val="000000"/>
              </w:rPr>
            </w:pPr>
            <w:r w:rsidRPr="000A36AD">
              <w:rPr>
                <w:rFonts w:ascii="Times New Roman" w:eastAsia="Times New Roman" w:hAnsi="Times New Roman" w:cs="Times New Roman"/>
                <w:color w:val="000000"/>
              </w:rPr>
              <w:t> </w:t>
            </w:r>
          </w:p>
        </w:tc>
        <w:tc>
          <w:tcPr>
            <w:tcW w:w="1087" w:type="dxa"/>
            <w:tcBorders>
              <w:top w:val="single" w:sz="4" w:space="0" w:color="auto"/>
              <w:left w:val="single" w:sz="8" w:space="0" w:color="auto"/>
              <w:bottom w:val="nil"/>
              <w:right w:val="single" w:sz="4" w:space="0" w:color="auto"/>
            </w:tcBorders>
            <w:shd w:val="clear" w:color="auto" w:fill="FEBCBC" w:themeFill="accent1" w:themeFillTint="33"/>
            <w:noWrap/>
            <w:vAlign w:val="bottom"/>
            <w:hideMark/>
          </w:tcPr>
          <w:p w:rsidR="00263C4D" w:rsidRPr="000A36AD" w:rsidRDefault="00263C4D" w:rsidP="00F541B2">
            <w:pPr>
              <w:rPr>
                <w:rFonts w:ascii="Times New Roman" w:eastAsia="Times New Roman" w:hAnsi="Times New Roman" w:cs="Times New Roman"/>
                <w:color w:val="000000"/>
              </w:rPr>
            </w:pPr>
            <w:r w:rsidRPr="000A36AD">
              <w:rPr>
                <w:rFonts w:ascii="Times New Roman" w:eastAsia="Times New Roman" w:hAnsi="Times New Roman" w:cs="Times New Roman"/>
                <w:color w:val="000000"/>
              </w:rPr>
              <w:t> </w:t>
            </w:r>
          </w:p>
        </w:tc>
      </w:tr>
      <w:tr w:rsidR="00502C28" w:rsidRPr="00652D8A" w:rsidTr="00F541B2">
        <w:trPr>
          <w:trHeight w:val="19"/>
        </w:trPr>
        <w:tc>
          <w:tcPr>
            <w:tcW w:w="5006" w:type="dxa"/>
            <w:gridSpan w:val="2"/>
            <w:vMerge w:val="restart"/>
            <w:tcBorders>
              <w:top w:val="nil"/>
              <w:left w:val="single" w:sz="4" w:space="0" w:color="auto"/>
              <w:bottom w:val="single" w:sz="8" w:space="0" w:color="000000"/>
              <w:right w:val="nil"/>
            </w:tcBorders>
            <w:shd w:val="clear" w:color="auto" w:fill="FEBCBC" w:themeFill="accent1" w:themeFillTint="33"/>
            <w:hideMark/>
          </w:tcPr>
          <w:p w:rsidR="00263C4D" w:rsidRPr="000A36AD" w:rsidRDefault="00263C4D" w:rsidP="00F541B2">
            <w:pPr>
              <w:rPr>
                <w:rFonts w:ascii="Times New Roman" w:eastAsia="Times New Roman" w:hAnsi="Times New Roman" w:cs="Times New Roman"/>
                <w:color w:val="000000"/>
              </w:rPr>
            </w:pPr>
            <w:r w:rsidRPr="000A36AD">
              <w:rPr>
                <w:rFonts w:ascii="Times New Roman" w:eastAsia="Times New Roman" w:hAnsi="Times New Roman" w:cs="Times New Roman"/>
                <w:color w:val="000000"/>
              </w:rPr>
              <w:t>Jätkusuutlike ettevõtete osatähtsus; %</w:t>
            </w:r>
            <w:r w:rsidRPr="000A36AD">
              <w:rPr>
                <w:rFonts w:ascii="Times New Roman" w:eastAsia="Times New Roman" w:hAnsi="Times New Roman" w:cs="Times New Roman"/>
                <w:color w:val="000000"/>
              </w:rPr>
              <w:br/>
              <w:t>Allikas: FADN</w:t>
            </w:r>
          </w:p>
        </w:tc>
        <w:tc>
          <w:tcPr>
            <w:tcW w:w="561" w:type="dxa"/>
            <w:tcBorders>
              <w:top w:val="nil"/>
              <w:left w:val="nil"/>
              <w:bottom w:val="nil"/>
              <w:right w:val="nil"/>
            </w:tcBorders>
            <w:shd w:val="clear" w:color="auto" w:fill="FEBCBC" w:themeFill="accent1" w:themeFillTint="33"/>
            <w:noWrap/>
            <w:vAlign w:val="bottom"/>
            <w:hideMark/>
          </w:tcPr>
          <w:p w:rsidR="00263C4D" w:rsidRPr="000A36AD" w:rsidRDefault="00263C4D" w:rsidP="00F541B2">
            <w:pPr>
              <w:rPr>
                <w:rFonts w:ascii="Times New Roman" w:eastAsia="Times New Roman" w:hAnsi="Times New Roman" w:cs="Times New Roman"/>
                <w:color w:val="000000"/>
              </w:rPr>
            </w:pPr>
            <w:r w:rsidRPr="000A36AD">
              <w:rPr>
                <w:rFonts w:ascii="Times New Roman" w:eastAsia="Times New Roman" w:hAnsi="Times New Roman" w:cs="Times New Roman"/>
                <w:color w:val="000000"/>
              </w:rPr>
              <w:t> </w:t>
            </w:r>
          </w:p>
        </w:tc>
        <w:tc>
          <w:tcPr>
            <w:tcW w:w="1426" w:type="dxa"/>
            <w:tcBorders>
              <w:top w:val="nil"/>
              <w:left w:val="single" w:sz="8" w:space="0" w:color="auto"/>
              <w:bottom w:val="nil"/>
              <w:right w:val="single" w:sz="8" w:space="0" w:color="auto"/>
            </w:tcBorders>
            <w:shd w:val="clear" w:color="auto" w:fill="FEBCBC" w:themeFill="accent1" w:themeFillTint="33"/>
            <w:vAlign w:val="center"/>
            <w:hideMark/>
          </w:tcPr>
          <w:p w:rsidR="00263C4D" w:rsidRPr="000A36AD" w:rsidRDefault="00263C4D" w:rsidP="00F541B2">
            <w:pPr>
              <w:jc w:val="center"/>
              <w:rPr>
                <w:rFonts w:ascii="Times New Roman" w:eastAsia="Times New Roman" w:hAnsi="Times New Roman" w:cs="Times New Roman"/>
                <w:color w:val="000000"/>
              </w:rPr>
            </w:pPr>
            <w:r w:rsidRPr="000A36AD">
              <w:rPr>
                <w:rFonts w:ascii="Times New Roman" w:eastAsia="Times New Roman" w:hAnsi="Times New Roman" w:cs="Times New Roman"/>
                <w:color w:val="000000"/>
              </w:rPr>
              <w:t>43</w:t>
            </w:r>
          </w:p>
        </w:tc>
        <w:tc>
          <w:tcPr>
            <w:tcW w:w="1084" w:type="dxa"/>
            <w:tcBorders>
              <w:top w:val="nil"/>
              <w:left w:val="nil"/>
              <w:bottom w:val="nil"/>
              <w:right w:val="single" w:sz="8" w:space="0" w:color="auto"/>
            </w:tcBorders>
            <w:shd w:val="clear" w:color="auto" w:fill="FEBCBC" w:themeFill="accent1" w:themeFillTint="33"/>
            <w:vAlign w:val="center"/>
            <w:hideMark/>
          </w:tcPr>
          <w:p w:rsidR="00263C4D" w:rsidRPr="000A36AD" w:rsidRDefault="00263C4D" w:rsidP="00F541B2">
            <w:pPr>
              <w:jc w:val="center"/>
              <w:rPr>
                <w:rFonts w:ascii="Times New Roman" w:eastAsia="Times New Roman" w:hAnsi="Times New Roman" w:cs="Times New Roman"/>
                <w:color w:val="000000"/>
              </w:rPr>
            </w:pPr>
            <w:r w:rsidRPr="000A36AD">
              <w:rPr>
                <w:rFonts w:ascii="Times New Roman" w:eastAsia="Times New Roman" w:hAnsi="Times New Roman" w:cs="Times New Roman"/>
                <w:color w:val="000000"/>
              </w:rPr>
              <w:t>44</w:t>
            </w:r>
          </w:p>
        </w:tc>
        <w:tc>
          <w:tcPr>
            <w:tcW w:w="1084" w:type="dxa"/>
            <w:tcBorders>
              <w:top w:val="nil"/>
              <w:left w:val="nil"/>
              <w:bottom w:val="nil"/>
              <w:right w:val="single" w:sz="8" w:space="0" w:color="auto"/>
            </w:tcBorders>
            <w:shd w:val="clear" w:color="auto" w:fill="FEBCBC" w:themeFill="accent1" w:themeFillTint="33"/>
            <w:vAlign w:val="center"/>
            <w:hideMark/>
          </w:tcPr>
          <w:p w:rsidR="00263C4D" w:rsidRPr="000A36AD" w:rsidRDefault="00263C4D" w:rsidP="00F541B2">
            <w:pPr>
              <w:jc w:val="center"/>
              <w:rPr>
                <w:rFonts w:ascii="Times New Roman" w:eastAsia="Times New Roman" w:hAnsi="Times New Roman" w:cs="Times New Roman"/>
                <w:color w:val="000000"/>
              </w:rPr>
            </w:pPr>
            <w:r w:rsidRPr="000A36AD">
              <w:rPr>
                <w:rFonts w:ascii="Times New Roman" w:eastAsia="Times New Roman" w:hAnsi="Times New Roman" w:cs="Times New Roman"/>
                <w:color w:val="000000"/>
              </w:rPr>
              <w:t>46</w:t>
            </w:r>
          </w:p>
        </w:tc>
        <w:tc>
          <w:tcPr>
            <w:tcW w:w="1084" w:type="dxa"/>
            <w:tcBorders>
              <w:top w:val="nil"/>
              <w:left w:val="nil"/>
              <w:bottom w:val="nil"/>
              <w:right w:val="single" w:sz="8" w:space="0" w:color="auto"/>
            </w:tcBorders>
            <w:shd w:val="clear" w:color="auto" w:fill="FEBCBC" w:themeFill="accent1" w:themeFillTint="33"/>
            <w:vAlign w:val="center"/>
            <w:hideMark/>
          </w:tcPr>
          <w:p w:rsidR="00263C4D" w:rsidRPr="000A36AD" w:rsidRDefault="00263C4D" w:rsidP="00F541B2">
            <w:pPr>
              <w:jc w:val="center"/>
              <w:rPr>
                <w:rFonts w:ascii="Times New Roman" w:eastAsia="Times New Roman" w:hAnsi="Times New Roman" w:cs="Times New Roman"/>
                <w:color w:val="000000"/>
              </w:rPr>
            </w:pPr>
            <w:r w:rsidRPr="000A36AD">
              <w:rPr>
                <w:rFonts w:ascii="Times New Roman" w:eastAsia="Times New Roman" w:hAnsi="Times New Roman" w:cs="Times New Roman"/>
                <w:color w:val="000000"/>
              </w:rPr>
              <w:t>47</w:t>
            </w:r>
          </w:p>
        </w:tc>
        <w:tc>
          <w:tcPr>
            <w:tcW w:w="1084" w:type="dxa"/>
            <w:tcBorders>
              <w:top w:val="nil"/>
              <w:left w:val="nil"/>
              <w:bottom w:val="nil"/>
              <w:right w:val="single" w:sz="8" w:space="0" w:color="auto"/>
            </w:tcBorders>
            <w:shd w:val="clear" w:color="auto" w:fill="FEBCBC" w:themeFill="accent1" w:themeFillTint="33"/>
            <w:vAlign w:val="center"/>
            <w:hideMark/>
          </w:tcPr>
          <w:p w:rsidR="00263C4D" w:rsidRPr="000A36AD" w:rsidRDefault="00263C4D" w:rsidP="00F541B2">
            <w:pPr>
              <w:jc w:val="center"/>
              <w:rPr>
                <w:rFonts w:ascii="Times New Roman" w:eastAsia="Times New Roman" w:hAnsi="Times New Roman" w:cs="Times New Roman"/>
                <w:color w:val="000000"/>
              </w:rPr>
            </w:pPr>
            <w:r w:rsidRPr="000A36AD">
              <w:rPr>
                <w:rFonts w:ascii="Times New Roman" w:eastAsia="Times New Roman" w:hAnsi="Times New Roman" w:cs="Times New Roman"/>
                <w:color w:val="000000"/>
              </w:rPr>
              <w:t>48</w:t>
            </w:r>
          </w:p>
        </w:tc>
        <w:tc>
          <w:tcPr>
            <w:tcW w:w="1084" w:type="dxa"/>
            <w:tcBorders>
              <w:top w:val="nil"/>
              <w:left w:val="nil"/>
              <w:bottom w:val="nil"/>
              <w:right w:val="single" w:sz="8" w:space="0" w:color="auto"/>
            </w:tcBorders>
            <w:shd w:val="clear" w:color="auto" w:fill="FEBCBC" w:themeFill="accent1" w:themeFillTint="33"/>
            <w:vAlign w:val="center"/>
            <w:hideMark/>
          </w:tcPr>
          <w:p w:rsidR="00263C4D" w:rsidRPr="000A36AD" w:rsidRDefault="00263C4D" w:rsidP="00F541B2">
            <w:pPr>
              <w:jc w:val="center"/>
              <w:rPr>
                <w:rFonts w:ascii="Times New Roman" w:eastAsia="Times New Roman" w:hAnsi="Times New Roman" w:cs="Times New Roman"/>
                <w:color w:val="000000"/>
              </w:rPr>
            </w:pPr>
            <w:r w:rsidRPr="000A36AD">
              <w:rPr>
                <w:rFonts w:ascii="Times New Roman" w:eastAsia="Times New Roman" w:hAnsi="Times New Roman" w:cs="Times New Roman"/>
                <w:color w:val="000000"/>
              </w:rPr>
              <w:t>50</w:t>
            </w:r>
          </w:p>
        </w:tc>
        <w:tc>
          <w:tcPr>
            <w:tcW w:w="1084" w:type="dxa"/>
            <w:tcBorders>
              <w:top w:val="nil"/>
              <w:left w:val="nil"/>
              <w:bottom w:val="nil"/>
              <w:right w:val="single" w:sz="8" w:space="0" w:color="auto"/>
            </w:tcBorders>
            <w:shd w:val="clear" w:color="auto" w:fill="FEBCBC" w:themeFill="accent1" w:themeFillTint="33"/>
            <w:vAlign w:val="center"/>
            <w:hideMark/>
          </w:tcPr>
          <w:p w:rsidR="00263C4D" w:rsidRPr="000A36AD" w:rsidRDefault="00263C4D" w:rsidP="00F541B2">
            <w:pPr>
              <w:jc w:val="center"/>
              <w:rPr>
                <w:rFonts w:ascii="Times New Roman" w:eastAsia="Times New Roman" w:hAnsi="Times New Roman" w:cs="Times New Roman"/>
                <w:color w:val="000000"/>
              </w:rPr>
            </w:pPr>
            <w:r w:rsidRPr="000A36AD">
              <w:rPr>
                <w:rFonts w:ascii="Times New Roman" w:eastAsia="Times New Roman" w:hAnsi="Times New Roman" w:cs="Times New Roman"/>
                <w:color w:val="000000"/>
              </w:rPr>
              <w:t>51</w:t>
            </w:r>
          </w:p>
        </w:tc>
        <w:tc>
          <w:tcPr>
            <w:tcW w:w="1087" w:type="dxa"/>
            <w:tcBorders>
              <w:top w:val="nil"/>
              <w:left w:val="nil"/>
              <w:bottom w:val="nil"/>
              <w:right w:val="single" w:sz="4" w:space="0" w:color="auto"/>
            </w:tcBorders>
            <w:shd w:val="clear" w:color="auto" w:fill="FEBCBC" w:themeFill="accent1" w:themeFillTint="33"/>
            <w:vAlign w:val="center"/>
            <w:hideMark/>
          </w:tcPr>
          <w:p w:rsidR="00263C4D" w:rsidRPr="000A36AD" w:rsidRDefault="00263C4D" w:rsidP="00F541B2">
            <w:pPr>
              <w:jc w:val="center"/>
              <w:rPr>
                <w:rFonts w:ascii="Times New Roman" w:eastAsia="Times New Roman" w:hAnsi="Times New Roman" w:cs="Times New Roman"/>
                <w:color w:val="000000"/>
              </w:rPr>
            </w:pPr>
            <w:r w:rsidRPr="000A36AD">
              <w:rPr>
                <w:rFonts w:ascii="Times New Roman" w:eastAsia="Times New Roman" w:hAnsi="Times New Roman" w:cs="Times New Roman"/>
                <w:color w:val="000000"/>
              </w:rPr>
              <w:t>53</w:t>
            </w:r>
          </w:p>
        </w:tc>
      </w:tr>
      <w:tr w:rsidR="00502C28" w:rsidRPr="00652D8A" w:rsidTr="00F541B2">
        <w:trPr>
          <w:trHeight w:val="19"/>
        </w:trPr>
        <w:tc>
          <w:tcPr>
            <w:tcW w:w="5006" w:type="dxa"/>
            <w:gridSpan w:val="2"/>
            <w:vMerge/>
            <w:tcBorders>
              <w:top w:val="nil"/>
              <w:left w:val="single" w:sz="4" w:space="0" w:color="auto"/>
              <w:bottom w:val="single" w:sz="4" w:space="0" w:color="auto"/>
              <w:right w:val="nil"/>
            </w:tcBorders>
            <w:shd w:val="clear" w:color="auto" w:fill="FEBCBC" w:themeFill="accent1" w:themeFillTint="33"/>
            <w:vAlign w:val="center"/>
            <w:hideMark/>
          </w:tcPr>
          <w:p w:rsidR="00263C4D" w:rsidRPr="00652D8A" w:rsidRDefault="00263C4D" w:rsidP="00F541B2">
            <w:pPr>
              <w:rPr>
                <w:rFonts w:ascii="Times New Roman" w:eastAsia="Times New Roman" w:hAnsi="Times New Roman" w:cs="Times New Roman"/>
                <w:color w:val="000000"/>
              </w:rPr>
            </w:pPr>
          </w:p>
        </w:tc>
        <w:tc>
          <w:tcPr>
            <w:tcW w:w="561" w:type="dxa"/>
            <w:tcBorders>
              <w:top w:val="single" w:sz="4" w:space="0" w:color="FEBCBC" w:themeColor="accent1" w:themeTint="33"/>
              <w:left w:val="nil"/>
              <w:bottom w:val="single" w:sz="4" w:space="0" w:color="auto"/>
              <w:right w:val="nil"/>
            </w:tcBorders>
            <w:shd w:val="clear" w:color="auto" w:fill="FEBCBC" w:themeFill="accent1" w:themeFillTint="33"/>
            <w:vAlign w:val="center"/>
            <w:hideMark/>
          </w:tcPr>
          <w:p w:rsidR="00263C4D" w:rsidRPr="00652D8A" w:rsidRDefault="00263C4D" w:rsidP="00F541B2">
            <w:pPr>
              <w:rPr>
                <w:rFonts w:ascii="Times New Roman" w:eastAsia="Times New Roman" w:hAnsi="Times New Roman" w:cs="Times New Roman"/>
                <w:i/>
                <w:iCs/>
                <w:color w:val="000000"/>
              </w:rPr>
            </w:pPr>
            <w:r w:rsidRPr="00652D8A">
              <w:rPr>
                <w:rFonts w:ascii="Times New Roman" w:eastAsia="Times New Roman" w:hAnsi="Times New Roman" w:cs="Times New Roman"/>
                <w:i/>
                <w:iCs/>
                <w:color w:val="000000"/>
              </w:rPr>
              <w:t> </w:t>
            </w:r>
          </w:p>
        </w:tc>
        <w:tc>
          <w:tcPr>
            <w:tcW w:w="1426" w:type="dxa"/>
            <w:tcBorders>
              <w:top w:val="nil"/>
              <w:left w:val="single" w:sz="8" w:space="0" w:color="auto"/>
              <w:bottom w:val="single" w:sz="4" w:space="0" w:color="auto"/>
              <w:right w:val="single" w:sz="8" w:space="0" w:color="auto"/>
            </w:tcBorders>
            <w:shd w:val="clear" w:color="auto" w:fill="FEBCBC" w:themeFill="accent1" w:themeFillTint="33"/>
            <w:vAlign w:val="center"/>
            <w:hideMark/>
          </w:tcPr>
          <w:p w:rsidR="00263C4D" w:rsidRPr="00652D8A" w:rsidRDefault="00263C4D" w:rsidP="00F541B2">
            <w:pPr>
              <w:jc w:val="center"/>
              <w:rPr>
                <w:rFonts w:ascii="Times New Roman" w:eastAsia="Times New Roman" w:hAnsi="Times New Roman" w:cs="Times New Roman"/>
                <w:color w:val="000000"/>
              </w:rPr>
            </w:pPr>
            <w:r w:rsidRPr="00652D8A">
              <w:rPr>
                <w:rFonts w:ascii="Times New Roman" w:eastAsia="Times New Roman" w:hAnsi="Times New Roman" w:cs="Times New Roman"/>
                <w:color w:val="000000"/>
              </w:rPr>
              <w:t> </w:t>
            </w:r>
          </w:p>
        </w:tc>
        <w:tc>
          <w:tcPr>
            <w:tcW w:w="1084" w:type="dxa"/>
            <w:tcBorders>
              <w:top w:val="nil"/>
              <w:left w:val="nil"/>
              <w:bottom w:val="single" w:sz="4" w:space="0" w:color="auto"/>
              <w:right w:val="single" w:sz="8" w:space="0" w:color="auto"/>
            </w:tcBorders>
            <w:shd w:val="clear" w:color="auto" w:fill="FEBCBC" w:themeFill="accent1" w:themeFillTint="33"/>
            <w:vAlign w:val="center"/>
            <w:hideMark/>
          </w:tcPr>
          <w:p w:rsidR="00263C4D" w:rsidRPr="00652D8A" w:rsidRDefault="00263C4D" w:rsidP="00F541B2">
            <w:pPr>
              <w:jc w:val="center"/>
              <w:rPr>
                <w:rFonts w:ascii="Times New Roman" w:eastAsia="Times New Roman" w:hAnsi="Times New Roman" w:cs="Times New Roman"/>
                <w:color w:val="000000"/>
              </w:rPr>
            </w:pPr>
            <w:r w:rsidRPr="00652D8A">
              <w:rPr>
                <w:rFonts w:ascii="Times New Roman" w:eastAsia="Times New Roman" w:hAnsi="Times New Roman" w:cs="Times New Roman"/>
                <w:color w:val="000000"/>
              </w:rPr>
              <w:t> </w:t>
            </w:r>
          </w:p>
        </w:tc>
        <w:tc>
          <w:tcPr>
            <w:tcW w:w="1084" w:type="dxa"/>
            <w:tcBorders>
              <w:top w:val="nil"/>
              <w:left w:val="nil"/>
              <w:bottom w:val="single" w:sz="4" w:space="0" w:color="auto"/>
              <w:right w:val="nil"/>
            </w:tcBorders>
            <w:shd w:val="clear" w:color="auto" w:fill="FEBCBC" w:themeFill="accent1" w:themeFillTint="33"/>
            <w:vAlign w:val="center"/>
            <w:hideMark/>
          </w:tcPr>
          <w:p w:rsidR="00263C4D" w:rsidRPr="00652D8A" w:rsidRDefault="00263C4D" w:rsidP="00F541B2">
            <w:pPr>
              <w:jc w:val="center"/>
              <w:rPr>
                <w:rFonts w:ascii="Times New Roman" w:eastAsia="Times New Roman" w:hAnsi="Times New Roman" w:cs="Times New Roman"/>
                <w:color w:val="000000"/>
              </w:rPr>
            </w:pPr>
            <w:r w:rsidRPr="00652D8A">
              <w:rPr>
                <w:rFonts w:ascii="Times New Roman" w:eastAsia="Times New Roman" w:hAnsi="Times New Roman" w:cs="Times New Roman"/>
                <w:color w:val="000000"/>
              </w:rPr>
              <w:t> </w:t>
            </w:r>
          </w:p>
        </w:tc>
        <w:tc>
          <w:tcPr>
            <w:tcW w:w="1084" w:type="dxa"/>
            <w:tcBorders>
              <w:top w:val="nil"/>
              <w:left w:val="single" w:sz="8" w:space="0" w:color="auto"/>
              <w:bottom w:val="single" w:sz="4" w:space="0" w:color="auto"/>
              <w:right w:val="single" w:sz="8" w:space="0" w:color="auto"/>
            </w:tcBorders>
            <w:shd w:val="clear" w:color="auto" w:fill="FEBCBC" w:themeFill="accent1" w:themeFillTint="33"/>
            <w:vAlign w:val="center"/>
            <w:hideMark/>
          </w:tcPr>
          <w:p w:rsidR="00263C4D" w:rsidRPr="00652D8A" w:rsidRDefault="00263C4D" w:rsidP="00F541B2">
            <w:pPr>
              <w:jc w:val="center"/>
              <w:rPr>
                <w:rFonts w:ascii="Times New Roman" w:eastAsia="Times New Roman" w:hAnsi="Times New Roman" w:cs="Times New Roman"/>
                <w:color w:val="000000"/>
              </w:rPr>
            </w:pPr>
            <w:r w:rsidRPr="00652D8A">
              <w:rPr>
                <w:rFonts w:ascii="Times New Roman" w:eastAsia="Times New Roman" w:hAnsi="Times New Roman" w:cs="Times New Roman"/>
                <w:color w:val="000000"/>
              </w:rPr>
              <w:t> </w:t>
            </w:r>
          </w:p>
        </w:tc>
        <w:tc>
          <w:tcPr>
            <w:tcW w:w="1084" w:type="dxa"/>
            <w:tcBorders>
              <w:top w:val="nil"/>
              <w:left w:val="nil"/>
              <w:bottom w:val="single" w:sz="4" w:space="0" w:color="auto"/>
              <w:right w:val="nil"/>
            </w:tcBorders>
            <w:shd w:val="clear" w:color="auto" w:fill="FEBCBC" w:themeFill="accent1" w:themeFillTint="33"/>
            <w:vAlign w:val="center"/>
            <w:hideMark/>
          </w:tcPr>
          <w:p w:rsidR="00263C4D" w:rsidRPr="00652D8A" w:rsidRDefault="00263C4D" w:rsidP="00F541B2">
            <w:pPr>
              <w:jc w:val="center"/>
              <w:rPr>
                <w:rFonts w:ascii="Times New Roman" w:eastAsia="Times New Roman" w:hAnsi="Times New Roman" w:cs="Times New Roman"/>
                <w:color w:val="000000"/>
              </w:rPr>
            </w:pPr>
            <w:r w:rsidRPr="00652D8A">
              <w:rPr>
                <w:rFonts w:ascii="Times New Roman" w:eastAsia="Times New Roman" w:hAnsi="Times New Roman" w:cs="Times New Roman"/>
                <w:color w:val="000000"/>
              </w:rPr>
              <w:t> </w:t>
            </w:r>
          </w:p>
        </w:tc>
        <w:tc>
          <w:tcPr>
            <w:tcW w:w="1084" w:type="dxa"/>
            <w:tcBorders>
              <w:top w:val="nil"/>
              <w:left w:val="single" w:sz="8" w:space="0" w:color="auto"/>
              <w:bottom w:val="single" w:sz="4" w:space="0" w:color="auto"/>
              <w:right w:val="single" w:sz="8" w:space="0" w:color="auto"/>
            </w:tcBorders>
            <w:shd w:val="clear" w:color="auto" w:fill="FEBCBC" w:themeFill="accent1" w:themeFillTint="33"/>
            <w:vAlign w:val="center"/>
            <w:hideMark/>
          </w:tcPr>
          <w:p w:rsidR="00263C4D" w:rsidRPr="00652D8A" w:rsidRDefault="00263C4D" w:rsidP="00F541B2">
            <w:pPr>
              <w:jc w:val="center"/>
              <w:rPr>
                <w:rFonts w:ascii="Times New Roman" w:eastAsia="Times New Roman" w:hAnsi="Times New Roman" w:cs="Times New Roman"/>
                <w:color w:val="000000"/>
              </w:rPr>
            </w:pPr>
            <w:r w:rsidRPr="00652D8A">
              <w:rPr>
                <w:rFonts w:ascii="Times New Roman" w:eastAsia="Times New Roman" w:hAnsi="Times New Roman" w:cs="Times New Roman"/>
                <w:color w:val="000000"/>
              </w:rPr>
              <w:t> </w:t>
            </w:r>
          </w:p>
        </w:tc>
        <w:tc>
          <w:tcPr>
            <w:tcW w:w="1084" w:type="dxa"/>
            <w:tcBorders>
              <w:top w:val="nil"/>
              <w:left w:val="nil"/>
              <w:bottom w:val="single" w:sz="4" w:space="0" w:color="auto"/>
              <w:right w:val="nil"/>
            </w:tcBorders>
            <w:shd w:val="clear" w:color="auto" w:fill="FEBCBC" w:themeFill="accent1" w:themeFillTint="33"/>
            <w:vAlign w:val="center"/>
            <w:hideMark/>
          </w:tcPr>
          <w:p w:rsidR="00263C4D" w:rsidRPr="00652D8A" w:rsidRDefault="00263C4D" w:rsidP="00F541B2">
            <w:pPr>
              <w:jc w:val="center"/>
              <w:rPr>
                <w:rFonts w:ascii="Times New Roman" w:eastAsia="Times New Roman" w:hAnsi="Times New Roman" w:cs="Times New Roman"/>
                <w:color w:val="000000"/>
              </w:rPr>
            </w:pPr>
            <w:r w:rsidRPr="00652D8A">
              <w:rPr>
                <w:rFonts w:ascii="Times New Roman" w:eastAsia="Times New Roman" w:hAnsi="Times New Roman" w:cs="Times New Roman"/>
                <w:color w:val="000000"/>
              </w:rPr>
              <w:t> </w:t>
            </w:r>
          </w:p>
        </w:tc>
        <w:tc>
          <w:tcPr>
            <w:tcW w:w="1087" w:type="dxa"/>
            <w:tcBorders>
              <w:top w:val="nil"/>
              <w:left w:val="single" w:sz="8" w:space="0" w:color="auto"/>
              <w:bottom w:val="single" w:sz="4" w:space="0" w:color="auto"/>
              <w:right w:val="single" w:sz="4" w:space="0" w:color="auto"/>
            </w:tcBorders>
            <w:shd w:val="clear" w:color="auto" w:fill="FEBCBC" w:themeFill="accent1" w:themeFillTint="33"/>
            <w:vAlign w:val="center"/>
            <w:hideMark/>
          </w:tcPr>
          <w:p w:rsidR="00263C4D" w:rsidRPr="00652D8A" w:rsidRDefault="00263C4D" w:rsidP="00F541B2">
            <w:pPr>
              <w:jc w:val="center"/>
              <w:rPr>
                <w:rFonts w:ascii="Times New Roman" w:eastAsia="Times New Roman" w:hAnsi="Times New Roman" w:cs="Times New Roman"/>
                <w:color w:val="000000"/>
              </w:rPr>
            </w:pPr>
            <w:r w:rsidRPr="00652D8A">
              <w:rPr>
                <w:rFonts w:ascii="Times New Roman" w:eastAsia="Times New Roman" w:hAnsi="Times New Roman" w:cs="Times New Roman"/>
                <w:color w:val="000000"/>
              </w:rPr>
              <w:t> </w:t>
            </w:r>
          </w:p>
        </w:tc>
      </w:tr>
    </w:tbl>
    <w:p w:rsidR="00794500" w:rsidRDefault="00794500" w:rsidP="00263C4D">
      <w:pPr>
        <w:rPr>
          <w:rStyle w:val="IntenseReference"/>
          <w:rFonts w:ascii="Times New Roman" w:hAnsi="Times New Roman" w:cs="Times New Roman"/>
          <w:i w:val="0"/>
          <w:sz w:val="24"/>
          <w:szCs w:val="24"/>
        </w:rPr>
      </w:pPr>
    </w:p>
    <w:p w:rsidR="00794500" w:rsidRDefault="00794500" w:rsidP="00263C4D">
      <w:pPr>
        <w:rPr>
          <w:rStyle w:val="IntenseReference"/>
          <w:rFonts w:ascii="Times New Roman" w:hAnsi="Times New Roman" w:cs="Times New Roman"/>
          <w:i w:val="0"/>
          <w:sz w:val="24"/>
          <w:szCs w:val="24"/>
        </w:rPr>
      </w:pPr>
    </w:p>
    <w:p w:rsidR="00263C4D" w:rsidRPr="006C62BF" w:rsidRDefault="00263C4D" w:rsidP="00263C4D">
      <w:pPr>
        <w:rPr>
          <w:rStyle w:val="IntenseReference"/>
          <w:rFonts w:ascii="Times New Roman" w:hAnsi="Times New Roman" w:cs="Times New Roman"/>
          <w:i w:val="0"/>
          <w:sz w:val="24"/>
          <w:szCs w:val="24"/>
        </w:rPr>
      </w:pPr>
      <w:r w:rsidRPr="006C62BF">
        <w:rPr>
          <w:rStyle w:val="IntenseReference"/>
          <w:rFonts w:ascii="Times New Roman" w:hAnsi="Times New Roman" w:cs="Times New Roman"/>
          <w:i w:val="0"/>
          <w:sz w:val="24"/>
          <w:szCs w:val="24"/>
        </w:rPr>
        <w:t>1. Eesmärk: Teravilja tootmi</w:t>
      </w:r>
      <w:r>
        <w:rPr>
          <w:rStyle w:val="IntenseReference"/>
          <w:rFonts w:ascii="Times New Roman" w:hAnsi="Times New Roman" w:cs="Times New Roman"/>
          <w:i w:val="0"/>
          <w:sz w:val="24"/>
          <w:szCs w:val="24"/>
        </w:rPr>
        <w:t>N</w:t>
      </w:r>
      <w:r w:rsidRPr="006C62BF">
        <w:rPr>
          <w:rStyle w:val="IntenseReference"/>
          <w:rFonts w:ascii="Times New Roman" w:hAnsi="Times New Roman" w:cs="Times New Roman"/>
          <w:i w:val="0"/>
          <w:sz w:val="24"/>
          <w:szCs w:val="24"/>
        </w:rPr>
        <w:t>e suuren</w:t>
      </w:r>
      <w:r>
        <w:rPr>
          <w:rStyle w:val="IntenseReference"/>
          <w:rFonts w:ascii="Times New Roman" w:hAnsi="Times New Roman" w:cs="Times New Roman"/>
          <w:i w:val="0"/>
          <w:sz w:val="24"/>
          <w:szCs w:val="24"/>
        </w:rPr>
        <w:t>EB</w:t>
      </w:r>
      <w:r w:rsidRPr="006C62BF">
        <w:rPr>
          <w:rStyle w:val="IntenseReference"/>
          <w:rFonts w:ascii="Times New Roman" w:hAnsi="Times New Roman" w:cs="Times New Roman"/>
          <w:i w:val="0"/>
          <w:sz w:val="24"/>
          <w:szCs w:val="24"/>
        </w:rPr>
        <w:t>, keskmi</w:t>
      </w:r>
      <w:r>
        <w:rPr>
          <w:rStyle w:val="IntenseReference"/>
          <w:rFonts w:ascii="Times New Roman" w:hAnsi="Times New Roman" w:cs="Times New Roman"/>
          <w:i w:val="0"/>
          <w:sz w:val="24"/>
          <w:szCs w:val="24"/>
        </w:rPr>
        <w:t>N</w:t>
      </w:r>
      <w:r w:rsidRPr="006C62BF">
        <w:rPr>
          <w:rStyle w:val="IntenseReference"/>
          <w:rFonts w:ascii="Times New Roman" w:hAnsi="Times New Roman" w:cs="Times New Roman"/>
          <w:i w:val="0"/>
          <w:sz w:val="24"/>
          <w:szCs w:val="24"/>
        </w:rPr>
        <w:t>e saagikus tõ</w:t>
      </w:r>
      <w:r>
        <w:rPr>
          <w:rStyle w:val="IntenseReference"/>
          <w:rFonts w:ascii="Times New Roman" w:hAnsi="Times New Roman" w:cs="Times New Roman"/>
          <w:i w:val="0"/>
          <w:sz w:val="24"/>
          <w:szCs w:val="24"/>
        </w:rPr>
        <w:t>USEB</w:t>
      </w:r>
    </w:p>
    <w:p w:rsidR="00263C4D" w:rsidRPr="00267949" w:rsidRDefault="00263C4D" w:rsidP="00263C4D">
      <w:pPr>
        <w:spacing w:line="276" w:lineRule="auto"/>
        <w:jc w:val="both"/>
        <w:rPr>
          <w:rFonts w:eastAsia="Calibri"/>
          <w:b/>
        </w:rPr>
      </w:pP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4819"/>
        <w:gridCol w:w="4678"/>
        <w:gridCol w:w="3402"/>
      </w:tblGrid>
      <w:tr w:rsidR="00263C4D" w:rsidRPr="00E958CE" w:rsidTr="00F541B2">
        <w:trPr>
          <w:trHeight w:val="350"/>
        </w:trPr>
        <w:tc>
          <w:tcPr>
            <w:tcW w:w="2694" w:type="dxa"/>
            <w:tcBorders>
              <w:top w:val="single" w:sz="18" w:space="0" w:color="auto"/>
              <w:left w:val="single" w:sz="18" w:space="0" w:color="auto"/>
              <w:bottom w:val="single" w:sz="18" w:space="0" w:color="auto"/>
            </w:tcBorders>
            <w:shd w:val="clear" w:color="auto" w:fill="AD0101" w:themeFill="accent1"/>
            <w:vAlign w:val="center"/>
          </w:tcPr>
          <w:p w:rsidR="00263C4D" w:rsidRPr="00E958CE" w:rsidRDefault="00263C4D" w:rsidP="00F541B2">
            <w:pPr>
              <w:spacing w:line="276" w:lineRule="auto"/>
              <w:jc w:val="center"/>
              <w:rPr>
                <w:rFonts w:ascii="Times New Roman" w:hAnsi="Times New Roman" w:cs="Times New Roman"/>
                <w:b/>
              </w:rPr>
            </w:pPr>
            <w:r w:rsidRPr="00E958CE">
              <w:rPr>
                <w:rFonts w:ascii="Times New Roman" w:hAnsi="Times New Roman" w:cs="Times New Roman"/>
                <w:b/>
              </w:rPr>
              <w:t>Meede</w:t>
            </w:r>
          </w:p>
        </w:tc>
        <w:tc>
          <w:tcPr>
            <w:tcW w:w="4819" w:type="dxa"/>
            <w:tcBorders>
              <w:top w:val="single" w:sz="18" w:space="0" w:color="auto"/>
              <w:bottom w:val="single" w:sz="18" w:space="0" w:color="auto"/>
            </w:tcBorders>
            <w:shd w:val="clear" w:color="auto" w:fill="AD0101" w:themeFill="accent1"/>
            <w:vAlign w:val="center"/>
          </w:tcPr>
          <w:p w:rsidR="00263C4D" w:rsidRPr="00E958CE" w:rsidRDefault="00263C4D" w:rsidP="00F541B2">
            <w:pPr>
              <w:spacing w:line="276" w:lineRule="auto"/>
              <w:jc w:val="center"/>
              <w:rPr>
                <w:rFonts w:ascii="Times New Roman" w:hAnsi="Times New Roman" w:cs="Times New Roman"/>
                <w:b/>
              </w:rPr>
            </w:pPr>
            <w:r w:rsidRPr="00E958CE">
              <w:rPr>
                <w:rFonts w:ascii="Times New Roman" w:hAnsi="Times New Roman" w:cs="Times New Roman"/>
                <w:b/>
              </w:rPr>
              <w:t>Tegevus/alategevus</w:t>
            </w:r>
          </w:p>
        </w:tc>
        <w:tc>
          <w:tcPr>
            <w:tcW w:w="4678" w:type="dxa"/>
            <w:tcBorders>
              <w:top w:val="single" w:sz="18" w:space="0" w:color="auto"/>
              <w:bottom w:val="single" w:sz="18" w:space="0" w:color="auto"/>
            </w:tcBorders>
            <w:shd w:val="clear" w:color="auto" w:fill="AD0101" w:themeFill="accent1"/>
            <w:vAlign w:val="center"/>
          </w:tcPr>
          <w:p w:rsidR="00263C4D" w:rsidRPr="00E958CE" w:rsidRDefault="00263C4D" w:rsidP="00F541B2">
            <w:pPr>
              <w:spacing w:line="276" w:lineRule="auto"/>
              <w:ind w:left="-98" w:right="-118"/>
              <w:jc w:val="center"/>
              <w:rPr>
                <w:rFonts w:ascii="Times New Roman" w:hAnsi="Times New Roman" w:cs="Times New Roman"/>
                <w:b/>
              </w:rPr>
            </w:pPr>
            <w:r w:rsidRPr="00E958CE">
              <w:rPr>
                <w:rFonts w:ascii="Times New Roman" w:hAnsi="Times New Roman" w:cs="Times New Roman"/>
                <w:b/>
              </w:rPr>
              <w:t>Võimalik finantseerimise allikas</w:t>
            </w:r>
          </w:p>
        </w:tc>
        <w:tc>
          <w:tcPr>
            <w:tcW w:w="3402" w:type="dxa"/>
            <w:tcBorders>
              <w:top w:val="single" w:sz="18" w:space="0" w:color="auto"/>
              <w:bottom w:val="single" w:sz="18" w:space="0" w:color="auto"/>
              <w:right w:val="single" w:sz="18" w:space="0" w:color="auto"/>
            </w:tcBorders>
            <w:shd w:val="clear" w:color="auto" w:fill="AD0101" w:themeFill="accent1"/>
            <w:vAlign w:val="center"/>
          </w:tcPr>
          <w:p w:rsidR="00263C4D" w:rsidRPr="00E958CE" w:rsidRDefault="00263C4D" w:rsidP="00F541B2">
            <w:pPr>
              <w:spacing w:line="276" w:lineRule="auto"/>
              <w:ind w:left="-98"/>
              <w:jc w:val="center"/>
              <w:rPr>
                <w:rFonts w:ascii="Times New Roman" w:hAnsi="Times New Roman" w:cs="Times New Roman"/>
                <w:b/>
              </w:rPr>
            </w:pPr>
            <w:r w:rsidRPr="00E958CE">
              <w:rPr>
                <w:rFonts w:ascii="Times New Roman" w:hAnsi="Times New Roman" w:cs="Times New Roman"/>
                <w:b/>
              </w:rPr>
              <w:t>Sihtgrupp/täitja</w:t>
            </w:r>
          </w:p>
        </w:tc>
      </w:tr>
      <w:tr w:rsidR="00263C4D" w:rsidRPr="00E958CE" w:rsidTr="00F541B2">
        <w:tblPrEx>
          <w:tblLook w:val="04A0" w:firstRow="1" w:lastRow="0" w:firstColumn="1" w:lastColumn="0" w:noHBand="0" w:noVBand="1"/>
        </w:tblPrEx>
        <w:trPr>
          <w:trHeight w:val="612"/>
        </w:trPr>
        <w:tc>
          <w:tcPr>
            <w:tcW w:w="2694" w:type="dxa"/>
            <w:vMerge w:val="restart"/>
            <w:tcBorders>
              <w:top w:val="single" w:sz="18" w:space="0" w:color="auto"/>
              <w:left w:val="single" w:sz="18" w:space="0" w:color="auto"/>
            </w:tcBorders>
            <w:vAlign w:val="center"/>
          </w:tcPr>
          <w:p w:rsidR="00263C4D" w:rsidRPr="00E958CE" w:rsidRDefault="00263C4D" w:rsidP="00F541B2">
            <w:pPr>
              <w:spacing w:line="276" w:lineRule="auto"/>
              <w:rPr>
                <w:rFonts w:ascii="Times New Roman" w:hAnsi="Times New Roman" w:cs="Times New Roman"/>
                <w:b/>
              </w:rPr>
            </w:pPr>
            <w:r w:rsidRPr="00E958CE">
              <w:rPr>
                <w:rFonts w:ascii="Times New Roman" w:hAnsi="Times New Roman" w:cs="Times New Roman"/>
                <w:b/>
              </w:rPr>
              <w:t>1. Teadus- ja arendusasutuste ning põllumajandustootjate vahelise koostöö edendamine</w:t>
            </w:r>
          </w:p>
        </w:tc>
        <w:tc>
          <w:tcPr>
            <w:tcW w:w="4819" w:type="dxa"/>
            <w:tcBorders>
              <w:top w:val="single" w:sz="18" w:space="0" w:color="auto"/>
            </w:tcBorders>
            <w:vAlign w:val="center"/>
          </w:tcPr>
          <w:p w:rsidR="00263C4D" w:rsidRPr="00E958CE" w:rsidRDefault="00263C4D" w:rsidP="00F541B2">
            <w:pPr>
              <w:spacing w:line="276" w:lineRule="auto"/>
              <w:contextualSpacing/>
              <w:rPr>
                <w:rFonts w:ascii="Times New Roman" w:hAnsi="Times New Roman" w:cs="Times New Roman"/>
              </w:rPr>
            </w:pPr>
            <w:r w:rsidRPr="00E958CE">
              <w:rPr>
                <w:rFonts w:ascii="Times New Roman" w:hAnsi="Times New Roman" w:cs="Times New Roman"/>
              </w:rPr>
              <w:t>1.1. Uute toodete ja tehnoloogiate arendamine ning katseprojektide elluviimine</w:t>
            </w:r>
          </w:p>
        </w:tc>
        <w:tc>
          <w:tcPr>
            <w:tcW w:w="4678" w:type="dxa"/>
            <w:tcBorders>
              <w:top w:val="single" w:sz="18" w:space="0" w:color="auto"/>
            </w:tcBorders>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MAK - Koostöö (teadus ja arendustegevus)</w:t>
            </w:r>
          </w:p>
          <w:p w:rsidR="00263C4D" w:rsidRDefault="00263C4D" w:rsidP="00F541B2">
            <w:pPr>
              <w:spacing w:line="276" w:lineRule="auto"/>
              <w:jc w:val="center"/>
              <w:rPr>
                <w:rFonts w:ascii="Times New Roman" w:hAnsi="Times New Roman" w:cs="Times New Roman"/>
              </w:rPr>
            </w:pPr>
            <w:r w:rsidRPr="00E958CE">
              <w:rPr>
                <w:rFonts w:ascii="Times New Roman" w:hAnsi="Times New Roman" w:cs="Times New Roman"/>
              </w:rPr>
              <w:t>Horisont 2020</w:t>
            </w:r>
          </w:p>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Riigieelarve</w:t>
            </w:r>
          </w:p>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 xml:space="preserve">Põllumajandustootjad ja töötlejad  </w:t>
            </w:r>
          </w:p>
        </w:tc>
        <w:tc>
          <w:tcPr>
            <w:tcW w:w="3402" w:type="dxa"/>
            <w:tcBorders>
              <w:top w:val="single" w:sz="18" w:space="0" w:color="auto"/>
              <w:right w:val="single" w:sz="18" w:space="0" w:color="auto"/>
            </w:tcBorders>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PM, PRIA, teadus- ja arendusasutused,  põllumajandustootjad ja töötlejad</w:t>
            </w:r>
          </w:p>
        </w:tc>
      </w:tr>
      <w:tr w:rsidR="00263C4D" w:rsidRPr="00E958CE" w:rsidTr="00F541B2">
        <w:tblPrEx>
          <w:tblLook w:val="04A0" w:firstRow="1" w:lastRow="0" w:firstColumn="1" w:lastColumn="0" w:noHBand="0" w:noVBand="1"/>
        </w:tblPrEx>
        <w:trPr>
          <w:trHeight w:val="563"/>
        </w:trPr>
        <w:tc>
          <w:tcPr>
            <w:tcW w:w="2694" w:type="dxa"/>
            <w:vMerge/>
            <w:tcBorders>
              <w:left w:val="single" w:sz="18" w:space="0" w:color="auto"/>
            </w:tcBorders>
            <w:vAlign w:val="center"/>
          </w:tcPr>
          <w:p w:rsidR="00263C4D" w:rsidRPr="00E958CE" w:rsidRDefault="00263C4D" w:rsidP="00F541B2">
            <w:pPr>
              <w:spacing w:line="276" w:lineRule="auto"/>
              <w:rPr>
                <w:rFonts w:ascii="Times New Roman" w:hAnsi="Times New Roman" w:cs="Times New Roman"/>
                <w:b/>
              </w:rPr>
            </w:pPr>
          </w:p>
        </w:tc>
        <w:tc>
          <w:tcPr>
            <w:tcW w:w="4819" w:type="dxa"/>
            <w:vAlign w:val="center"/>
          </w:tcPr>
          <w:p w:rsidR="00263C4D" w:rsidRPr="00E958CE" w:rsidRDefault="00263C4D" w:rsidP="00525715">
            <w:pPr>
              <w:spacing w:line="276" w:lineRule="auto"/>
              <w:contextualSpacing/>
              <w:rPr>
                <w:rFonts w:ascii="Times New Roman" w:hAnsi="Times New Roman" w:cs="Times New Roman"/>
              </w:rPr>
            </w:pPr>
            <w:r w:rsidRPr="00E958CE">
              <w:rPr>
                <w:rFonts w:ascii="Times New Roman" w:hAnsi="Times New Roman" w:cs="Times New Roman"/>
              </w:rPr>
              <w:t>1.2. Tootjate,  töötl</w:t>
            </w:r>
            <w:r>
              <w:rPr>
                <w:rFonts w:ascii="Times New Roman" w:hAnsi="Times New Roman" w:cs="Times New Roman"/>
              </w:rPr>
              <w:t>ejate ja teadus-arendusasutuste</w:t>
            </w:r>
            <w:r w:rsidRPr="00E958CE">
              <w:rPr>
                <w:rFonts w:ascii="Times New Roman" w:hAnsi="Times New Roman" w:cs="Times New Roman"/>
              </w:rPr>
              <w:t xml:space="preserve"> vahelise koostöö soodustamine</w:t>
            </w:r>
          </w:p>
        </w:tc>
        <w:tc>
          <w:tcPr>
            <w:tcW w:w="4678" w:type="dxa"/>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MAK - Koostöö (EIP)</w:t>
            </w:r>
          </w:p>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Horisont 2020</w:t>
            </w:r>
          </w:p>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 xml:space="preserve"> Põllumajandustootjad ja töötlejad  </w:t>
            </w:r>
          </w:p>
        </w:tc>
        <w:tc>
          <w:tcPr>
            <w:tcW w:w="3402" w:type="dxa"/>
            <w:tcBorders>
              <w:right w:val="single" w:sz="18" w:space="0" w:color="auto"/>
            </w:tcBorders>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PM, PRIA, PMK, teadus- ja arendusasutused, koolitajad, põllumajandustootjad ja töötlejad</w:t>
            </w:r>
          </w:p>
        </w:tc>
      </w:tr>
      <w:tr w:rsidR="00263C4D" w:rsidRPr="00E958CE" w:rsidTr="00F541B2">
        <w:tblPrEx>
          <w:tblLook w:val="04A0" w:firstRow="1" w:lastRow="0" w:firstColumn="1" w:lastColumn="0" w:noHBand="0" w:noVBand="1"/>
        </w:tblPrEx>
        <w:tc>
          <w:tcPr>
            <w:tcW w:w="2694" w:type="dxa"/>
            <w:vMerge/>
            <w:tcBorders>
              <w:left w:val="single" w:sz="18" w:space="0" w:color="auto"/>
            </w:tcBorders>
            <w:vAlign w:val="center"/>
          </w:tcPr>
          <w:p w:rsidR="00263C4D" w:rsidRPr="00E958CE" w:rsidRDefault="00263C4D" w:rsidP="00F541B2">
            <w:pPr>
              <w:spacing w:line="276" w:lineRule="auto"/>
              <w:rPr>
                <w:rFonts w:ascii="Times New Roman" w:hAnsi="Times New Roman" w:cs="Times New Roman"/>
                <w:b/>
              </w:rPr>
            </w:pPr>
          </w:p>
        </w:tc>
        <w:tc>
          <w:tcPr>
            <w:tcW w:w="4819" w:type="dxa"/>
            <w:vAlign w:val="center"/>
          </w:tcPr>
          <w:p w:rsidR="00263C4D" w:rsidRPr="00E958CE" w:rsidRDefault="00263C4D" w:rsidP="00F541B2">
            <w:pPr>
              <w:spacing w:line="276" w:lineRule="auto"/>
              <w:contextualSpacing/>
              <w:rPr>
                <w:rFonts w:ascii="Times New Roman" w:hAnsi="Times New Roman" w:cs="Times New Roman"/>
              </w:rPr>
            </w:pPr>
            <w:r w:rsidRPr="00E958CE">
              <w:rPr>
                <w:rFonts w:ascii="Times New Roman" w:hAnsi="Times New Roman" w:cs="Times New Roman"/>
              </w:rPr>
              <w:t>1.3. Koolitustegevuste, teavitustegevuste, ettevõtete külastuste ja õpiringide korraldamine</w:t>
            </w:r>
          </w:p>
        </w:tc>
        <w:tc>
          <w:tcPr>
            <w:tcW w:w="4678" w:type="dxa"/>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MAK - Teadmussiire ja teavitus</w:t>
            </w:r>
          </w:p>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Riigieelarve</w:t>
            </w:r>
          </w:p>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lastRenderedPageBreak/>
              <w:t xml:space="preserve">Põllumajandustootjad ja töötlejad  </w:t>
            </w:r>
          </w:p>
        </w:tc>
        <w:tc>
          <w:tcPr>
            <w:tcW w:w="3402" w:type="dxa"/>
            <w:tcBorders>
              <w:right w:val="single" w:sz="18" w:space="0" w:color="auto"/>
            </w:tcBorders>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lastRenderedPageBreak/>
              <w:t>PM, PRIA, koolitajad</w:t>
            </w:r>
          </w:p>
        </w:tc>
      </w:tr>
      <w:tr w:rsidR="00263C4D" w:rsidRPr="00E958CE" w:rsidTr="00F541B2">
        <w:tblPrEx>
          <w:tblLook w:val="04A0" w:firstRow="1" w:lastRow="0" w:firstColumn="1" w:lastColumn="0" w:noHBand="0" w:noVBand="1"/>
        </w:tblPrEx>
        <w:trPr>
          <w:trHeight w:val="793"/>
        </w:trPr>
        <w:tc>
          <w:tcPr>
            <w:tcW w:w="2694" w:type="dxa"/>
            <w:vMerge/>
            <w:tcBorders>
              <w:left w:val="single" w:sz="18" w:space="0" w:color="auto"/>
            </w:tcBorders>
            <w:vAlign w:val="center"/>
          </w:tcPr>
          <w:p w:rsidR="00263C4D" w:rsidRPr="00E958CE" w:rsidRDefault="00263C4D" w:rsidP="00F541B2">
            <w:pPr>
              <w:spacing w:line="276" w:lineRule="auto"/>
              <w:rPr>
                <w:rFonts w:ascii="Times New Roman" w:hAnsi="Times New Roman" w:cs="Times New Roman"/>
                <w:b/>
              </w:rPr>
            </w:pPr>
          </w:p>
        </w:tc>
        <w:tc>
          <w:tcPr>
            <w:tcW w:w="4819" w:type="dxa"/>
            <w:vAlign w:val="center"/>
          </w:tcPr>
          <w:p w:rsidR="00263C4D" w:rsidRPr="00E958CE" w:rsidRDefault="00263C4D" w:rsidP="00F541B2">
            <w:pPr>
              <w:spacing w:line="276" w:lineRule="auto"/>
              <w:contextualSpacing/>
              <w:rPr>
                <w:rFonts w:ascii="Times New Roman" w:hAnsi="Times New Roman" w:cs="Times New Roman"/>
              </w:rPr>
            </w:pPr>
            <w:r w:rsidRPr="00E958CE">
              <w:rPr>
                <w:rFonts w:ascii="Times New Roman" w:hAnsi="Times New Roman" w:cs="Times New Roman"/>
              </w:rPr>
              <w:t>1.4. Uue tehnoloogia või tootmisviisi tutvustamiseks vajaliku investeeringu teostamine</w:t>
            </w:r>
          </w:p>
        </w:tc>
        <w:tc>
          <w:tcPr>
            <w:tcW w:w="4678" w:type="dxa"/>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MAK - Teadmussiire ja teavitus</w:t>
            </w:r>
          </w:p>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Riigieelarve</w:t>
            </w:r>
          </w:p>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 xml:space="preserve">Põllumajandustootjad ja töötlejad  </w:t>
            </w:r>
          </w:p>
        </w:tc>
        <w:tc>
          <w:tcPr>
            <w:tcW w:w="3402" w:type="dxa"/>
            <w:tcBorders>
              <w:right w:val="single" w:sz="18" w:space="0" w:color="auto"/>
            </w:tcBorders>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PM, PRIA, õppeasutused, teadus- ja arendusasutused</w:t>
            </w:r>
          </w:p>
        </w:tc>
      </w:tr>
      <w:tr w:rsidR="00263C4D" w:rsidRPr="00E958CE" w:rsidTr="00F541B2">
        <w:tblPrEx>
          <w:tblLook w:val="04A0" w:firstRow="1" w:lastRow="0" w:firstColumn="1" w:lastColumn="0" w:noHBand="0" w:noVBand="1"/>
        </w:tblPrEx>
        <w:trPr>
          <w:trHeight w:val="793"/>
        </w:trPr>
        <w:tc>
          <w:tcPr>
            <w:tcW w:w="2694" w:type="dxa"/>
            <w:vMerge/>
            <w:tcBorders>
              <w:left w:val="single" w:sz="18" w:space="0" w:color="auto"/>
            </w:tcBorders>
            <w:vAlign w:val="center"/>
          </w:tcPr>
          <w:p w:rsidR="00263C4D" w:rsidRPr="00E958CE" w:rsidRDefault="00263C4D" w:rsidP="00F541B2">
            <w:pPr>
              <w:spacing w:line="276" w:lineRule="auto"/>
              <w:rPr>
                <w:rFonts w:ascii="Times New Roman" w:hAnsi="Times New Roman" w:cs="Times New Roman"/>
                <w:b/>
              </w:rPr>
            </w:pPr>
          </w:p>
        </w:tc>
        <w:tc>
          <w:tcPr>
            <w:tcW w:w="4819" w:type="dxa"/>
            <w:vAlign w:val="center"/>
          </w:tcPr>
          <w:p w:rsidR="00263C4D" w:rsidRPr="00E958CE" w:rsidRDefault="00263C4D" w:rsidP="00F541B2">
            <w:pPr>
              <w:spacing w:line="276" w:lineRule="auto"/>
              <w:rPr>
                <w:rFonts w:ascii="Times New Roman" w:hAnsi="Times New Roman" w:cs="Times New Roman"/>
                <w:bCs/>
              </w:rPr>
            </w:pPr>
            <w:r>
              <w:rPr>
                <w:rFonts w:ascii="Times New Roman" w:hAnsi="Times New Roman" w:cs="Times New Roman"/>
                <w:bCs/>
              </w:rPr>
              <w:t>1</w:t>
            </w:r>
            <w:r w:rsidRPr="00E958CE">
              <w:rPr>
                <w:rFonts w:ascii="Times New Roman" w:hAnsi="Times New Roman" w:cs="Times New Roman"/>
                <w:bCs/>
              </w:rPr>
              <w:t>.5. Viljelusvõistluste ja viljeluspäevade korraldamine</w:t>
            </w:r>
          </w:p>
        </w:tc>
        <w:tc>
          <w:tcPr>
            <w:tcW w:w="4678" w:type="dxa"/>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MAK - Teadmussiire ja teavitus</w:t>
            </w:r>
          </w:p>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Põllumajandusettevõtted</w:t>
            </w:r>
          </w:p>
        </w:tc>
        <w:tc>
          <w:tcPr>
            <w:tcW w:w="3402" w:type="dxa"/>
            <w:tcBorders>
              <w:right w:val="single" w:sz="18" w:space="0" w:color="auto"/>
            </w:tcBorders>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PM, PRIA, põllumajandusettevõtted, teadus- ja arendusasutused, koolitajad, põllumajandustootjad, nõustajad ja konsulendid</w:t>
            </w:r>
          </w:p>
        </w:tc>
      </w:tr>
      <w:tr w:rsidR="00263C4D" w:rsidRPr="00E958CE" w:rsidTr="00F541B2">
        <w:tblPrEx>
          <w:tblLook w:val="04A0" w:firstRow="1" w:lastRow="0" w:firstColumn="1" w:lastColumn="0" w:noHBand="0" w:noVBand="1"/>
        </w:tblPrEx>
        <w:trPr>
          <w:cantSplit/>
        </w:trPr>
        <w:tc>
          <w:tcPr>
            <w:tcW w:w="2694" w:type="dxa"/>
            <w:vMerge w:val="restart"/>
            <w:tcBorders>
              <w:top w:val="single" w:sz="18" w:space="0" w:color="auto"/>
              <w:left w:val="single" w:sz="18" w:space="0" w:color="auto"/>
            </w:tcBorders>
            <w:shd w:val="clear" w:color="auto" w:fill="FEBCBC" w:themeFill="accent1" w:themeFillTint="33"/>
            <w:vAlign w:val="center"/>
          </w:tcPr>
          <w:p w:rsidR="00263C4D" w:rsidRPr="00E958CE" w:rsidRDefault="00263C4D" w:rsidP="00F541B2">
            <w:pPr>
              <w:spacing w:line="276" w:lineRule="auto"/>
              <w:rPr>
                <w:rFonts w:ascii="Times New Roman" w:hAnsi="Times New Roman" w:cs="Times New Roman"/>
                <w:b/>
                <w:bCs/>
              </w:rPr>
            </w:pPr>
            <w:r w:rsidRPr="00E958CE">
              <w:rPr>
                <w:rFonts w:ascii="Times New Roman" w:hAnsi="Times New Roman" w:cs="Times New Roman"/>
                <w:b/>
              </w:rPr>
              <w:t>2. Nõuandetegevuse edendamine</w:t>
            </w:r>
          </w:p>
        </w:tc>
        <w:tc>
          <w:tcPr>
            <w:tcW w:w="4819" w:type="dxa"/>
            <w:tcBorders>
              <w:top w:val="single" w:sz="18" w:space="0" w:color="auto"/>
            </w:tcBorders>
            <w:shd w:val="clear" w:color="auto" w:fill="FEBCBC" w:themeFill="accent1" w:themeFillTint="33"/>
            <w:vAlign w:val="center"/>
          </w:tcPr>
          <w:p w:rsidR="00263C4D" w:rsidRPr="00E958CE" w:rsidRDefault="00263C4D" w:rsidP="00F541B2">
            <w:pPr>
              <w:spacing w:line="276" w:lineRule="auto"/>
              <w:rPr>
                <w:rFonts w:ascii="Times New Roman" w:hAnsi="Times New Roman" w:cs="Times New Roman"/>
                <w:bCs/>
              </w:rPr>
            </w:pPr>
            <w:r w:rsidRPr="00E958CE">
              <w:rPr>
                <w:rFonts w:ascii="Times New Roman" w:hAnsi="Times New Roman" w:cs="Times New Roman"/>
                <w:bCs/>
              </w:rPr>
              <w:t xml:space="preserve">2.1. Nõuandeteenuste pakkumine ja kättesaadavuse tagamine </w:t>
            </w:r>
          </w:p>
        </w:tc>
        <w:tc>
          <w:tcPr>
            <w:tcW w:w="4678" w:type="dxa"/>
            <w:tcBorders>
              <w:top w:val="single" w:sz="18" w:space="0" w:color="auto"/>
            </w:tcBorders>
            <w:shd w:val="clear" w:color="auto" w:fill="FEBCBC" w:themeFill="accent1" w:themeFillTint="33"/>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MAK - Nõuandeteenuste toetamine</w:t>
            </w:r>
          </w:p>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 xml:space="preserve">Põllumajandustootjad ja töötlejad  </w:t>
            </w:r>
          </w:p>
        </w:tc>
        <w:tc>
          <w:tcPr>
            <w:tcW w:w="3402" w:type="dxa"/>
            <w:tcBorders>
              <w:top w:val="single" w:sz="18" w:space="0" w:color="auto"/>
              <w:right w:val="single" w:sz="18" w:space="0" w:color="auto"/>
            </w:tcBorders>
            <w:shd w:val="clear" w:color="auto" w:fill="FEBCBC" w:themeFill="accent1" w:themeFillTint="33"/>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PM, PRIA, nõuandekeskused, nõustajad, konsulendid ja MES</w:t>
            </w:r>
          </w:p>
        </w:tc>
      </w:tr>
      <w:tr w:rsidR="00263C4D" w:rsidRPr="00E958CE" w:rsidTr="00F541B2">
        <w:tblPrEx>
          <w:tblLook w:val="04A0" w:firstRow="1" w:lastRow="0" w:firstColumn="1" w:lastColumn="0" w:noHBand="0" w:noVBand="1"/>
        </w:tblPrEx>
        <w:trPr>
          <w:cantSplit/>
        </w:trPr>
        <w:tc>
          <w:tcPr>
            <w:tcW w:w="2694" w:type="dxa"/>
            <w:vMerge/>
            <w:tcBorders>
              <w:left w:val="single" w:sz="18" w:space="0" w:color="auto"/>
            </w:tcBorders>
            <w:shd w:val="clear" w:color="auto" w:fill="FEBCBC" w:themeFill="accent1" w:themeFillTint="33"/>
            <w:vAlign w:val="center"/>
          </w:tcPr>
          <w:p w:rsidR="00263C4D" w:rsidRPr="00E958CE" w:rsidRDefault="00263C4D" w:rsidP="00F541B2">
            <w:pPr>
              <w:spacing w:line="276" w:lineRule="auto"/>
              <w:rPr>
                <w:rFonts w:ascii="Times New Roman" w:hAnsi="Times New Roman" w:cs="Times New Roman"/>
                <w:b/>
                <w:bCs/>
              </w:rPr>
            </w:pPr>
          </w:p>
        </w:tc>
        <w:tc>
          <w:tcPr>
            <w:tcW w:w="4819" w:type="dxa"/>
            <w:tcBorders>
              <w:bottom w:val="single" w:sz="4" w:space="0" w:color="auto"/>
            </w:tcBorders>
            <w:shd w:val="clear" w:color="auto" w:fill="FEBCBC" w:themeFill="accent1" w:themeFillTint="33"/>
            <w:vAlign w:val="center"/>
          </w:tcPr>
          <w:p w:rsidR="00263C4D" w:rsidRPr="00E958CE" w:rsidRDefault="00263C4D" w:rsidP="00F541B2">
            <w:pPr>
              <w:spacing w:line="276" w:lineRule="auto"/>
              <w:contextualSpacing/>
              <w:rPr>
                <w:rFonts w:ascii="Times New Roman" w:hAnsi="Times New Roman" w:cs="Times New Roman"/>
                <w:bCs/>
              </w:rPr>
            </w:pPr>
            <w:r w:rsidRPr="00E958CE">
              <w:rPr>
                <w:rFonts w:ascii="Times New Roman" w:hAnsi="Times New Roman" w:cs="Times New Roman"/>
                <w:bCs/>
              </w:rPr>
              <w:t>2.2. Nõustajate ja konsulentide koolitamine, et tagada nende asja- ja ajakohased teadmised ning kõrge nõuandeteenuste kvaliteet</w:t>
            </w:r>
          </w:p>
        </w:tc>
        <w:tc>
          <w:tcPr>
            <w:tcW w:w="4678" w:type="dxa"/>
            <w:tcBorders>
              <w:bottom w:val="single" w:sz="4" w:space="0" w:color="auto"/>
            </w:tcBorders>
            <w:shd w:val="clear" w:color="auto" w:fill="FEBCBC" w:themeFill="accent1" w:themeFillTint="33"/>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MAK - Nõuandetegevuse toetamine</w:t>
            </w:r>
          </w:p>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Nõustajad ja konsulendid</w:t>
            </w:r>
          </w:p>
        </w:tc>
        <w:tc>
          <w:tcPr>
            <w:tcW w:w="3402" w:type="dxa"/>
            <w:tcBorders>
              <w:bottom w:val="single" w:sz="4" w:space="0" w:color="auto"/>
              <w:right w:val="single" w:sz="18" w:space="0" w:color="auto"/>
            </w:tcBorders>
            <w:shd w:val="clear" w:color="auto" w:fill="FEBCBC" w:themeFill="accent1" w:themeFillTint="33"/>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eastAsia="Calibri" w:hAnsi="Times New Roman" w:cs="Times New Roman"/>
              </w:rPr>
              <w:t>PM, PRIA, õppeasutused, koolitajad ja MES</w:t>
            </w:r>
          </w:p>
        </w:tc>
      </w:tr>
      <w:tr w:rsidR="00263C4D" w:rsidRPr="00E958CE" w:rsidTr="00F541B2">
        <w:tblPrEx>
          <w:tblLook w:val="04A0" w:firstRow="1" w:lastRow="0" w:firstColumn="1" w:lastColumn="0" w:noHBand="0" w:noVBand="1"/>
        </w:tblPrEx>
        <w:trPr>
          <w:cantSplit/>
        </w:trPr>
        <w:tc>
          <w:tcPr>
            <w:tcW w:w="2694" w:type="dxa"/>
            <w:vMerge/>
            <w:tcBorders>
              <w:left w:val="single" w:sz="18" w:space="0" w:color="auto"/>
            </w:tcBorders>
            <w:shd w:val="clear" w:color="auto" w:fill="FEBCBC" w:themeFill="accent1" w:themeFillTint="33"/>
            <w:vAlign w:val="center"/>
          </w:tcPr>
          <w:p w:rsidR="00263C4D" w:rsidRPr="00E958CE" w:rsidRDefault="00263C4D" w:rsidP="00F541B2">
            <w:pPr>
              <w:spacing w:line="276" w:lineRule="auto"/>
              <w:rPr>
                <w:rFonts w:ascii="Times New Roman" w:hAnsi="Times New Roman" w:cs="Times New Roman"/>
                <w:b/>
                <w:bCs/>
              </w:rPr>
            </w:pPr>
          </w:p>
        </w:tc>
        <w:tc>
          <w:tcPr>
            <w:tcW w:w="4819" w:type="dxa"/>
            <w:tcBorders>
              <w:bottom w:val="single" w:sz="4" w:space="0" w:color="auto"/>
            </w:tcBorders>
            <w:shd w:val="clear" w:color="auto" w:fill="FEBCBC" w:themeFill="accent1" w:themeFillTint="33"/>
            <w:vAlign w:val="center"/>
          </w:tcPr>
          <w:p w:rsidR="00263C4D" w:rsidRPr="00E958CE" w:rsidRDefault="00263C4D" w:rsidP="00F541B2">
            <w:pPr>
              <w:spacing w:line="276" w:lineRule="auto"/>
              <w:rPr>
                <w:rFonts w:ascii="Times New Roman" w:hAnsi="Times New Roman" w:cs="Times New Roman"/>
                <w:bCs/>
              </w:rPr>
            </w:pPr>
            <w:r w:rsidRPr="00E958CE">
              <w:rPr>
                <w:rFonts w:ascii="Times New Roman" w:hAnsi="Times New Roman" w:cs="Times New Roman"/>
                <w:bCs/>
              </w:rPr>
              <w:t>2.3. Nõustajate ja konsulentide kutsekvalifikatsiooni arendamine</w:t>
            </w:r>
          </w:p>
        </w:tc>
        <w:tc>
          <w:tcPr>
            <w:tcW w:w="4678" w:type="dxa"/>
            <w:tcBorders>
              <w:bottom w:val="single" w:sz="4" w:space="0" w:color="auto"/>
            </w:tcBorders>
            <w:shd w:val="clear" w:color="auto" w:fill="FEBCBC" w:themeFill="accent1" w:themeFillTint="33"/>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Riigieelarve</w:t>
            </w:r>
          </w:p>
          <w:p w:rsidR="00263C4D" w:rsidRPr="00E958CE" w:rsidRDefault="00263C4D" w:rsidP="00F541B2">
            <w:pPr>
              <w:spacing w:line="276" w:lineRule="auto"/>
              <w:jc w:val="center"/>
              <w:rPr>
                <w:rFonts w:ascii="Times New Roman" w:hAnsi="Times New Roman" w:cs="Times New Roman"/>
              </w:rPr>
            </w:pPr>
            <w:r>
              <w:rPr>
                <w:rFonts w:ascii="Times New Roman" w:hAnsi="Times New Roman" w:cs="Times New Roman"/>
              </w:rPr>
              <w:t>Nõustajad ja konsulendid</w:t>
            </w:r>
          </w:p>
        </w:tc>
        <w:tc>
          <w:tcPr>
            <w:tcW w:w="3402" w:type="dxa"/>
            <w:tcBorders>
              <w:bottom w:val="single" w:sz="4" w:space="0" w:color="auto"/>
              <w:right w:val="single" w:sz="18" w:space="0" w:color="auto"/>
            </w:tcBorders>
            <w:shd w:val="clear" w:color="auto" w:fill="FEBCBC" w:themeFill="accent1" w:themeFillTint="33"/>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PM, MES, nõuandekeskused, nõustajad, konsulendid ja Maamajanduse Infokeskus</w:t>
            </w:r>
          </w:p>
        </w:tc>
      </w:tr>
      <w:tr w:rsidR="00263C4D" w:rsidRPr="00E958CE" w:rsidTr="00F541B2">
        <w:tblPrEx>
          <w:tblLook w:val="04A0" w:firstRow="1" w:lastRow="0" w:firstColumn="1" w:lastColumn="0" w:noHBand="0" w:noVBand="1"/>
        </w:tblPrEx>
        <w:trPr>
          <w:cantSplit/>
        </w:trPr>
        <w:tc>
          <w:tcPr>
            <w:tcW w:w="2694" w:type="dxa"/>
            <w:vMerge/>
            <w:tcBorders>
              <w:left w:val="single" w:sz="18" w:space="0" w:color="auto"/>
            </w:tcBorders>
            <w:shd w:val="clear" w:color="auto" w:fill="FEBCBC" w:themeFill="accent1" w:themeFillTint="33"/>
            <w:vAlign w:val="center"/>
          </w:tcPr>
          <w:p w:rsidR="00263C4D" w:rsidRPr="00E958CE" w:rsidRDefault="00263C4D" w:rsidP="00F541B2">
            <w:pPr>
              <w:spacing w:line="276" w:lineRule="auto"/>
              <w:rPr>
                <w:rFonts w:ascii="Times New Roman" w:hAnsi="Times New Roman" w:cs="Times New Roman"/>
                <w:b/>
                <w:bCs/>
              </w:rPr>
            </w:pPr>
          </w:p>
        </w:tc>
        <w:tc>
          <w:tcPr>
            <w:tcW w:w="4819" w:type="dxa"/>
            <w:tcBorders>
              <w:bottom w:val="single" w:sz="4" w:space="0" w:color="auto"/>
            </w:tcBorders>
            <w:shd w:val="clear" w:color="auto" w:fill="FEBCBC" w:themeFill="accent1" w:themeFillTint="33"/>
            <w:vAlign w:val="center"/>
          </w:tcPr>
          <w:p w:rsidR="00263C4D" w:rsidRPr="00E958CE" w:rsidRDefault="00263C4D" w:rsidP="00F541B2">
            <w:pPr>
              <w:spacing w:line="276" w:lineRule="auto"/>
              <w:rPr>
                <w:rFonts w:ascii="Times New Roman" w:hAnsi="Times New Roman" w:cs="Times New Roman"/>
                <w:bCs/>
              </w:rPr>
            </w:pPr>
            <w:r w:rsidRPr="00E958CE">
              <w:rPr>
                <w:rFonts w:ascii="Times New Roman" w:hAnsi="Times New Roman" w:cs="Times New Roman"/>
                <w:bCs/>
              </w:rPr>
              <w:t>2.4. Nõustajate ja konsulentide õpireisidel osalemine</w:t>
            </w:r>
          </w:p>
        </w:tc>
        <w:tc>
          <w:tcPr>
            <w:tcW w:w="4678" w:type="dxa"/>
            <w:tcBorders>
              <w:bottom w:val="single" w:sz="4" w:space="0" w:color="auto"/>
            </w:tcBorders>
            <w:shd w:val="clear" w:color="auto" w:fill="FEBCBC" w:themeFill="accent1" w:themeFillTint="33"/>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MAK - Nõuandeteenuste toetamine (nõustajate koolitus)</w:t>
            </w:r>
          </w:p>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Riigieelarve</w:t>
            </w:r>
          </w:p>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Nõustajad ja konsulendid</w:t>
            </w:r>
          </w:p>
        </w:tc>
        <w:tc>
          <w:tcPr>
            <w:tcW w:w="3402" w:type="dxa"/>
            <w:tcBorders>
              <w:bottom w:val="single" w:sz="4" w:space="0" w:color="auto"/>
              <w:right w:val="single" w:sz="18" w:space="0" w:color="auto"/>
            </w:tcBorders>
            <w:shd w:val="clear" w:color="auto" w:fill="FEBCBC" w:themeFill="accent1" w:themeFillTint="33"/>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PM, MES, nõuandekeskused, nõustajad ja konsulendid</w:t>
            </w:r>
          </w:p>
        </w:tc>
      </w:tr>
      <w:tr w:rsidR="00263C4D" w:rsidRPr="00E958CE" w:rsidTr="00F541B2">
        <w:tblPrEx>
          <w:tblLook w:val="04A0" w:firstRow="1" w:lastRow="0" w:firstColumn="1" w:lastColumn="0" w:noHBand="0" w:noVBand="1"/>
        </w:tblPrEx>
        <w:trPr>
          <w:cantSplit/>
          <w:trHeight w:val="1081"/>
        </w:trPr>
        <w:tc>
          <w:tcPr>
            <w:tcW w:w="2694" w:type="dxa"/>
            <w:tcBorders>
              <w:top w:val="single" w:sz="18" w:space="0" w:color="auto"/>
              <w:left w:val="single" w:sz="18" w:space="0" w:color="auto"/>
              <w:bottom w:val="single" w:sz="18" w:space="0" w:color="auto"/>
            </w:tcBorders>
            <w:vAlign w:val="center"/>
          </w:tcPr>
          <w:p w:rsidR="00263C4D" w:rsidRPr="00E958CE" w:rsidRDefault="00263C4D" w:rsidP="00F541B2">
            <w:pPr>
              <w:spacing w:line="276" w:lineRule="auto"/>
              <w:rPr>
                <w:rFonts w:ascii="Times New Roman" w:hAnsi="Times New Roman" w:cs="Times New Roman"/>
                <w:b/>
                <w:bCs/>
              </w:rPr>
            </w:pPr>
            <w:r w:rsidRPr="00E958CE">
              <w:rPr>
                <w:rFonts w:ascii="Times New Roman" w:hAnsi="Times New Roman" w:cs="Times New Roman"/>
                <w:b/>
              </w:rPr>
              <w:t>3. Eesti oludesse sobivate sortide ja liikide valik/aretamine ning propageerimine</w:t>
            </w:r>
          </w:p>
        </w:tc>
        <w:tc>
          <w:tcPr>
            <w:tcW w:w="12899" w:type="dxa"/>
            <w:gridSpan w:val="3"/>
            <w:tcBorders>
              <w:top w:val="single" w:sz="18" w:space="0" w:color="auto"/>
              <w:bottom w:val="single" w:sz="18" w:space="0" w:color="auto"/>
              <w:right w:val="single" w:sz="12" w:space="0" w:color="auto"/>
            </w:tcBorders>
            <w:vAlign w:val="center"/>
          </w:tcPr>
          <w:p w:rsidR="00263C4D" w:rsidRPr="00E958CE" w:rsidRDefault="00263C4D" w:rsidP="00F541B2">
            <w:pPr>
              <w:spacing w:line="276" w:lineRule="auto"/>
              <w:contextualSpacing/>
              <w:rPr>
                <w:rFonts w:ascii="Times New Roman" w:hAnsi="Times New Roman" w:cs="Times New Roman"/>
                <w:bCs/>
              </w:rPr>
            </w:pPr>
            <w:r w:rsidRPr="00E958CE">
              <w:rPr>
                <w:rFonts w:ascii="Times New Roman" w:hAnsi="Times New Roman" w:cs="Times New Roman"/>
              </w:rPr>
              <w:t>Eesti oludesse sobivate sortide ja sordilise mitmekesisuse tagamist (s</w:t>
            </w:r>
            <w:r>
              <w:rPr>
                <w:rFonts w:ascii="Times New Roman" w:hAnsi="Times New Roman" w:cs="Times New Roman"/>
              </w:rPr>
              <w:t>eal</w:t>
            </w:r>
            <w:r w:rsidRPr="00E958CE">
              <w:rPr>
                <w:rFonts w:ascii="Times New Roman" w:hAnsi="Times New Roman" w:cs="Times New Roman"/>
              </w:rPr>
              <w:t>h</w:t>
            </w:r>
            <w:r>
              <w:rPr>
                <w:rFonts w:ascii="Times New Roman" w:hAnsi="Times New Roman" w:cs="Times New Roman"/>
              </w:rPr>
              <w:t>ulgas</w:t>
            </w:r>
            <w:r w:rsidRPr="00E958CE">
              <w:rPr>
                <w:rFonts w:ascii="Times New Roman" w:hAnsi="Times New Roman" w:cs="Times New Roman"/>
              </w:rPr>
              <w:t xml:space="preserve"> uute sortide valikut ja aretamist) toetavad Eesti seemnemajanduse arengukava aastateks 2014–2020 </w:t>
            </w:r>
            <w:r>
              <w:rPr>
                <w:rFonts w:ascii="Times New Roman" w:hAnsi="Times New Roman" w:cs="Times New Roman"/>
              </w:rPr>
              <w:t xml:space="preserve">ja MAK </w:t>
            </w:r>
            <w:r w:rsidRPr="00E958CE">
              <w:rPr>
                <w:rFonts w:ascii="Times New Roman" w:hAnsi="Times New Roman" w:cs="Times New Roman"/>
              </w:rPr>
              <w:t>planeeritavate  meetmete rakendamine:</w:t>
            </w:r>
          </w:p>
          <w:p w:rsidR="00263C4D" w:rsidRPr="00E958CE" w:rsidRDefault="00263C4D" w:rsidP="00263C4D">
            <w:pPr>
              <w:pStyle w:val="ListParagraph"/>
              <w:numPr>
                <w:ilvl w:val="0"/>
                <w:numId w:val="29"/>
              </w:numPr>
              <w:spacing w:line="276" w:lineRule="auto"/>
              <w:ind w:left="459" w:hanging="284"/>
              <w:rPr>
                <w:rFonts w:ascii="Times New Roman" w:hAnsi="Times New Roman" w:cs="Times New Roman"/>
              </w:rPr>
            </w:pPr>
            <w:r w:rsidRPr="00E958CE">
              <w:rPr>
                <w:rFonts w:ascii="Times New Roman" w:hAnsi="Times New Roman" w:cs="Times New Roman"/>
              </w:rPr>
              <w:t>Põllumajandustootjatele suunatud sordilehe ja sordikatsetuse kohase teave kättesaadavuse lihtsustamine;</w:t>
            </w:r>
          </w:p>
          <w:p w:rsidR="00263C4D" w:rsidRPr="00E958CE" w:rsidRDefault="00263C4D" w:rsidP="00263C4D">
            <w:pPr>
              <w:pStyle w:val="ListParagraph"/>
              <w:numPr>
                <w:ilvl w:val="0"/>
                <w:numId w:val="29"/>
              </w:numPr>
              <w:spacing w:line="276" w:lineRule="auto"/>
              <w:ind w:left="459" w:hanging="284"/>
              <w:rPr>
                <w:rFonts w:ascii="Times New Roman" w:hAnsi="Times New Roman" w:cs="Times New Roman"/>
              </w:rPr>
            </w:pPr>
            <w:r w:rsidRPr="00E958CE">
              <w:rPr>
                <w:rFonts w:ascii="Times New Roman" w:hAnsi="Times New Roman" w:cs="Times New Roman"/>
              </w:rPr>
              <w:t>Olemasolevate sortide majandusviljelusväärtuste hindamine ja Eesti oludesse sobivate uute sortide analüüsimine ning vastavat</w:t>
            </w:r>
            <w:r w:rsidR="000D3D5C">
              <w:rPr>
                <w:rFonts w:ascii="Times New Roman" w:hAnsi="Times New Roman" w:cs="Times New Roman"/>
              </w:rPr>
              <w:t>e tulemuste ja teabe avaldamine</w:t>
            </w:r>
          </w:p>
        </w:tc>
      </w:tr>
      <w:tr w:rsidR="00263C4D" w:rsidRPr="00E958CE" w:rsidTr="00F541B2">
        <w:tblPrEx>
          <w:tblLook w:val="04A0" w:firstRow="1" w:lastRow="0" w:firstColumn="1" w:lastColumn="0" w:noHBand="0" w:noVBand="1"/>
        </w:tblPrEx>
        <w:trPr>
          <w:cantSplit/>
          <w:trHeight w:val="1524"/>
        </w:trPr>
        <w:tc>
          <w:tcPr>
            <w:tcW w:w="2694" w:type="dxa"/>
            <w:tcBorders>
              <w:top w:val="single" w:sz="18" w:space="0" w:color="auto"/>
              <w:left w:val="single" w:sz="18" w:space="0" w:color="auto"/>
            </w:tcBorders>
            <w:shd w:val="clear" w:color="auto" w:fill="FEBCBC" w:themeFill="accent1" w:themeFillTint="33"/>
            <w:vAlign w:val="center"/>
          </w:tcPr>
          <w:p w:rsidR="00263C4D" w:rsidRPr="00E958CE" w:rsidRDefault="00263C4D" w:rsidP="00F541B2">
            <w:pPr>
              <w:spacing w:line="276" w:lineRule="auto"/>
              <w:rPr>
                <w:rFonts w:ascii="Times New Roman" w:hAnsi="Times New Roman" w:cs="Times New Roman"/>
                <w:b/>
                <w:bCs/>
              </w:rPr>
            </w:pPr>
            <w:r w:rsidRPr="00E958CE">
              <w:rPr>
                <w:rFonts w:ascii="Times New Roman" w:hAnsi="Times New Roman" w:cs="Times New Roman"/>
                <w:b/>
              </w:rPr>
              <w:t>4. Sertifitseeritud seemne kasutamise suurendamine,</w:t>
            </w:r>
            <w:r w:rsidRPr="00E958CE">
              <w:rPr>
                <w:rFonts w:ascii="Times New Roman" w:hAnsi="Times New Roman" w:cs="Times New Roman"/>
              </w:rPr>
              <w:t xml:space="preserve"> </w:t>
            </w:r>
            <w:r w:rsidRPr="00E958CE">
              <w:rPr>
                <w:rFonts w:ascii="Times New Roman" w:hAnsi="Times New Roman" w:cs="Times New Roman"/>
                <w:b/>
              </w:rPr>
              <w:t>sordilise mitmekesisuse tagamine  ja teadlikkuse tõstmine</w:t>
            </w:r>
          </w:p>
        </w:tc>
        <w:tc>
          <w:tcPr>
            <w:tcW w:w="12899" w:type="dxa"/>
            <w:gridSpan w:val="3"/>
            <w:tcBorders>
              <w:top w:val="single" w:sz="18" w:space="0" w:color="auto"/>
              <w:right w:val="single" w:sz="12" w:space="0" w:color="auto"/>
            </w:tcBorders>
            <w:shd w:val="clear" w:color="auto" w:fill="FEBCBC" w:themeFill="accent1" w:themeFillTint="33"/>
            <w:vAlign w:val="center"/>
          </w:tcPr>
          <w:p w:rsidR="00263C4D" w:rsidRPr="00E958CE" w:rsidRDefault="00263C4D" w:rsidP="00F541B2">
            <w:pPr>
              <w:spacing w:line="276" w:lineRule="auto"/>
              <w:rPr>
                <w:rFonts w:ascii="Times New Roman" w:hAnsi="Times New Roman" w:cs="Times New Roman"/>
              </w:rPr>
            </w:pPr>
            <w:r w:rsidRPr="00E958CE">
              <w:rPr>
                <w:rFonts w:ascii="Times New Roman" w:hAnsi="Times New Roman" w:cs="Times New Roman"/>
              </w:rPr>
              <w:t>Sertifitseeritud seemne kasutamise suurendamist ja sordilise mitmekesisuse tagamist (sh uute sortide valikut) toetavad Eesti seemnemajanduse arengukava aastateks 2014–2020</w:t>
            </w:r>
            <w:r>
              <w:rPr>
                <w:rFonts w:ascii="Times New Roman" w:hAnsi="Times New Roman" w:cs="Times New Roman"/>
              </w:rPr>
              <w:t xml:space="preserve"> ja MAK </w:t>
            </w:r>
            <w:r w:rsidRPr="00E958CE">
              <w:rPr>
                <w:rFonts w:ascii="Times New Roman" w:hAnsi="Times New Roman" w:cs="Times New Roman"/>
              </w:rPr>
              <w:t>planeeritavate  meetmete rakendamine:</w:t>
            </w:r>
          </w:p>
          <w:p w:rsidR="00263C4D" w:rsidRPr="00E958CE" w:rsidRDefault="00263C4D" w:rsidP="00263C4D">
            <w:pPr>
              <w:pStyle w:val="ListParagraph"/>
              <w:numPr>
                <w:ilvl w:val="0"/>
                <w:numId w:val="30"/>
              </w:numPr>
              <w:spacing w:line="276" w:lineRule="auto"/>
              <w:ind w:left="459" w:hanging="284"/>
              <w:rPr>
                <w:rFonts w:ascii="Times New Roman" w:hAnsi="Times New Roman" w:cs="Times New Roman"/>
              </w:rPr>
            </w:pPr>
            <w:r w:rsidRPr="00E958CE">
              <w:rPr>
                <w:rFonts w:ascii="Times New Roman" w:hAnsi="Times New Roman" w:cs="Times New Roman"/>
              </w:rPr>
              <w:t>Turu- ja sotsiaalmajanduslikud uuringud sertifitseeritud seemne kasutamise ja tootmiseks kasutatava sordilise mitmekesisuse kohta;</w:t>
            </w:r>
          </w:p>
          <w:p w:rsidR="00263C4D" w:rsidRPr="00E958CE" w:rsidRDefault="00263C4D" w:rsidP="00263C4D">
            <w:pPr>
              <w:pStyle w:val="ListParagraph"/>
              <w:numPr>
                <w:ilvl w:val="0"/>
                <w:numId w:val="30"/>
              </w:numPr>
              <w:spacing w:line="276" w:lineRule="auto"/>
              <w:ind w:left="459" w:hanging="284"/>
              <w:rPr>
                <w:rFonts w:ascii="Times New Roman" w:hAnsi="Times New Roman" w:cs="Times New Roman"/>
              </w:rPr>
            </w:pPr>
            <w:r>
              <w:rPr>
                <w:rFonts w:ascii="Times New Roman" w:hAnsi="Times New Roman" w:cs="Times New Roman"/>
              </w:rPr>
              <w:t>K</w:t>
            </w:r>
            <w:r w:rsidRPr="00E958CE">
              <w:rPr>
                <w:rFonts w:ascii="Times New Roman" w:hAnsi="Times New Roman" w:cs="Times New Roman"/>
              </w:rPr>
              <w:t>oolituste võimaldamine seemnekasvatusele spetsialiseerun</w:t>
            </w:r>
            <w:r>
              <w:rPr>
                <w:rFonts w:ascii="Times New Roman" w:hAnsi="Times New Roman" w:cs="Times New Roman"/>
              </w:rPr>
              <w:t>ud põllumajandustootjale</w:t>
            </w:r>
            <w:r w:rsidRPr="00E958CE">
              <w:rPr>
                <w:rFonts w:ascii="Times New Roman" w:hAnsi="Times New Roman" w:cs="Times New Roman"/>
              </w:rPr>
              <w:t>;</w:t>
            </w:r>
          </w:p>
          <w:p w:rsidR="00263C4D" w:rsidRPr="00C52A0B" w:rsidRDefault="00263C4D" w:rsidP="00263C4D">
            <w:pPr>
              <w:pStyle w:val="ListParagraph"/>
              <w:numPr>
                <w:ilvl w:val="0"/>
                <w:numId w:val="30"/>
              </w:numPr>
              <w:spacing w:line="276" w:lineRule="auto"/>
              <w:ind w:left="459" w:hanging="284"/>
              <w:rPr>
                <w:rFonts w:ascii="Times New Roman" w:hAnsi="Times New Roman" w:cs="Times New Roman"/>
                <w:bCs/>
              </w:rPr>
            </w:pPr>
            <w:r w:rsidRPr="00E958CE">
              <w:rPr>
                <w:rFonts w:ascii="Times New Roman" w:hAnsi="Times New Roman" w:cs="Times New Roman"/>
              </w:rPr>
              <w:t>Taimekasvatuse valdkonna nõustajate koolitus seemnetootmise ja sordivaliku spetsiifikast</w:t>
            </w:r>
            <w:r>
              <w:rPr>
                <w:rFonts w:ascii="Times New Roman" w:hAnsi="Times New Roman" w:cs="Times New Roman"/>
              </w:rPr>
              <w:t>;</w:t>
            </w:r>
          </w:p>
          <w:p w:rsidR="00263C4D" w:rsidRPr="00783589" w:rsidRDefault="00263C4D" w:rsidP="00263C4D">
            <w:pPr>
              <w:pStyle w:val="ListParagraph"/>
              <w:numPr>
                <w:ilvl w:val="0"/>
                <w:numId w:val="30"/>
              </w:numPr>
              <w:spacing w:line="276" w:lineRule="auto"/>
              <w:ind w:left="459" w:hanging="284"/>
              <w:rPr>
                <w:rFonts w:ascii="Times New Roman" w:hAnsi="Times New Roman" w:cs="Times New Roman"/>
                <w:bCs/>
              </w:rPr>
            </w:pPr>
            <w:r w:rsidRPr="00783589">
              <w:rPr>
                <w:rFonts w:ascii="Times New Roman" w:hAnsi="Times New Roman" w:cs="Times New Roman"/>
                <w:szCs w:val="24"/>
              </w:rPr>
              <w:t xml:space="preserve">Eesti seemnetootmise maine tõstmiseks ja selle </w:t>
            </w:r>
            <w:proofErr w:type="spellStart"/>
            <w:r w:rsidRPr="00783589">
              <w:rPr>
                <w:rFonts w:ascii="Times New Roman" w:hAnsi="Times New Roman" w:cs="Times New Roman"/>
                <w:szCs w:val="24"/>
              </w:rPr>
              <w:t>promomiseks</w:t>
            </w:r>
            <w:proofErr w:type="spellEnd"/>
            <w:r w:rsidRPr="00783589">
              <w:rPr>
                <w:rFonts w:ascii="Times New Roman" w:hAnsi="Times New Roman" w:cs="Times New Roman"/>
                <w:szCs w:val="24"/>
              </w:rPr>
              <w:t xml:space="preserve"> rahvusvahelise kongressi (ISTA 2016) korraldamine</w:t>
            </w:r>
            <w:r w:rsidR="00616C7D">
              <w:rPr>
                <w:rFonts w:ascii="Times New Roman" w:hAnsi="Times New Roman" w:cs="Times New Roman"/>
                <w:szCs w:val="24"/>
              </w:rPr>
              <w:t>;</w:t>
            </w:r>
          </w:p>
          <w:p w:rsidR="00263C4D" w:rsidRPr="00783589" w:rsidRDefault="00263C4D" w:rsidP="00263C4D">
            <w:pPr>
              <w:pStyle w:val="ListParagraph"/>
              <w:numPr>
                <w:ilvl w:val="0"/>
                <w:numId w:val="30"/>
              </w:numPr>
              <w:spacing w:line="276" w:lineRule="auto"/>
              <w:ind w:left="459" w:hanging="284"/>
              <w:rPr>
                <w:rFonts w:ascii="Times New Roman" w:hAnsi="Times New Roman" w:cs="Times New Roman"/>
                <w:bCs/>
              </w:rPr>
            </w:pPr>
            <w:r w:rsidRPr="00783589">
              <w:rPr>
                <w:rFonts w:ascii="Times New Roman" w:hAnsi="Times New Roman" w:cs="Times New Roman"/>
                <w:szCs w:val="24"/>
              </w:rPr>
              <w:t>Taimekasvatuse valdkonna nõustajate koolitus seemne tootmise spetsiifikast ning sertifitseerimise ja kontrollimise teemal</w:t>
            </w:r>
            <w:r w:rsidR="00616C7D">
              <w:rPr>
                <w:rFonts w:ascii="Times New Roman" w:hAnsi="Times New Roman" w:cs="Times New Roman"/>
                <w:szCs w:val="24"/>
              </w:rPr>
              <w:t>;</w:t>
            </w:r>
          </w:p>
          <w:p w:rsidR="00263C4D" w:rsidRPr="00F10FBA" w:rsidRDefault="00263C4D" w:rsidP="00263C4D">
            <w:pPr>
              <w:pStyle w:val="ListParagraph"/>
              <w:numPr>
                <w:ilvl w:val="0"/>
                <w:numId w:val="30"/>
              </w:numPr>
              <w:spacing w:line="276" w:lineRule="auto"/>
              <w:ind w:left="459" w:hanging="284"/>
              <w:rPr>
                <w:rFonts w:ascii="Times New Roman" w:hAnsi="Times New Roman" w:cs="Times New Roman"/>
                <w:bCs/>
              </w:rPr>
            </w:pPr>
            <w:r w:rsidRPr="00F10FBA">
              <w:rPr>
                <w:rFonts w:ascii="Times New Roman" w:hAnsi="Times New Roman" w:cs="Times New Roman"/>
                <w:bCs/>
              </w:rPr>
              <w:t>Sertifitseeritud seemne kasutamist toetab MAK keskkonnasõbraliku majandamise toetuse nõue kasutada sertifitseeritud teraviljaseemet külvisena 15%-l teraviljade külvipinnast ning mahepõllumajanduse toetuse 20% suurem toetusmäär sertifitseeritud maheseemnega külvatud teravilja kasvatamisel</w:t>
            </w:r>
          </w:p>
        </w:tc>
      </w:tr>
      <w:tr w:rsidR="00263C4D" w:rsidRPr="00E958CE" w:rsidTr="00F541B2">
        <w:tblPrEx>
          <w:tblLook w:val="04A0" w:firstRow="1" w:lastRow="0" w:firstColumn="1" w:lastColumn="0" w:noHBand="0" w:noVBand="1"/>
        </w:tblPrEx>
        <w:trPr>
          <w:cantSplit/>
        </w:trPr>
        <w:tc>
          <w:tcPr>
            <w:tcW w:w="2694" w:type="dxa"/>
            <w:vMerge w:val="restart"/>
            <w:tcBorders>
              <w:top w:val="single" w:sz="18" w:space="0" w:color="auto"/>
              <w:left w:val="single" w:sz="18" w:space="0" w:color="auto"/>
            </w:tcBorders>
            <w:vAlign w:val="center"/>
          </w:tcPr>
          <w:p w:rsidR="00263C4D" w:rsidRPr="00E958CE" w:rsidRDefault="00263C4D" w:rsidP="00F541B2">
            <w:pPr>
              <w:spacing w:line="276" w:lineRule="auto"/>
              <w:rPr>
                <w:rFonts w:ascii="Times New Roman" w:hAnsi="Times New Roman" w:cs="Times New Roman"/>
                <w:b/>
                <w:bCs/>
              </w:rPr>
            </w:pPr>
            <w:r w:rsidRPr="00E958CE">
              <w:rPr>
                <w:rFonts w:ascii="Times New Roman" w:hAnsi="Times New Roman" w:cs="Times New Roman"/>
                <w:b/>
              </w:rPr>
              <w:lastRenderedPageBreak/>
              <w:t>5. Tootmise efektiivsuse tõstmiseks investeeringute tegemine</w:t>
            </w:r>
          </w:p>
        </w:tc>
        <w:tc>
          <w:tcPr>
            <w:tcW w:w="4819" w:type="dxa"/>
            <w:tcBorders>
              <w:top w:val="single" w:sz="18" w:space="0" w:color="auto"/>
            </w:tcBorders>
            <w:vAlign w:val="center"/>
          </w:tcPr>
          <w:p w:rsidR="00263C4D" w:rsidRPr="00E958CE" w:rsidRDefault="00263C4D" w:rsidP="00F541B2">
            <w:pPr>
              <w:spacing w:line="276" w:lineRule="auto"/>
              <w:contextualSpacing/>
              <w:rPr>
                <w:rFonts w:ascii="Times New Roman" w:hAnsi="Times New Roman" w:cs="Times New Roman"/>
                <w:bCs/>
              </w:rPr>
            </w:pPr>
            <w:r w:rsidRPr="00E958CE">
              <w:rPr>
                <w:rFonts w:ascii="Times New Roman" w:hAnsi="Times New Roman" w:cs="Times New Roman"/>
                <w:bCs/>
              </w:rPr>
              <w:t>5.1. Teraviljatootmise efektiivsuse tõstmiseks vajalike hoonete ja rajatiste ning nendesse paigaldavate seadmete soetamine</w:t>
            </w:r>
          </w:p>
        </w:tc>
        <w:tc>
          <w:tcPr>
            <w:tcW w:w="4678" w:type="dxa"/>
            <w:tcBorders>
              <w:top w:val="single" w:sz="18" w:space="0" w:color="auto"/>
            </w:tcBorders>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MAK - Investeeringud põllumajandusettevõtte tulemuslikkuse parandamiseks</w:t>
            </w:r>
          </w:p>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Põllumajandustootjad</w:t>
            </w:r>
          </w:p>
        </w:tc>
        <w:tc>
          <w:tcPr>
            <w:tcW w:w="3402" w:type="dxa"/>
            <w:tcBorders>
              <w:top w:val="single" w:sz="18" w:space="0" w:color="auto"/>
              <w:right w:val="single" w:sz="12" w:space="0" w:color="auto"/>
            </w:tcBorders>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PM, PRIA, põllumajandustootjad ja ühistud</w:t>
            </w:r>
          </w:p>
        </w:tc>
      </w:tr>
      <w:tr w:rsidR="00263C4D" w:rsidRPr="00E958CE" w:rsidTr="00F541B2">
        <w:tblPrEx>
          <w:tblLook w:val="04A0" w:firstRow="1" w:lastRow="0" w:firstColumn="1" w:lastColumn="0" w:noHBand="0" w:noVBand="1"/>
        </w:tblPrEx>
        <w:trPr>
          <w:cantSplit/>
          <w:trHeight w:val="539"/>
        </w:trPr>
        <w:tc>
          <w:tcPr>
            <w:tcW w:w="2694" w:type="dxa"/>
            <w:vMerge/>
            <w:tcBorders>
              <w:left w:val="single" w:sz="18" w:space="0" w:color="auto"/>
            </w:tcBorders>
            <w:vAlign w:val="center"/>
          </w:tcPr>
          <w:p w:rsidR="00263C4D" w:rsidRPr="00E958CE" w:rsidRDefault="00263C4D" w:rsidP="00F541B2">
            <w:pPr>
              <w:spacing w:line="276" w:lineRule="auto"/>
              <w:rPr>
                <w:rFonts w:ascii="Times New Roman" w:hAnsi="Times New Roman" w:cs="Times New Roman"/>
                <w:b/>
                <w:bCs/>
              </w:rPr>
            </w:pPr>
          </w:p>
        </w:tc>
        <w:tc>
          <w:tcPr>
            <w:tcW w:w="4819" w:type="dxa"/>
            <w:vAlign w:val="center"/>
          </w:tcPr>
          <w:p w:rsidR="00263C4D" w:rsidRPr="00E958CE" w:rsidRDefault="00263C4D" w:rsidP="00F541B2">
            <w:pPr>
              <w:spacing w:line="276" w:lineRule="auto"/>
              <w:rPr>
                <w:rFonts w:ascii="Times New Roman" w:hAnsi="Times New Roman" w:cs="Times New Roman"/>
                <w:bCs/>
              </w:rPr>
            </w:pPr>
            <w:r w:rsidRPr="00E958CE">
              <w:rPr>
                <w:rFonts w:ascii="Times New Roman" w:hAnsi="Times New Roman" w:cs="Times New Roman"/>
                <w:bCs/>
              </w:rPr>
              <w:t>5.2. Teraviljatootmises vajalike masinate ja seadmete soetamine</w:t>
            </w:r>
          </w:p>
        </w:tc>
        <w:tc>
          <w:tcPr>
            <w:tcW w:w="4678" w:type="dxa"/>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MAK - Investeeringud põllumajandusettevõtte tulemuslikkuse parandamiseks</w:t>
            </w:r>
          </w:p>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Põllumajandustootjad</w:t>
            </w:r>
          </w:p>
        </w:tc>
        <w:tc>
          <w:tcPr>
            <w:tcW w:w="3402" w:type="dxa"/>
            <w:tcBorders>
              <w:right w:val="single" w:sz="18" w:space="0" w:color="auto"/>
            </w:tcBorders>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PM, PRIA, põllumajandustootjad ja ühistud</w:t>
            </w:r>
          </w:p>
        </w:tc>
      </w:tr>
      <w:tr w:rsidR="00263C4D" w:rsidRPr="00E958CE" w:rsidTr="00F541B2">
        <w:tblPrEx>
          <w:tblLook w:val="04A0" w:firstRow="1" w:lastRow="0" w:firstColumn="1" w:lastColumn="0" w:noHBand="0" w:noVBand="1"/>
        </w:tblPrEx>
        <w:trPr>
          <w:cantSplit/>
        </w:trPr>
        <w:tc>
          <w:tcPr>
            <w:tcW w:w="2694" w:type="dxa"/>
            <w:vMerge w:val="restart"/>
            <w:tcBorders>
              <w:top w:val="single" w:sz="18" w:space="0" w:color="auto"/>
              <w:left w:val="single" w:sz="18" w:space="0" w:color="auto"/>
            </w:tcBorders>
            <w:shd w:val="clear" w:color="auto" w:fill="FEBCBC" w:themeFill="accent1" w:themeFillTint="33"/>
            <w:vAlign w:val="center"/>
          </w:tcPr>
          <w:p w:rsidR="00263C4D" w:rsidRPr="00E958CE" w:rsidRDefault="00263C4D" w:rsidP="00F541B2">
            <w:pPr>
              <w:spacing w:line="276" w:lineRule="auto"/>
              <w:rPr>
                <w:rFonts w:ascii="Times New Roman" w:hAnsi="Times New Roman" w:cs="Times New Roman"/>
                <w:b/>
                <w:bCs/>
              </w:rPr>
            </w:pPr>
            <w:r w:rsidRPr="00E958CE">
              <w:rPr>
                <w:rFonts w:ascii="Times New Roman" w:hAnsi="Times New Roman" w:cs="Times New Roman"/>
                <w:b/>
              </w:rPr>
              <w:t>6. Maaparandussüsteemide korrastamine</w:t>
            </w:r>
          </w:p>
        </w:tc>
        <w:tc>
          <w:tcPr>
            <w:tcW w:w="4819" w:type="dxa"/>
            <w:tcBorders>
              <w:top w:val="single" w:sz="18" w:space="0" w:color="auto"/>
            </w:tcBorders>
            <w:shd w:val="clear" w:color="auto" w:fill="FEBCBC" w:themeFill="accent1" w:themeFillTint="33"/>
            <w:vAlign w:val="center"/>
          </w:tcPr>
          <w:p w:rsidR="00263C4D" w:rsidRPr="00E958CE" w:rsidRDefault="00263C4D" w:rsidP="00F541B2">
            <w:pPr>
              <w:spacing w:line="276" w:lineRule="auto"/>
              <w:contextualSpacing/>
              <w:rPr>
                <w:rFonts w:ascii="Times New Roman" w:hAnsi="Times New Roman" w:cs="Times New Roman"/>
                <w:bCs/>
              </w:rPr>
            </w:pPr>
            <w:r w:rsidRPr="00E958CE">
              <w:rPr>
                <w:rFonts w:ascii="Times New Roman" w:hAnsi="Times New Roman" w:cs="Times New Roman"/>
                <w:bCs/>
              </w:rPr>
              <w:t xml:space="preserve">6.1. </w:t>
            </w:r>
            <w:r w:rsidRPr="00E958CE">
              <w:rPr>
                <w:rFonts w:ascii="Times New Roman" w:hAnsi="Times New Roman" w:cs="Times New Roman"/>
              </w:rPr>
              <w:t>Maaparandussüsteemide korrastamine ja ehitamine</w:t>
            </w:r>
          </w:p>
        </w:tc>
        <w:tc>
          <w:tcPr>
            <w:tcW w:w="4678" w:type="dxa"/>
            <w:tcBorders>
              <w:top w:val="single" w:sz="18" w:space="0" w:color="auto"/>
            </w:tcBorders>
            <w:shd w:val="clear" w:color="auto" w:fill="FEBCBC" w:themeFill="accent1" w:themeFillTint="33"/>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 xml:space="preserve">MAK - Põllu- ja metsamajanduse </w:t>
            </w:r>
            <w:proofErr w:type="spellStart"/>
            <w:r w:rsidRPr="00E958CE">
              <w:rPr>
                <w:rFonts w:ascii="Times New Roman" w:hAnsi="Times New Roman" w:cs="Times New Roman"/>
              </w:rPr>
              <w:t>taristu</w:t>
            </w:r>
            <w:proofErr w:type="spellEnd"/>
            <w:r w:rsidRPr="00E958CE">
              <w:rPr>
                <w:rFonts w:ascii="Times New Roman" w:hAnsi="Times New Roman" w:cs="Times New Roman"/>
              </w:rPr>
              <w:t xml:space="preserve"> arendamine ja hoid</w:t>
            </w:r>
          </w:p>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Põllumajandustootjad</w:t>
            </w:r>
          </w:p>
        </w:tc>
        <w:tc>
          <w:tcPr>
            <w:tcW w:w="3402" w:type="dxa"/>
            <w:tcBorders>
              <w:top w:val="single" w:sz="18" w:space="0" w:color="auto"/>
              <w:right w:val="single" w:sz="18" w:space="0" w:color="auto"/>
            </w:tcBorders>
            <w:shd w:val="clear" w:color="auto" w:fill="FEBCBC" w:themeFill="accent1" w:themeFillTint="33"/>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PM, PRIA, põllumajandustootjad, PMA</w:t>
            </w:r>
          </w:p>
        </w:tc>
      </w:tr>
      <w:tr w:rsidR="00263C4D" w:rsidRPr="00E958CE" w:rsidTr="00F541B2">
        <w:tblPrEx>
          <w:tblLook w:val="04A0" w:firstRow="1" w:lastRow="0" w:firstColumn="1" w:lastColumn="0" w:noHBand="0" w:noVBand="1"/>
        </w:tblPrEx>
        <w:trPr>
          <w:cantSplit/>
          <w:trHeight w:val="612"/>
        </w:trPr>
        <w:tc>
          <w:tcPr>
            <w:tcW w:w="2694" w:type="dxa"/>
            <w:vMerge/>
            <w:tcBorders>
              <w:left w:val="single" w:sz="18" w:space="0" w:color="auto"/>
            </w:tcBorders>
            <w:shd w:val="clear" w:color="auto" w:fill="FEBCBC" w:themeFill="accent1" w:themeFillTint="33"/>
            <w:vAlign w:val="center"/>
          </w:tcPr>
          <w:p w:rsidR="00263C4D" w:rsidRPr="00E958CE" w:rsidRDefault="00263C4D" w:rsidP="00F541B2">
            <w:pPr>
              <w:spacing w:line="276" w:lineRule="auto"/>
              <w:rPr>
                <w:rFonts w:ascii="Times New Roman" w:hAnsi="Times New Roman" w:cs="Times New Roman"/>
                <w:b/>
                <w:bCs/>
              </w:rPr>
            </w:pPr>
          </w:p>
        </w:tc>
        <w:tc>
          <w:tcPr>
            <w:tcW w:w="4819" w:type="dxa"/>
            <w:shd w:val="clear" w:color="auto" w:fill="FEBCBC" w:themeFill="accent1" w:themeFillTint="33"/>
            <w:vAlign w:val="center"/>
          </w:tcPr>
          <w:p w:rsidR="00263C4D" w:rsidRPr="00E958CE" w:rsidRDefault="00263C4D" w:rsidP="00F541B2">
            <w:pPr>
              <w:spacing w:line="276" w:lineRule="auto"/>
              <w:rPr>
                <w:rFonts w:ascii="Times New Roman" w:hAnsi="Times New Roman" w:cs="Times New Roman"/>
                <w:bCs/>
              </w:rPr>
            </w:pPr>
            <w:r w:rsidRPr="00E958CE">
              <w:rPr>
                <w:rFonts w:ascii="Times New Roman" w:hAnsi="Times New Roman" w:cs="Times New Roman"/>
                <w:bCs/>
              </w:rPr>
              <w:t>6.2. Riigi poolt korrashoitavad ühiseesvoolude hoid</w:t>
            </w:r>
          </w:p>
        </w:tc>
        <w:tc>
          <w:tcPr>
            <w:tcW w:w="4678" w:type="dxa"/>
            <w:shd w:val="clear" w:color="auto" w:fill="FEBCBC" w:themeFill="accent1" w:themeFillTint="33"/>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Riigieelarve</w:t>
            </w:r>
          </w:p>
        </w:tc>
        <w:tc>
          <w:tcPr>
            <w:tcW w:w="3402" w:type="dxa"/>
            <w:tcBorders>
              <w:right w:val="single" w:sz="18" w:space="0" w:color="auto"/>
            </w:tcBorders>
            <w:shd w:val="clear" w:color="auto" w:fill="FEBCBC" w:themeFill="accent1" w:themeFillTint="33"/>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PM, PMA</w:t>
            </w:r>
          </w:p>
        </w:tc>
      </w:tr>
      <w:tr w:rsidR="00263C4D" w:rsidRPr="00E958CE" w:rsidTr="00F541B2">
        <w:tblPrEx>
          <w:tblLook w:val="04A0" w:firstRow="1" w:lastRow="0" w:firstColumn="1" w:lastColumn="0" w:noHBand="0" w:noVBand="1"/>
        </w:tblPrEx>
        <w:trPr>
          <w:cantSplit/>
        </w:trPr>
        <w:tc>
          <w:tcPr>
            <w:tcW w:w="2694" w:type="dxa"/>
            <w:vMerge w:val="restart"/>
            <w:tcBorders>
              <w:top w:val="single" w:sz="18" w:space="0" w:color="auto"/>
              <w:left w:val="single" w:sz="18" w:space="0" w:color="auto"/>
            </w:tcBorders>
            <w:vAlign w:val="center"/>
          </w:tcPr>
          <w:p w:rsidR="00263C4D" w:rsidRPr="00E958CE" w:rsidRDefault="00263C4D" w:rsidP="00F541B2">
            <w:pPr>
              <w:spacing w:line="276" w:lineRule="auto"/>
              <w:rPr>
                <w:rFonts w:ascii="Times New Roman" w:hAnsi="Times New Roman" w:cs="Times New Roman"/>
                <w:b/>
                <w:bCs/>
              </w:rPr>
            </w:pPr>
            <w:r w:rsidRPr="00E958CE">
              <w:rPr>
                <w:rFonts w:ascii="Times New Roman" w:hAnsi="Times New Roman" w:cs="Times New Roman"/>
                <w:b/>
              </w:rPr>
              <w:t>7. Ühistegevuse soodustamine</w:t>
            </w:r>
          </w:p>
        </w:tc>
        <w:tc>
          <w:tcPr>
            <w:tcW w:w="4819" w:type="dxa"/>
            <w:tcBorders>
              <w:top w:val="single" w:sz="18" w:space="0" w:color="auto"/>
            </w:tcBorders>
            <w:vAlign w:val="center"/>
          </w:tcPr>
          <w:p w:rsidR="00263C4D" w:rsidRPr="00E958CE" w:rsidRDefault="00263C4D" w:rsidP="00F541B2">
            <w:pPr>
              <w:spacing w:line="276" w:lineRule="auto"/>
              <w:contextualSpacing/>
              <w:rPr>
                <w:rFonts w:ascii="Times New Roman" w:hAnsi="Times New Roman" w:cs="Times New Roman"/>
                <w:bCs/>
              </w:rPr>
            </w:pPr>
            <w:r w:rsidRPr="00E958CE">
              <w:rPr>
                <w:rFonts w:ascii="Times New Roman" w:hAnsi="Times New Roman" w:cs="Times New Roman"/>
                <w:bCs/>
              </w:rPr>
              <w:t>7.1. Tootjate omavahelise koostöö arendamine</w:t>
            </w:r>
          </w:p>
        </w:tc>
        <w:tc>
          <w:tcPr>
            <w:tcW w:w="4678" w:type="dxa"/>
            <w:tcBorders>
              <w:top w:val="single" w:sz="18" w:space="0" w:color="auto"/>
            </w:tcBorders>
            <w:vAlign w:val="center"/>
          </w:tcPr>
          <w:p w:rsidR="00263C4D" w:rsidRDefault="00263C4D" w:rsidP="00F541B2">
            <w:pPr>
              <w:spacing w:line="276" w:lineRule="auto"/>
              <w:jc w:val="center"/>
              <w:rPr>
                <w:rFonts w:ascii="Times New Roman" w:hAnsi="Times New Roman" w:cs="Times New Roman"/>
              </w:rPr>
            </w:pPr>
            <w:r w:rsidRPr="00E958CE">
              <w:rPr>
                <w:rFonts w:ascii="Times New Roman" w:hAnsi="Times New Roman" w:cs="Times New Roman"/>
              </w:rPr>
              <w:t>MAK - Tootjarühmade loomine</w:t>
            </w:r>
          </w:p>
          <w:p w:rsidR="00263C4D" w:rsidRPr="00E958CE" w:rsidRDefault="00263C4D" w:rsidP="00F541B2">
            <w:pPr>
              <w:spacing w:line="276" w:lineRule="auto"/>
              <w:jc w:val="center"/>
              <w:rPr>
                <w:rFonts w:ascii="Times New Roman" w:hAnsi="Times New Roman" w:cs="Times New Roman"/>
              </w:rPr>
            </w:pPr>
            <w:r>
              <w:rPr>
                <w:rFonts w:ascii="Times New Roman" w:hAnsi="Times New Roman" w:cs="Times New Roman"/>
              </w:rPr>
              <w:t xml:space="preserve">MAK - </w:t>
            </w:r>
            <w:r w:rsidRPr="00AF4172">
              <w:rPr>
                <w:rFonts w:ascii="Times New Roman" w:hAnsi="Times New Roman" w:cs="Times New Roman"/>
              </w:rPr>
              <w:t>Teadmussiire ja teavitus</w:t>
            </w:r>
          </w:p>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 xml:space="preserve">Põllumajandustootjad </w:t>
            </w:r>
          </w:p>
        </w:tc>
        <w:tc>
          <w:tcPr>
            <w:tcW w:w="3402" w:type="dxa"/>
            <w:tcBorders>
              <w:top w:val="single" w:sz="18" w:space="0" w:color="auto"/>
              <w:right w:val="single" w:sz="18" w:space="0" w:color="auto"/>
            </w:tcBorders>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PM, PRIA, põllumajandustootjad, ühistud, nõustajad ja konsulendid</w:t>
            </w:r>
          </w:p>
        </w:tc>
      </w:tr>
      <w:tr w:rsidR="00263C4D" w:rsidRPr="00E958CE" w:rsidTr="00F541B2">
        <w:tblPrEx>
          <w:tblLook w:val="04A0" w:firstRow="1" w:lastRow="0" w:firstColumn="1" w:lastColumn="0" w:noHBand="0" w:noVBand="1"/>
        </w:tblPrEx>
        <w:trPr>
          <w:cantSplit/>
          <w:trHeight w:val="539"/>
        </w:trPr>
        <w:tc>
          <w:tcPr>
            <w:tcW w:w="2694" w:type="dxa"/>
            <w:vMerge/>
            <w:tcBorders>
              <w:left w:val="single" w:sz="18" w:space="0" w:color="auto"/>
            </w:tcBorders>
            <w:vAlign w:val="center"/>
          </w:tcPr>
          <w:p w:rsidR="00263C4D" w:rsidRPr="00E958CE" w:rsidRDefault="00263C4D" w:rsidP="00F541B2">
            <w:pPr>
              <w:spacing w:line="276" w:lineRule="auto"/>
              <w:rPr>
                <w:rFonts w:ascii="Times New Roman" w:hAnsi="Times New Roman" w:cs="Times New Roman"/>
                <w:b/>
                <w:bCs/>
              </w:rPr>
            </w:pPr>
          </w:p>
        </w:tc>
        <w:tc>
          <w:tcPr>
            <w:tcW w:w="4819" w:type="dxa"/>
            <w:vAlign w:val="center"/>
          </w:tcPr>
          <w:p w:rsidR="00263C4D" w:rsidRPr="00E958CE" w:rsidRDefault="00263C4D" w:rsidP="00F541B2">
            <w:pPr>
              <w:spacing w:line="276" w:lineRule="auto"/>
              <w:rPr>
                <w:rFonts w:ascii="Times New Roman" w:hAnsi="Times New Roman" w:cs="Times New Roman"/>
                <w:bCs/>
              </w:rPr>
            </w:pPr>
            <w:r w:rsidRPr="00E958CE">
              <w:rPr>
                <w:rFonts w:ascii="Times New Roman" w:hAnsi="Times New Roman" w:cs="Times New Roman"/>
                <w:bCs/>
              </w:rPr>
              <w:t xml:space="preserve">7.2. Koostöö arendamine läbi lühikese tarneahela </w:t>
            </w:r>
          </w:p>
        </w:tc>
        <w:tc>
          <w:tcPr>
            <w:tcW w:w="4678" w:type="dxa"/>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MAK - Koostöömeede (tarneahelad)</w:t>
            </w:r>
          </w:p>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Põllumajandustootjad ja töötlejad</w:t>
            </w:r>
          </w:p>
        </w:tc>
        <w:tc>
          <w:tcPr>
            <w:tcW w:w="3402" w:type="dxa"/>
            <w:tcBorders>
              <w:right w:val="single" w:sz="18" w:space="0" w:color="auto"/>
            </w:tcBorders>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PM, PRIA, VTA, töötlejad, põllumajandustootjad, ühistud, nõustajad ja konsulendid</w:t>
            </w:r>
          </w:p>
        </w:tc>
      </w:tr>
      <w:tr w:rsidR="00263C4D" w:rsidRPr="00E958CE" w:rsidTr="00F541B2">
        <w:tblPrEx>
          <w:tblLook w:val="04A0" w:firstRow="1" w:lastRow="0" w:firstColumn="1" w:lastColumn="0" w:noHBand="0" w:noVBand="1"/>
        </w:tblPrEx>
        <w:trPr>
          <w:cantSplit/>
          <w:trHeight w:val="622"/>
        </w:trPr>
        <w:tc>
          <w:tcPr>
            <w:tcW w:w="2694" w:type="dxa"/>
            <w:vMerge w:val="restart"/>
            <w:tcBorders>
              <w:top w:val="single" w:sz="18" w:space="0" w:color="auto"/>
              <w:left w:val="single" w:sz="18" w:space="0" w:color="auto"/>
            </w:tcBorders>
            <w:shd w:val="clear" w:color="auto" w:fill="FEBCBC" w:themeFill="accent1" w:themeFillTint="33"/>
            <w:vAlign w:val="center"/>
          </w:tcPr>
          <w:p w:rsidR="00263C4D" w:rsidRPr="00E958CE" w:rsidRDefault="00263C4D" w:rsidP="00F541B2">
            <w:pPr>
              <w:spacing w:line="276" w:lineRule="auto"/>
              <w:rPr>
                <w:rFonts w:ascii="Times New Roman" w:hAnsi="Times New Roman" w:cs="Times New Roman"/>
                <w:b/>
                <w:bCs/>
              </w:rPr>
            </w:pPr>
            <w:r w:rsidRPr="00E958CE">
              <w:rPr>
                <w:rFonts w:ascii="Times New Roman" w:hAnsi="Times New Roman" w:cs="Times New Roman"/>
                <w:b/>
              </w:rPr>
              <w:t xml:space="preserve">8. Innovaatiliste lahenduste rakendamine </w:t>
            </w:r>
          </w:p>
        </w:tc>
        <w:tc>
          <w:tcPr>
            <w:tcW w:w="4819" w:type="dxa"/>
            <w:tcBorders>
              <w:top w:val="single" w:sz="18" w:space="0" w:color="auto"/>
            </w:tcBorders>
            <w:shd w:val="clear" w:color="auto" w:fill="FEBCBC" w:themeFill="accent1" w:themeFillTint="33"/>
            <w:vAlign w:val="center"/>
          </w:tcPr>
          <w:p w:rsidR="00263C4D" w:rsidRPr="00E958CE" w:rsidRDefault="00263C4D" w:rsidP="00F541B2">
            <w:pPr>
              <w:spacing w:line="276" w:lineRule="auto"/>
              <w:contextualSpacing/>
              <w:rPr>
                <w:rFonts w:ascii="Times New Roman" w:hAnsi="Times New Roman" w:cs="Times New Roman"/>
                <w:bCs/>
              </w:rPr>
            </w:pPr>
            <w:r w:rsidRPr="00E958CE">
              <w:rPr>
                <w:rFonts w:ascii="Times New Roman" w:hAnsi="Times New Roman" w:cs="Times New Roman"/>
                <w:bCs/>
              </w:rPr>
              <w:t>8.1. Tootjate tootlikkuse ja jätkusuutlikkuse tõstmine läbi innovaatiliste lahenduste rakendamise</w:t>
            </w:r>
          </w:p>
        </w:tc>
        <w:tc>
          <w:tcPr>
            <w:tcW w:w="4678" w:type="dxa"/>
            <w:tcBorders>
              <w:top w:val="single" w:sz="18" w:space="0" w:color="auto"/>
            </w:tcBorders>
            <w:shd w:val="clear" w:color="auto" w:fill="FEBCBC" w:themeFill="accent1" w:themeFillTint="33"/>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MAK - Koostöö (EIP ja TAP)</w:t>
            </w:r>
          </w:p>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Põllumajandustootjad</w:t>
            </w:r>
          </w:p>
        </w:tc>
        <w:tc>
          <w:tcPr>
            <w:tcW w:w="3402" w:type="dxa"/>
            <w:tcBorders>
              <w:top w:val="single" w:sz="18" w:space="0" w:color="auto"/>
              <w:right w:val="single" w:sz="18" w:space="0" w:color="auto"/>
            </w:tcBorders>
            <w:shd w:val="clear" w:color="auto" w:fill="FEBCBC" w:themeFill="accent1" w:themeFillTint="33"/>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PM, PRIA, teadus- ja arendusasutused, nõustajad, konsulendid, põllumajandustootjad ja töötlejad</w:t>
            </w:r>
          </w:p>
        </w:tc>
      </w:tr>
      <w:tr w:rsidR="00263C4D" w:rsidRPr="00E958CE" w:rsidTr="00F541B2">
        <w:tblPrEx>
          <w:tblLook w:val="04A0" w:firstRow="1" w:lastRow="0" w:firstColumn="1" w:lastColumn="0" w:noHBand="0" w:noVBand="1"/>
        </w:tblPrEx>
        <w:trPr>
          <w:cantSplit/>
        </w:trPr>
        <w:tc>
          <w:tcPr>
            <w:tcW w:w="2694" w:type="dxa"/>
            <w:vMerge/>
            <w:tcBorders>
              <w:left w:val="single" w:sz="18" w:space="0" w:color="auto"/>
            </w:tcBorders>
            <w:shd w:val="clear" w:color="auto" w:fill="FEBCBC" w:themeFill="accent1" w:themeFillTint="33"/>
            <w:vAlign w:val="center"/>
          </w:tcPr>
          <w:p w:rsidR="00263C4D" w:rsidRPr="00E958CE" w:rsidRDefault="00263C4D" w:rsidP="00F541B2">
            <w:pPr>
              <w:spacing w:line="276" w:lineRule="auto"/>
              <w:rPr>
                <w:rFonts w:ascii="Times New Roman" w:hAnsi="Times New Roman" w:cs="Times New Roman"/>
                <w:b/>
                <w:bCs/>
              </w:rPr>
            </w:pPr>
          </w:p>
        </w:tc>
        <w:tc>
          <w:tcPr>
            <w:tcW w:w="4819" w:type="dxa"/>
            <w:shd w:val="clear" w:color="auto" w:fill="FEBCBC" w:themeFill="accent1" w:themeFillTint="33"/>
            <w:vAlign w:val="center"/>
          </w:tcPr>
          <w:p w:rsidR="00263C4D" w:rsidRPr="00E958CE" w:rsidRDefault="00263C4D" w:rsidP="00F541B2">
            <w:pPr>
              <w:spacing w:line="276" w:lineRule="auto"/>
              <w:rPr>
                <w:rFonts w:ascii="Times New Roman" w:hAnsi="Times New Roman" w:cs="Times New Roman"/>
                <w:bCs/>
              </w:rPr>
            </w:pPr>
            <w:r w:rsidRPr="00E958CE">
              <w:rPr>
                <w:rFonts w:ascii="Times New Roman" w:hAnsi="Times New Roman" w:cs="Times New Roman"/>
                <w:bCs/>
              </w:rPr>
              <w:t>8.2. Täppisviljeluse jms tootmistehnoloogia laialdasem kasutamine ning tehnoloogiate arendamine ja laiendamine</w:t>
            </w:r>
          </w:p>
        </w:tc>
        <w:tc>
          <w:tcPr>
            <w:tcW w:w="4678" w:type="dxa"/>
            <w:shd w:val="clear" w:color="auto" w:fill="FEBCBC" w:themeFill="accent1" w:themeFillTint="33"/>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MAK - Investeeringud põllumajandusettevõtte tulemuslikkuse parandamiseks</w:t>
            </w:r>
          </w:p>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MAK – Koostöö</w:t>
            </w:r>
          </w:p>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Riigieelarve</w:t>
            </w:r>
          </w:p>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Põllumajandustootjad</w:t>
            </w:r>
          </w:p>
        </w:tc>
        <w:tc>
          <w:tcPr>
            <w:tcW w:w="3402" w:type="dxa"/>
            <w:tcBorders>
              <w:right w:val="single" w:sz="18" w:space="0" w:color="auto"/>
            </w:tcBorders>
            <w:shd w:val="clear" w:color="auto" w:fill="FEBCBC" w:themeFill="accent1" w:themeFillTint="33"/>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 xml:space="preserve">PM, PRIA, põllumajandustootjad, ühistud, teadus- ja arendusasutused, nõustajad ja konsulendid  </w:t>
            </w:r>
          </w:p>
        </w:tc>
      </w:tr>
      <w:tr w:rsidR="00263C4D" w:rsidRPr="00E958CE" w:rsidTr="00F541B2">
        <w:tblPrEx>
          <w:tblLook w:val="04A0" w:firstRow="1" w:lastRow="0" w:firstColumn="1" w:lastColumn="0" w:noHBand="0" w:noVBand="1"/>
        </w:tblPrEx>
        <w:trPr>
          <w:cantSplit/>
        </w:trPr>
        <w:tc>
          <w:tcPr>
            <w:tcW w:w="2694" w:type="dxa"/>
            <w:vMerge/>
            <w:tcBorders>
              <w:left w:val="single" w:sz="18" w:space="0" w:color="auto"/>
              <w:bottom w:val="single" w:sz="18" w:space="0" w:color="auto"/>
            </w:tcBorders>
            <w:shd w:val="clear" w:color="auto" w:fill="FEBCBC" w:themeFill="accent1" w:themeFillTint="33"/>
            <w:vAlign w:val="center"/>
          </w:tcPr>
          <w:p w:rsidR="00263C4D" w:rsidRPr="00E958CE" w:rsidRDefault="00263C4D" w:rsidP="00F541B2">
            <w:pPr>
              <w:spacing w:line="276" w:lineRule="auto"/>
              <w:rPr>
                <w:rFonts w:ascii="Times New Roman" w:hAnsi="Times New Roman" w:cs="Times New Roman"/>
                <w:b/>
                <w:bCs/>
              </w:rPr>
            </w:pPr>
          </w:p>
        </w:tc>
        <w:tc>
          <w:tcPr>
            <w:tcW w:w="4819" w:type="dxa"/>
            <w:tcBorders>
              <w:bottom w:val="single" w:sz="18" w:space="0" w:color="auto"/>
            </w:tcBorders>
            <w:shd w:val="clear" w:color="auto" w:fill="FEBCBC" w:themeFill="accent1" w:themeFillTint="33"/>
            <w:vAlign w:val="center"/>
          </w:tcPr>
          <w:p w:rsidR="00263C4D" w:rsidRPr="00E958CE" w:rsidRDefault="00263C4D" w:rsidP="00F541B2">
            <w:pPr>
              <w:spacing w:line="276" w:lineRule="auto"/>
              <w:contextualSpacing/>
              <w:rPr>
                <w:rFonts w:ascii="Times New Roman" w:hAnsi="Times New Roman" w:cs="Times New Roman"/>
                <w:bCs/>
              </w:rPr>
            </w:pPr>
            <w:r w:rsidRPr="00E958CE">
              <w:rPr>
                <w:rFonts w:ascii="Times New Roman" w:hAnsi="Times New Roman" w:cs="Times New Roman"/>
                <w:bCs/>
              </w:rPr>
              <w:t>8.3. Uue tehnoloogia või tootmisviisi tutvustamine</w:t>
            </w:r>
          </w:p>
        </w:tc>
        <w:tc>
          <w:tcPr>
            <w:tcW w:w="4678" w:type="dxa"/>
            <w:tcBorders>
              <w:bottom w:val="single" w:sz="18" w:space="0" w:color="auto"/>
            </w:tcBorders>
            <w:shd w:val="clear" w:color="auto" w:fill="FEBCBC" w:themeFill="accent1" w:themeFillTint="33"/>
            <w:vAlign w:val="center"/>
          </w:tcPr>
          <w:p w:rsidR="00263C4D" w:rsidRDefault="00263C4D" w:rsidP="00F541B2">
            <w:pPr>
              <w:spacing w:line="276" w:lineRule="auto"/>
              <w:jc w:val="center"/>
              <w:rPr>
                <w:rFonts w:ascii="Times New Roman" w:hAnsi="Times New Roman" w:cs="Times New Roman"/>
              </w:rPr>
            </w:pPr>
            <w:r w:rsidRPr="00E958CE">
              <w:rPr>
                <w:rFonts w:ascii="Times New Roman" w:hAnsi="Times New Roman" w:cs="Times New Roman"/>
              </w:rPr>
              <w:t>MAK – Teadmussiire ja teavitus</w:t>
            </w:r>
          </w:p>
          <w:p w:rsidR="00263C4D" w:rsidRPr="00E958CE" w:rsidRDefault="00263C4D" w:rsidP="00F541B2">
            <w:pPr>
              <w:spacing w:line="276" w:lineRule="auto"/>
              <w:jc w:val="center"/>
              <w:rPr>
                <w:rFonts w:ascii="Times New Roman" w:hAnsi="Times New Roman" w:cs="Times New Roman"/>
              </w:rPr>
            </w:pPr>
            <w:r>
              <w:rPr>
                <w:rFonts w:ascii="Times New Roman" w:hAnsi="Times New Roman" w:cs="Times New Roman"/>
              </w:rPr>
              <w:t>Erainvesteeringud</w:t>
            </w:r>
          </w:p>
        </w:tc>
        <w:tc>
          <w:tcPr>
            <w:tcW w:w="3402" w:type="dxa"/>
            <w:tcBorders>
              <w:bottom w:val="single" w:sz="18" w:space="0" w:color="auto"/>
              <w:right w:val="single" w:sz="18" w:space="0" w:color="auto"/>
            </w:tcBorders>
            <w:shd w:val="clear" w:color="auto" w:fill="FEBCBC" w:themeFill="accent1" w:themeFillTint="33"/>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PM, PRIA, teadus- ja arendusasutused, õppeasutused, põllumajandustootjad, koolitajad, nõustajad ja konsulendid</w:t>
            </w:r>
          </w:p>
        </w:tc>
      </w:tr>
    </w:tbl>
    <w:p w:rsidR="00263C4D" w:rsidRDefault="00263C4D" w:rsidP="00263C4D">
      <w:pPr>
        <w:spacing w:line="276" w:lineRule="auto"/>
        <w:jc w:val="both"/>
        <w:rPr>
          <w:rFonts w:eastAsia="Calibri"/>
          <w:b/>
          <w:u w:val="single"/>
        </w:rPr>
      </w:pPr>
    </w:p>
    <w:p w:rsidR="00263C4D" w:rsidRPr="006C62BF" w:rsidRDefault="00263C4D" w:rsidP="00263C4D">
      <w:pPr>
        <w:rPr>
          <w:rStyle w:val="IntenseReference"/>
          <w:rFonts w:ascii="Times New Roman" w:hAnsi="Times New Roman" w:cs="Times New Roman"/>
          <w:i w:val="0"/>
          <w:sz w:val="24"/>
          <w:szCs w:val="24"/>
        </w:rPr>
      </w:pPr>
      <w:r w:rsidRPr="006C62BF">
        <w:rPr>
          <w:rStyle w:val="IntenseReference"/>
          <w:rFonts w:ascii="Times New Roman" w:hAnsi="Times New Roman" w:cs="Times New Roman"/>
          <w:i w:val="0"/>
          <w:sz w:val="24"/>
          <w:szCs w:val="24"/>
        </w:rPr>
        <w:t>2. Eesmärk: Teravilja ja -toodete kvalitee</w:t>
      </w:r>
      <w:r>
        <w:rPr>
          <w:rStyle w:val="IntenseReference"/>
          <w:rFonts w:ascii="Times New Roman" w:hAnsi="Times New Roman" w:cs="Times New Roman"/>
          <w:i w:val="0"/>
          <w:sz w:val="24"/>
          <w:szCs w:val="24"/>
        </w:rPr>
        <w:t>T</w:t>
      </w:r>
      <w:r w:rsidRPr="006C62BF">
        <w:rPr>
          <w:rStyle w:val="IntenseReference"/>
          <w:rFonts w:ascii="Times New Roman" w:hAnsi="Times New Roman" w:cs="Times New Roman"/>
          <w:i w:val="0"/>
          <w:sz w:val="24"/>
          <w:szCs w:val="24"/>
        </w:rPr>
        <w:t xml:space="preserve"> </w:t>
      </w:r>
      <w:r>
        <w:rPr>
          <w:rStyle w:val="IntenseReference"/>
          <w:rFonts w:ascii="Times New Roman" w:hAnsi="Times New Roman" w:cs="Times New Roman"/>
          <w:i w:val="0"/>
          <w:sz w:val="24"/>
          <w:szCs w:val="24"/>
        </w:rPr>
        <w:t>PARANEB</w:t>
      </w:r>
    </w:p>
    <w:p w:rsidR="00263C4D" w:rsidRPr="00267949" w:rsidRDefault="00263C4D" w:rsidP="00263C4D">
      <w:pPr>
        <w:spacing w:line="276" w:lineRule="auto"/>
        <w:jc w:val="both"/>
        <w:rPr>
          <w:rFonts w:eastAsia="Calibri"/>
          <w:b/>
        </w:rPr>
      </w:pP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4819"/>
        <w:gridCol w:w="4678"/>
        <w:gridCol w:w="3402"/>
      </w:tblGrid>
      <w:tr w:rsidR="00263C4D" w:rsidRPr="00E958CE" w:rsidTr="00F541B2">
        <w:trPr>
          <w:cantSplit/>
          <w:trHeight w:val="351"/>
        </w:trPr>
        <w:tc>
          <w:tcPr>
            <w:tcW w:w="2694" w:type="dxa"/>
            <w:tcBorders>
              <w:top w:val="single" w:sz="18" w:space="0" w:color="auto"/>
              <w:left w:val="single" w:sz="18" w:space="0" w:color="auto"/>
              <w:bottom w:val="single" w:sz="4" w:space="0" w:color="auto"/>
              <w:right w:val="single" w:sz="4" w:space="0" w:color="auto"/>
            </w:tcBorders>
            <w:shd w:val="clear" w:color="auto" w:fill="AD0101" w:themeFill="accent1"/>
            <w:vAlign w:val="bottom"/>
          </w:tcPr>
          <w:p w:rsidR="00263C4D" w:rsidRPr="00E958CE" w:rsidRDefault="00263C4D" w:rsidP="00F541B2">
            <w:pPr>
              <w:spacing w:line="276" w:lineRule="auto"/>
              <w:jc w:val="center"/>
              <w:rPr>
                <w:rFonts w:ascii="Times New Roman" w:hAnsi="Times New Roman" w:cs="Times New Roman"/>
                <w:b/>
              </w:rPr>
            </w:pPr>
            <w:r w:rsidRPr="00E958CE">
              <w:rPr>
                <w:rFonts w:ascii="Times New Roman" w:hAnsi="Times New Roman" w:cs="Times New Roman"/>
                <w:b/>
              </w:rPr>
              <w:t>Meede</w:t>
            </w:r>
          </w:p>
        </w:tc>
        <w:tc>
          <w:tcPr>
            <w:tcW w:w="4819" w:type="dxa"/>
            <w:tcBorders>
              <w:top w:val="single" w:sz="18" w:space="0" w:color="auto"/>
              <w:left w:val="single" w:sz="4" w:space="0" w:color="auto"/>
              <w:bottom w:val="single" w:sz="4" w:space="0" w:color="auto"/>
              <w:right w:val="single" w:sz="4" w:space="0" w:color="auto"/>
            </w:tcBorders>
            <w:shd w:val="clear" w:color="auto" w:fill="AD0101" w:themeFill="accent1"/>
            <w:vAlign w:val="center"/>
          </w:tcPr>
          <w:p w:rsidR="00263C4D" w:rsidRPr="00E958CE" w:rsidRDefault="00263C4D" w:rsidP="00F541B2">
            <w:pPr>
              <w:spacing w:line="276" w:lineRule="auto"/>
              <w:contextualSpacing/>
              <w:jc w:val="center"/>
              <w:rPr>
                <w:rFonts w:ascii="Times New Roman" w:hAnsi="Times New Roman" w:cs="Times New Roman"/>
                <w:b/>
              </w:rPr>
            </w:pPr>
            <w:r w:rsidRPr="00E958CE">
              <w:rPr>
                <w:rFonts w:ascii="Times New Roman" w:hAnsi="Times New Roman" w:cs="Times New Roman"/>
                <w:b/>
              </w:rPr>
              <w:t>Tegevus/alategevus</w:t>
            </w:r>
          </w:p>
        </w:tc>
        <w:tc>
          <w:tcPr>
            <w:tcW w:w="4678" w:type="dxa"/>
            <w:tcBorders>
              <w:top w:val="single" w:sz="18" w:space="0" w:color="auto"/>
              <w:left w:val="single" w:sz="4" w:space="0" w:color="auto"/>
              <w:bottom w:val="single" w:sz="4" w:space="0" w:color="auto"/>
              <w:right w:val="single" w:sz="4" w:space="0" w:color="auto"/>
            </w:tcBorders>
            <w:shd w:val="clear" w:color="auto" w:fill="AD0101" w:themeFill="accent1"/>
            <w:vAlign w:val="center"/>
          </w:tcPr>
          <w:p w:rsidR="00263C4D" w:rsidRPr="00E958CE" w:rsidRDefault="00263C4D" w:rsidP="00F541B2">
            <w:pPr>
              <w:spacing w:line="276" w:lineRule="auto"/>
              <w:ind w:left="-108"/>
              <w:jc w:val="center"/>
              <w:rPr>
                <w:rFonts w:ascii="Times New Roman" w:hAnsi="Times New Roman" w:cs="Times New Roman"/>
                <w:b/>
              </w:rPr>
            </w:pPr>
            <w:r w:rsidRPr="00E958CE">
              <w:rPr>
                <w:rFonts w:ascii="Times New Roman" w:hAnsi="Times New Roman" w:cs="Times New Roman"/>
                <w:b/>
              </w:rPr>
              <w:t>Võimalik finantseerimise allikas</w:t>
            </w:r>
          </w:p>
        </w:tc>
        <w:tc>
          <w:tcPr>
            <w:tcW w:w="3402" w:type="dxa"/>
            <w:tcBorders>
              <w:top w:val="single" w:sz="18" w:space="0" w:color="auto"/>
              <w:left w:val="single" w:sz="4" w:space="0" w:color="auto"/>
              <w:bottom w:val="single" w:sz="4" w:space="0" w:color="auto"/>
              <w:right w:val="single" w:sz="18" w:space="0" w:color="auto"/>
            </w:tcBorders>
            <w:shd w:val="clear" w:color="auto" w:fill="AD0101" w:themeFill="accent1"/>
            <w:vAlign w:val="center"/>
          </w:tcPr>
          <w:p w:rsidR="00263C4D" w:rsidRPr="00E958CE" w:rsidRDefault="00263C4D" w:rsidP="00F541B2">
            <w:pPr>
              <w:spacing w:line="276" w:lineRule="auto"/>
              <w:ind w:left="-108" w:right="33"/>
              <w:jc w:val="center"/>
              <w:rPr>
                <w:rFonts w:ascii="Times New Roman" w:hAnsi="Times New Roman" w:cs="Times New Roman"/>
                <w:b/>
              </w:rPr>
            </w:pPr>
            <w:r w:rsidRPr="00E958CE">
              <w:rPr>
                <w:rFonts w:ascii="Times New Roman" w:hAnsi="Times New Roman" w:cs="Times New Roman"/>
                <w:b/>
              </w:rPr>
              <w:t>Sihtgrupp/täitja</w:t>
            </w:r>
          </w:p>
        </w:tc>
      </w:tr>
      <w:tr w:rsidR="00263C4D" w:rsidRPr="00E958CE" w:rsidTr="00F541B2">
        <w:trPr>
          <w:cantSplit/>
          <w:trHeight w:val="1028"/>
        </w:trPr>
        <w:tc>
          <w:tcPr>
            <w:tcW w:w="2694" w:type="dxa"/>
            <w:tcBorders>
              <w:top w:val="single" w:sz="18" w:space="0" w:color="auto"/>
              <w:left w:val="single" w:sz="18" w:space="0" w:color="auto"/>
            </w:tcBorders>
            <w:shd w:val="clear" w:color="auto" w:fill="auto"/>
            <w:vAlign w:val="center"/>
          </w:tcPr>
          <w:p w:rsidR="00263C4D" w:rsidRPr="00E958CE" w:rsidRDefault="00263C4D" w:rsidP="00F541B2">
            <w:pPr>
              <w:spacing w:line="276" w:lineRule="auto"/>
              <w:ind w:left="34"/>
              <w:rPr>
                <w:rFonts w:ascii="Times New Roman" w:hAnsi="Times New Roman" w:cs="Times New Roman"/>
                <w:b/>
                <w:bCs/>
              </w:rPr>
            </w:pPr>
            <w:r w:rsidRPr="00E958CE">
              <w:rPr>
                <w:rFonts w:ascii="Times New Roman" w:hAnsi="Times New Roman" w:cs="Times New Roman"/>
                <w:b/>
                <w:bCs/>
              </w:rPr>
              <w:lastRenderedPageBreak/>
              <w:t>1. Teraviljakvaliteedi andmebaasi loomine</w:t>
            </w:r>
          </w:p>
        </w:tc>
        <w:tc>
          <w:tcPr>
            <w:tcW w:w="4819" w:type="dxa"/>
            <w:tcBorders>
              <w:top w:val="single" w:sz="18" w:space="0" w:color="auto"/>
            </w:tcBorders>
            <w:shd w:val="clear" w:color="auto" w:fill="auto"/>
            <w:vAlign w:val="center"/>
          </w:tcPr>
          <w:p w:rsidR="00263C4D" w:rsidRPr="00E958CE" w:rsidRDefault="00263C4D" w:rsidP="00F541B2">
            <w:pPr>
              <w:spacing w:line="276" w:lineRule="auto"/>
              <w:contextualSpacing/>
              <w:rPr>
                <w:rFonts w:ascii="Times New Roman" w:hAnsi="Times New Roman" w:cs="Times New Roman"/>
                <w:bCs/>
              </w:rPr>
            </w:pPr>
            <w:r w:rsidRPr="00E958CE">
              <w:rPr>
                <w:rFonts w:ascii="Times New Roman" w:hAnsi="Times New Roman" w:cs="Times New Roman"/>
              </w:rPr>
              <w:t>1.1. Eesti teravilja kvaliteedi ning ohutuse andmebaasi loomine ja haldamine</w:t>
            </w:r>
          </w:p>
        </w:tc>
        <w:tc>
          <w:tcPr>
            <w:tcW w:w="4678" w:type="dxa"/>
            <w:tcBorders>
              <w:top w:val="single" w:sz="18" w:space="0" w:color="auto"/>
            </w:tcBorders>
            <w:shd w:val="clear" w:color="auto" w:fill="auto"/>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Riigieelarve</w:t>
            </w:r>
          </w:p>
        </w:tc>
        <w:tc>
          <w:tcPr>
            <w:tcW w:w="3402" w:type="dxa"/>
            <w:tcBorders>
              <w:top w:val="single" w:sz="18" w:space="0" w:color="auto"/>
              <w:right w:val="single" w:sz="18" w:space="0" w:color="auto"/>
            </w:tcBorders>
            <w:shd w:val="clear" w:color="auto" w:fill="auto"/>
            <w:vAlign w:val="center"/>
          </w:tcPr>
          <w:p w:rsidR="00263C4D" w:rsidRPr="00E958CE" w:rsidRDefault="00263C4D" w:rsidP="00F541B2">
            <w:pPr>
              <w:spacing w:line="276" w:lineRule="auto"/>
              <w:ind w:right="33"/>
              <w:jc w:val="center"/>
              <w:rPr>
                <w:rFonts w:ascii="Times New Roman" w:hAnsi="Times New Roman" w:cs="Times New Roman"/>
              </w:rPr>
            </w:pPr>
            <w:r w:rsidRPr="00E958CE">
              <w:rPr>
                <w:rFonts w:ascii="Times New Roman" w:hAnsi="Times New Roman" w:cs="Times New Roman"/>
              </w:rPr>
              <w:t xml:space="preserve">PM, põllumajandustootjad, teadus- ja arendusasutused, nõustajad ja konsulendid </w:t>
            </w:r>
          </w:p>
        </w:tc>
      </w:tr>
      <w:tr w:rsidR="00263C4D" w:rsidRPr="00E958CE" w:rsidTr="00F541B2">
        <w:trPr>
          <w:cantSplit/>
        </w:trPr>
        <w:tc>
          <w:tcPr>
            <w:tcW w:w="2694" w:type="dxa"/>
            <w:vMerge w:val="restart"/>
            <w:tcBorders>
              <w:top w:val="single" w:sz="18" w:space="0" w:color="auto"/>
              <w:left w:val="single" w:sz="18" w:space="0" w:color="auto"/>
            </w:tcBorders>
            <w:shd w:val="clear" w:color="auto" w:fill="FEBCBC" w:themeFill="accent1" w:themeFillTint="33"/>
            <w:vAlign w:val="center"/>
          </w:tcPr>
          <w:p w:rsidR="00263C4D" w:rsidRPr="00E958CE" w:rsidRDefault="00263C4D" w:rsidP="00F541B2">
            <w:pPr>
              <w:spacing w:line="276" w:lineRule="auto"/>
              <w:ind w:left="34"/>
              <w:rPr>
                <w:rFonts w:ascii="Times New Roman" w:hAnsi="Times New Roman" w:cs="Times New Roman"/>
                <w:b/>
                <w:bCs/>
              </w:rPr>
            </w:pPr>
            <w:r w:rsidRPr="00E958CE">
              <w:rPr>
                <w:rFonts w:ascii="Times New Roman" w:hAnsi="Times New Roman" w:cs="Times New Roman"/>
                <w:b/>
                <w:bCs/>
              </w:rPr>
              <w:t>2. Nõuandetegevuse arendamine ning taimekasvatuse valdkonna teadusuuringute tulemuste tutvustamine sektorile</w:t>
            </w:r>
          </w:p>
        </w:tc>
        <w:tc>
          <w:tcPr>
            <w:tcW w:w="4819" w:type="dxa"/>
            <w:tcBorders>
              <w:top w:val="single" w:sz="18" w:space="0" w:color="auto"/>
            </w:tcBorders>
            <w:shd w:val="clear" w:color="auto" w:fill="FEBCBC" w:themeFill="accent1" w:themeFillTint="33"/>
            <w:vAlign w:val="center"/>
          </w:tcPr>
          <w:p w:rsidR="00263C4D" w:rsidRPr="00E958CE" w:rsidRDefault="00263C4D" w:rsidP="00F541B2">
            <w:pPr>
              <w:spacing w:line="276" w:lineRule="auto"/>
              <w:contextualSpacing/>
              <w:rPr>
                <w:rFonts w:ascii="Times New Roman" w:hAnsi="Times New Roman" w:cs="Times New Roman"/>
                <w:bCs/>
              </w:rPr>
            </w:pPr>
            <w:r w:rsidRPr="00E958CE">
              <w:rPr>
                <w:rFonts w:ascii="Times New Roman" w:hAnsi="Times New Roman" w:cs="Times New Roman"/>
                <w:bCs/>
              </w:rPr>
              <w:t>2.1.  Koolituste ja infopäevade korraldamine ning infomaterjalide koostamine  nii tootjatele, töötlejatele kui ka nõustajatele</w:t>
            </w:r>
          </w:p>
        </w:tc>
        <w:tc>
          <w:tcPr>
            <w:tcW w:w="4678" w:type="dxa"/>
            <w:tcBorders>
              <w:top w:val="single" w:sz="18" w:space="0" w:color="auto"/>
            </w:tcBorders>
            <w:shd w:val="clear" w:color="auto" w:fill="FEBCBC" w:themeFill="accent1" w:themeFillTint="33"/>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MAK - Teadmussiire ja teavitus</w:t>
            </w:r>
          </w:p>
          <w:p w:rsidR="00263C4D" w:rsidRDefault="00263C4D" w:rsidP="00F541B2">
            <w:pPr>
              <w:spacing w:line="276" w:lineRule="auto"/>
              <w:jc w:val="center"/>
              <w:rPr>
                <w:rFonts w:ascii="Times New Roman" w:hAnsi="Times New Roman" w:cs="Times New Roman"/>
              </w:rPr>
            </w:pPr>
            <w:r w:rsidRPr="00E958CE">
              <w:rPr>
                <w:rFonts w:ascii="Times New Roman" w:hAnsi="Times New Roman" w:cs="Times New Roman"/>
              </w:rPr>
              <w:t>Riigieelarve</w:t>
            </w:r>
          </w:p>
          <w:p w:rsidR="00263C4D" w:rsidRPr="00E958CE" w:rsidRDefault="00263C4D" w:rsidP="00F541B2">
            <w:pPr>
              <w:spacing w:line="276" w:lineRule="auto"/>
              <w:jc w:val="center"/>
              <w:rPr>
                <w:rFonts w:ascii="Times New Roman" w:hAnsi="Times New Roman" w:cs="Times New Roman"/>
              </w:rPr>
            </w:pPr>
            <w:r>
              <w:rPr>
                <w:rFonts w:ascii="Times New Roman" w:hAnsi="Times New Roman" w:cs="Times New Roman"/>
              </w:rPr>
              <w:t>Erainvesteeringud</w:t>
            </w:r>
          </w:p>
        </w:tc>
        <w:tc>
          <w:tcPr>
            <w:tcW w:w="3402" w:type="dxa"/>
            <w:tcBorders>
              <w:top w:val="single" w:sz="18" w:space="0" w:color="auto"/>
              <w:right w:val="single" w:sz="18" w:space="0" w:color="auto"/>
            </w:tcBorders>
            <w:shd w:val="clear" w:color="auto" w:fill="FEBCBC" w:themeFill="accent1" w:themeFillTint="33"/>
            <w:vAlign w:val="center"/>
          </w:tcPr>
          <w:p w:rsidR="00263C4D" w:rsidRPr="00E958CE" w:rsidRDefault="00263C4D" w:rsidP="00F541B2">
            <w:pPr>
              <w:spacing w:line="276" w:lineRule="auto"/>
              <w:ind w:right="33"/>
              <w:jc w:val="center"/>
              <w:rPr>
                <w:rFonts w:ascii="Times New Roman" w:hAnsi="Times New Roman" w:cs="Times New Roman"/>
              </w:rPr>
            </w:pPr>
            <w:r w:rsidRPr="00E958CE">
              <w:rPr>
                <w:rFonts w:ascii="Times New Roman" w:hAnsi="Times New Roman" w:cs="Times New Roman"/>
              </w:rPr>
              <w:t>PM, PRIA, õppeasutused, teadus- ja arendusasutused, nõustajad, konsulendid, põllumajandustootjad ja töötlejad</w:t>
            </w:r>
          </w:p>
        </w:tc>
      </w:tr>
      <w:tr w:rsidR="00263C4D" w:rsidRPr="00E958CE" w:rsidTr="00F541B2">
        <w:trPr>
          <w:cantSplit/>
        </w:trPr>
        <w:tc>
          <w:tcPr>
            <w:tcW w:w="2694" w:type="dxa"/>
            <w:vMerge/>
            <w:tcBorders>
              <w:left w:val="single" w:sz="18" w:space="0" w:color="auto"/>
            </w:tcBorders>
            <w:shd w:val="clear" w:color="auto" w:fill="FEBCBC" w:themeFill="accent1" w:themeFillTint="33"/>
            <w:vAlign w:val="center"/>
          </w:tcPr>
          <w:p w:rsidR="00263C4D" w:rsidRPr="00E958CE" w:rsidRDefault="00263C4D" w:rsidP="00F541B2">
            <w:pPr>
              <w:spacing w:line="276" w:lineRule="auto"/>
              <w:rPr>
                <w:rFonts w:ascii="Times New Roman" w:hAnsi="Times New Roman" w:cs="Times New Roman"/>
                <w:b/>
                <w:bCs/>
              </w:rPr>
            </w:pPr>
          </w:p>
        </w:tc>
        <w:tc>
          <w:tcPr>
            <w:tcW w:w="4819" w:type="dxa"/>
            <w:shd w:val="clear" w:color="auto" w:fill="FEBCBC" w:themeFill="accent1" w:themeFillTint="33"/>
            <w:vAlign w:val="center"/>
          </w:tcPr>
          <w:p w:rsidR="00263C4D" w:rsidRPr="00E958CE" w:rsidRDefault="00263C4D" w:rsidP="00F541B2">
            <w:pPr>
              <w:spacing w:line="276" w:lineRule="auto"/>
              <w:rPr>
                <w:rFonts w:ascii="Times New Roman" w:hAnsi="Times New Roman" w:cs="Times New Roman"/>
                <w:bCs/>
              </w:rPr>
            </w:pPr>
            <w:r w:rsidRPr="00E958CE">
              <w:rPr>
                <w:rFonts w:ascii="Times New Roman" w:hAnsi="Times New Roman" w:cs="Times New Roman"/>
                <w:bCs/>
              </w:rPr>
              <w:t>2.2. Nõuandetegevuse kvaliteedi tõstmine ning nõuandeteenuse pakkumise ja kättesaadavuse tagamine</w:t>
            </w:r>
          </w:p>
        </w:tc>
        <w:tc>
          <w:tcPr>
            <w:tcW w:w="4678" w:type="dxa"/>
            <w:shd w:val="clear" w:color="auto" w:fill="FEBCBC" w:themeFill="accent1" w:themeFillTint="33"/>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MAK - Nõuandeteenuse toetamine</w:t>
            </w:r>
          </w:p>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Riigieelarve</w:t>
            </w:r>
          </w:p>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Nõustajad ja konsulendid</w:t>
            </w:r>
          </w:p>
        </w:tc>
        <w:tc>
          <w:tcPr>
            <w:tcW w:w="3402" w:type="dxa"/>
            <w:tcBorders>
              <w:right w:val="single" w:sz="18" w:space="0" w:color="auto"/>
            </w:tcBorders>
            <w:shd w:val="clear" w:color="auto" w:fill="FEBCBC" w:themeFill="accent1" w:themeFillTint="33"/>
            <w:vAlign w:val="center"/>
          </w:tcPr>
          <w:p w:rsidR="00263C4D" w:rsidRPr="00E958CE" w:rsidRDefault="00263C4D" w:rsidP="00F541B2">
            <w:pPr>
              <w:spacing w:line="276" w:lineRule="auto"/>
              <w:ind w:right="33"/>
              <w:jc w:val="center"/>
              <w:rPr>
                <w:rFonts w:ascii="Times New Roman" w:hAnsi="Times New Roman" w:cs="Times New Roman"/>
              </w:rPr>
            </w:pPr>
            <w:r w:rsidRPr="00E958CE">
              <w:rPr>
                <w:rFonts w:ascii="Times New Roman" w:hAnsi="Times New Roman" w:cs="Times New Roman"/>
              </w:rPr>
              <w:t xml:space="preserve">PM, PRIA, MES, nõuandekeskused, nõustajad ja konsulendid </w:t>
            </w:r>
          </w:p>
        </w:tc>
      </w:tr>
      <w:tr w:rsidR="00263C4D" w:rsidRPr="00E958CE" w:rsidTr="00F541B2">
        <w:trPr>
          <w:cantSplit/>
        </w:trPr>
        <w:tc>
          <w:tcPr>
            <w:tcW w:w="2694" w:type="dxa"/>
            <w:vMerge/>
            <w:tcBorders>
              <w:left w:val="single" w:sz="18" w:space="0" w:color="auto"/>
            </w:tcBorders>
            <w:shd w:val="clear" w:color="auto" w:fill="FEBCBC" w:themeFill="accent1" w:themeFillTint="33"/>
            <w:vAlign w:val="center"/>
          </w:tcPr>
          <w:p w:rsidR="00263C4D" w:rsidRPr="00E958CE" w:rsidRDefault="00263C4D" w:rsidP="00F541B2">
            <w:pPr>
              <w:spacing w:line="276" w:lineRule="auto"/>
              <w:rPr>
                <w:rFonts w:ascii="Times New Roman" w:hAnsi="Times New Roman" w:cs="Times New Roman"/>
                <w:b/>
                <w:bCs/>
              </w:rPr>
            </w:pPr>
          </w:p>
        </w:tc>
        <w:tc>
          <w:tcPr>
            <w:tcW w:w="4819" w:type="dxa"/>
            <w:shd w:val="clear" w:color="auto" w:fill="FEBCBC" w:themeFill="accent1" w:themeFillTint="33"/>
            <w:vAlign w:val="center"/>
          </w:tcPr>
          <w:p w:rsidR="00263C4D" w:rsidRPr="00E958CE" w:rsidRDefault="00263C4D" w:rsidP="00F541B2">
            <w:pPr>
              <w:spacing w:line="276" w:lineRule="auto"/>
              <w:contextualSpacing/>
              <w:rPr>
                <w:rFonts w:ascii="Times New Roman" w:hAnsi="Times New Roman" w:cs="Times New Roman"/>
                <w:color w:val="000000" w:themeColor="text1"/>
              </w:rPr>
            </w:pPr>
            <w:r w:rsidRPr="00E958CE">
              <w:rPr>
                <w:rFonts w:ascii="Times New Roman" w:hAnsi="Times New Roman" w:cs="Times New Roman"/>
                <w:color w:val="000000" w:themeColor="text1"/>
              </w:rPr>
              <w:t>2.3. Tootjate, töötlejate ning teadus- ja arendusasutuste vahelise koostöö soodustamine</w:t>
            </w:r>
          </w:p>
        </w:tc>
        <w:tc>
          <w:tcPr>
            <w:tcW w:w="4678" w:type="dxa"/>
            <w:shd w:val="clear" w:color="auto" w:fill="FEBCBC" w:themeFill="accent1" w:themeFillTint="33"/>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MAK - Koostöö (EIP ja TAP)</w:t>
            </w:r>
          </w:p>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Põllumajandustootjad ja töötlejad</w:t>
            </w:r>
          </w:p>
        </w:tc>
        <w:tc>
          <w:tcPr>
            <w:tcW w:w="3402" w:type="dxa"/>
            <w:tcBorders>
              <w:right w:val="single" w:sz="18" w:space="0" w:color="auto"/>
            </w:tcBorders>
            <w:shd w:val="clear" w:color="auto" w:fill="FEBCBC" w:themeFill="accent1" w:themeFillTint="33"/>
            <w:vAlign w:val="center"/>
          </w:tcPr>
          <w:p w:rsidR="00263C4D" w:rsidRPr="00E958CE" w:rsidRDefault="00263C4D" w:rsidP="00F541B2">
            <w:pPr>
              <w:spacing w:line="276" w:lineRule="auto"/>
              <w:ind w:right="33"/>
              <w:jc w:val="center"/>
              <w:rPr>
                <w:rFonts w:ascii="Times New Roman" w:hAnsi="Times New Roman" w:cs="Times New Roman"/>
              </w:rPr>
            </w:pPr>
            <w:r w:rsidRPr="00E958CE">
              <w:rPr>
                <w:rFonts w:ascii="Times New Roman" w:hAnsi="Times New Roman" w:cs="Times New Roman"/>
              </w:rPr>
              <w:t xml:space="preserve">PM, PRIA, põllumajandustootjad, töötlejad, nõustajad, konsulendid, teadus- ja arendusasutused </w:t>
            </w:r>
          </w:p>
        </w:tc>
      </w:tr>
      <w:tr w:rsidR="00263C4D" w:rsidRPr="00E958CE" w:rsidTr="00F541B2">
        <w:trPr>
          <w:trHeight w:val="438"/>
        </w:trPr>
        <w:tc>
          <w:tcPr>
            <w:tcW w:w="2694" w:type="dxa"/>
            <w:vMerge/>
            <w:tcBorders>
              <w:left w:val="single" w:sz="18" w:space="0" w:color="auto"/>
            </w:tcBorders>
            <w:shd w:val="clear" w:color="auto" w:fill="FEBCBC" w:themeFill="accent1" w:themeFillTint="33"/>
          </w:tcPr>
          <w:p w:rsidR="00263C4D" w:rsidRPr="00E958CE" w:rsidRDefault="00263C4D" w:rsidP="00F541B2">
            <w:pPr>
              <w:spacing w:line="276" w:lineRule="auto"/>
              <w:rPr>
                <w:rFonts w:ascii="Times New Roman" w:hAnsi="Times New Roman" w:cs="Times New Roman"/>
                <w:b/>
              </w:rPr>
            </w:pPr>
          </w:p>
        </w:tc>
        <w:tc>
          <w:tcPr>
            <w:tcW w:w="4819" w:type="dxa"/>
            <w:shd w:val="clear" w:color="auto" w:fill="FEBCBC" w:themeFill="accent1" w:themeFillTint="33"/>
            <w:vAlign w:val="center"/>
          </w:tcPr>
          <w:p w:rsidR="00263C4D" w:rsidRPr="00E958CE" w:rsidDel="00F30FB7" w:rsidRDefault="00263C4D" w:rsidP="00F541B2">
            <w:pPr>
              <w:spacing w:line="276" w:lineRule="auto"/>
              <w:contextualSpacing/>
              <w:rPr>
                <w:rFonts w:ascii="Times New Roman" w:hAnsi="Times New Roman" w:cs="Times New Roman"/>
              </w:rPr>
            </w:pPr>
            <w:r w:rsidRPr="00E958CE">
              <w:rPr>
                <w:rFonts w:ascii="Times New Roman" w:hAnsi="Times New Roman" w:cs="Times New Roman"/>
              </w:rPr>
              <w:t xml:space="preserve">2.4. </w:t>
            </w:r>
            <w:r>
              <w:rPr>
                <w:rFonts w:ascii="Times New Roman" w:hAnsi="Times New Roman" w:cs="Times New Roman"/>
              </w:rPr>
              <w:t>Avalikule sektorile</w:t>
            </w:r>
            <w:r w:rsidRPr="00E958CE">
              <w:rPr>
                <w:rFonts w:ascii="Times New Roman" w:hAnsi="Times New Roman" w:cs="Times New Roman"/>
              </w:rPr>
              <w:t xml:space="preserve"> vajalike teadusuuringute </w:t>
            </w:r>
            <w:r>
              <w:rPr>
                <w:rFonts w:ascii="Times New Roman" w:hAnsi="Times New Roman" w:cs="Times New Roman"/>
              </w:rPr>
              <w:t>koostamine</w:t>
            </w:r>
            <w:r w:rsidRPr="00E958CE">
              <w:rPr>
                <w:rFonts w:ascii="Times New Roman" w:hAnsi="Times New Roman" w:cs="Times New Roman"/>
              </w:rPr>
              <w:t xml:space="preserve"> põllumajanduspoliitika kujundamiseks </w:t>
            </w:r>
          </w:p>
        </w:tc>
        <w:tc>
          <w:tcPr>
            <w:tcW w:w="4678" w:type="dxa"/>
            <w:shd w:val="clear" w:color="auto" w:fill="FEBCBC" w:themeFill="accent1" w:themeFillTint="33"/>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Riigieelarve</w:t>
            </w:r>
          </w:p>
        </w:tc>
        <w:tc>
          <w:tcPr>
            <w:tcW w:w="3402" w:type="dxa"/>
            <w:tcBorders>
              <w:right w:val="single" w:sz="18" w:space="0" w:color="auto"/>
            </w:tcBorders>
            <w:shd w:val="clear" w:color="auto" w:fill="FEBCBC" w:themeFill="accent1" w:themeFillTint="33"/>
            <w:vAlign w:val="center"/>
          </w:tcPr>
          <w:p w:rsidR="00263C4D" w:rsidRPr="00E958CE" w:rsidRDefault="00263C4D" w:rsidP="00F541B2">
            <w:pPr>
              <w:spacing w:line="276" w:lineRule="auto"/>
              <w:ind w:right="33"/>
              <w:jc w:val="center"/>
              <w:rPr>
                <w:rFonts w:ascii="Times New Roman" w:hAnsi="Times New Roman" w:cs="Times New Roman"/>
              </w:rPr>
            </w:pPr>
            <w:r w:rsidRPr="00E958CE">
              <w:rPr>
                <w:rFonts w:ascii="Times New Roman" w:hAnsi="Times New Roman" w:cs="Times New Roman"/>
              </w:rPr>
              <w:t>PM, teadus- ja arendusasutused</w:t>
            </w:r>
          </w:p>
        </w:tc>
      </w:tr>
      <w:tr w:rsidR="00263C4D" w:rsidRPr="00E958CE" w:rsidTr="00F541B2">
        <w:trPr>
          <w:trHeight w:val="438"/>
        </w:trPr>
        <w:tc>
          <w:tcPr>
            <w:tcW w:w="2694" w:type="dxa"/>
            <w:vMerge/>
            <w:tcBorders>
              <w:left w:val="single" w:sz="18" w:space="0" w:color="auto"/>
            </w:tcBorders>
            <w:shd w:val="clear" w:color="auto" w:fill="FEBCBC" w:themeFill="accent1" w:themeFillTint="33"/>
          </w:tcPr>
          <w:p w:rsidR="00263C4D" w:rsidRPr="00E958CE" w:rsidRDefault="00263C4D" w:rsidP="00F541B2">
            <w:pPr>
              <w:spacing w:line="276" w:lineRule="auto"/>
              <w:rPr>
                <w:rFonts w:ascii="Times New Roman" w:hAnsi="Times New Roman" w:cs="Times New Roman"/>
                <w:b/>
              </w:rPr>
            </w:pPr>
          </w:p>
        </w:tc>
        <w:tc>
          <w:tcPr>
            <w:tcW w:w="4819" w:type="dxa"/>
            <w:shd w:val="clear" w:color="auto" w:fill="FEBCBC" w:themeFill="accent1" w:themeFillTint="33"/>
            <w:vAlign w:val="center"/>
          </w:tcPr>
          <w:p w:rsidR="00263C4D" w:rsidRPr="00E958CE" w:rsidRDefault="00263C4D" w:rsidP="00F541B2">
            <w:pPr>
              <w:spacing w:line="276" w:lineRule="auto"/>
              <w:contextualSpacing/>
              <w:rPr>
                <w:rFonts w:ascii="Times New Roman" w:hAnsi="Times New Roman" w:cs="Times New Roman"/>
              </w:rPr>
            </w:pPr>
            <w:r w:rsidRPr="00E958CE">
              <w:rPr>
                <w:rFonts w:ascii="Times New Roman" w:hAnsi="Times New Roman" w:cs="Times New Roman"/>
              </w:rPr>
              <w:t>2.5. Teadusuuringud kvaliteedi tõstmiseks</w:t>
            </w:r>
          </w:p>
        </w:tc>
        <w:tc>
          <w:tcPr>
            <w:tcW w:w="4678" w:type="dxa"/>
            <w:shd w:val="clear" w:color="auto" w:fill="FEBCBC" w:themeFill="accent1" w:themeFillTint="33"/>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Riigieelarve</w:t>
            </w:r>
          </w:p>
        </w:tc>
        <w:tc>
          <w:tcPr>
            <w:tcW w:w="3402" w:type="dxa"/>
            <w:tcBorders>
              <w:right w:val="single" w:sz="18" w:space="0" w:color="auto"/>
            </w:tcBorders>
            <w:shd w:val="clear" w:color="auto" w:fill="FEBCBC" w:themeFill="accent1" w:themeFillTint="33"/>
            <w:vAlign w:val="center"/>
          </w:tcPr>
          <w:p w:rsidR="00263C4D" w:rsidRPr="00E958CE" w:rsidRDefault="00263C4D" w:rsidP="00F541B2">
            <w:pPr>
              <w:spacing w:line="276" w:lineRule="auto"/>
              <w:ind w:right="33"/>
              <w:jc w:val="center"/>
              <w:rPr>
                <w:rFonts w:ascii="Times New Roman" w:hAnsi="Times New Roman" w:cs="Times New Roman"/>
              </w:rPr>
            </w:pPr>
            <w:r w:rsidRPr="00E958CE">
              <w:rPr>
                <w:rFonts w:ascii="Times New Roman" w:hAnsi="Times New Roman" w:cs="Times New Roman"/>
              </w:rPr>
              <w:t>PM, teadus- ja arendusasutused</w:t>
            </w:r>
          </w:p>
        </w:tc>
      </w:tr>
      <w:tr w:rsidR="00263C4D" w:rsidRPr="00E958CE" w:rsidTr="00F541B2">
        <w:trPr>
          <w:cantSplit/>
          <w:trHeight w:val="910"/>
        </w:trPr>
        <w:tc>
          <w:tcPr>
            <w:tcW w:w="2694" w:type="dxa"/>
            <w:tcBorders>
              <w:top w:val="single" w:sz="18" w:space="0" w:color="auto"/>
              <w:left w:val="single" w:sz="18" w:space="0" w:color="auto"/>
            </w:tcBorders>
            <w:shd w:val="clear" w:color="auto" w:fill="auto"/>
            <w:vAlign w:val="center"/>
          </w:tcPr>
          <w:p w:rsidR="00263C4D" w:rsidRPr="00E958CE" w:rsidRDefault="00263C4D" w:rsidP="00F541B2">
            <w:pPr>
              <w:spacing w:line="276" w:lineRule="auto"/>
              <w:ind w:left="34"/>
              <w:rPr>
                <w:rFonts w:ascii="Times New Roman" w:hAnsi="Times New Roman" w:cs="Times New Roman"/>
                <w:b/>
                <w:bCs/>
              </w:rPr>
            </w:pPr>
            <w:r w:rsidRPr="00E958CE">
              <w:rPr>
                <w:rFonts w:ascii="Times New Roman" w:hAnsi="Times New Roman" w:cs="Times New Roman"/>
                <w:b/>
                <w:bCs/>
              </w:rPr>
              <w:t>3. Ühisinvesteeringud koristus- ja kuivatusvõimekuse tõstmiseks</w:t>
            </w:r>
          </w:p>
        </w:tc>
        <w:tc>
          <w:tcPr>
            <w:tcW w:w="4819" w:type="dxa"/>
            <w:tcBorders>
              <w:top w:val="single" w:sz="18" w:space="0" w:color="auto"/>
            </w:tcBorders>
            <w:shd w:val="clear" w:color="auto" w:fill="auto"/>
            <w:vAlign w:val="center"/>
          </w:tcPr>
          <w:p w:rsidR="00263C4D" w:rsidRPr="00E958CE" w:rsidRDefault="00263C4D" w:rsidP="00F541B2">
            <w:pPr>
              <w:spacing w:line="276" w:lineRule="auto"/>
              <w:contextualSpacing/>
              <w:rPr>
                <w:rFonts w:ascii="Times New Roman" w:hAnsi="Times New Roman" w:cs="Times New Roman"/>
                <w:bCs/>
              </w:rPr>
            </w:pPr>
            <w:r w:rsidRPr="00E958CE">
              <w:rPr>
                <w:rFonts w:ascii="Times New Roman" w:hAnsi="Times New Roman" w:cs="Times New Roman"/>
                <w:bCs/>
              </w:rPr>
              <w:t xml:space="preserve">3.1. Tehnika soetamine ning hoonete ja rajatiste </w:t>
            </w:r>
            <w:r>
              <w:rPr>
                <w:rFonts w:ascii="Times New Roman" w:hAnsi="Times New Roman" w:cs="Times New Roman"/>
                <w:bCs/>
              </w:rPr>
              <w:t>rajamine</w:t>
            </w:r>
          </w:p>
        </w:tc>
        <w:tc>
          <w:tcPr>
            <w:tcW w:w="4678" w:type="dxa"/>
            <w:tcBorders>
              <w:top w:val="single" w:sz="18" w:space="0" w:color="auto"/>
            </w:tcBorders>
            <w:shd w:val="clear" w:color="auto" w:fill="auto"/>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MAK - Investeeringud põllumajandusettevõtte tulemuslikkuse parandamiseks</w:t>
            </w:r>
          </w:p>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Põllumajandustootjad</w:t>
            </w:r>
          </w:p>
        </w:tc>
        <w:tc>
          <w:tcPr>
            <w:tcW w:w="3402" w:type="dxa"/>
            <w:tcBorders>
              <w:top w:val="single" w:sz="18" w:space="0" w:color="auto"/>
              <w:right w:val="single" w:sz="18" w:space="0" w:color="auto"/>
            </w:tcBorders>
            <w:shd w:val="clear" w:color="auto" w:fill="auto"/>
            <w:vAlign w:val="center"/>
          </w:tcPr>
          <w:p w:rsidR="00263C4D" w:rsidRPr="00E958CE" w:rsidRDefault="00263C4D" w:rsidP="00F541B2">
            <w:pPr>
              <w:spacing w:line="276" w:lineRule="auto"/>
              <w:ind w:right="33"/>
              <w:jc w:val="center"/>
              <w:rPr>
                <w:rFonts w:ascii="Times New Roman" w:hAnsi="Times New Roman" w:cs="Times New Roman"/>
              </w:rPr>
            </w:pPr>
            <w:r w:rsidRPr="00E958CE">
              <w:rPr>
                <w:rFonts w:ascii="Times New Roman" w:hAnsi="Times New Roman" w:cs="Times New Roman"/>
              </w:rPr>
              <w:t>PM, PRIA, ühistud</w:t>
            </w:r>
          </w:p>
        </w:tc>
      </w:tr>
      <w:tr w:rsidR="00263C4D" w:rsidRPr="00E958CE" w:rsidTr="00F541B2">
        <w:trPr>
          <w:cantSplit/>
          <w:trHeight w:val="1150"/>
        </w:trPr>
        <w:tc>
          <w:tcPr>
            <w:tcW w:w="2694" w:type="dxa"/>
            <w:tcBorders>
              <w:top w:val="single" w:sz="18" w:space="0" w:color="auto"/>
              <w:left w:val="single" w:sz="18" w:space="0" w:color="auto"/>
              <w:bottom w:val="single" w:sz="18" w:space="0" w:color="auto"/>
            </w:tcBorders>
            <w:shd w:val="clear" w:color="auto" w:fill="FEBCBC" w:themeFill="accent1" w:themeFillTint="33"/>
            <w:vAlign w:val="center"/>
          </w:tcPr>
          <w:p w:rsidR="00263C4D" w:rsidRPr="00E958CE" w:rsidRDefault="00263C4D" w:rsidP="00F541B2">
            <w:pPr>
              <w:spacing w:line="276" w:lineRule="auto"/>
              <w:rPr>
                <w:rFonts w:ascii="Times New Roman" w:hAnsi="Times New Roman" w:cs="Times New Roman"/>
                <w:b/>
                <w:bCs/>
              </w:rPr>
            </w:pPr>
            <w:r w:rsidRPr="00E958CE">
              <w:rPr>
                <w:rFonts w:ascii="Times New Roman" w:hAnsi="Times New Roman" w:cs="Times New Roman"/>
                <w:b/>
                <w:bCs/>
              </w:rPr>
              <w:t>4. Sertifitseeritud seemne kasutamise suurendamine</w:t>
            </w:r>
          </w:p>
        </w:tc>
        <w:tc>
          <w:tcPr>
            <w:tcW w:w="12899" w:type="dxa"/>
            <w:gridSpan w:val="3"/>
            <w:tcBorders>
              <w:top w:val="single" w:sz="18" w:space="0" w:color="auto"/>
              <w:bottom w:val="single" w:sz="18" w:space="0" w:color="auto"/>
              <w:right w:val="single" w:sz="18" w:space="0" w:color="auto"/>
            </w:tcBorders>
            <w:shd w:val="clear" w:color="auto" w:fill="FEBCBC" w:themeFill="accent1" w:themeFillTint="33"/>
            <w:vAlign w:val="center"/>
          </w:tcPr>
          <w:p w:rsidR="00263C4D" w:rsidRPr="00E958CE" w:rsidRDefault="00263C4D" w:rsidP="00F541B2">
            <w:pPr>
              <w:spacing w:line="276" w:lineRule="auto"/>
              <w:rPr>
                <w:rFonts w:ascii="Times New Roman" w:hAnsi="Times New Roman" w:cs="Times New Roman"/>
                <w:bCs/>
              </w:rPr>
            </w:pPr>
            <w:r w:rsidRPr="00E958CE">
              <w:rPr>
                <w:rFonts w:ascii="Times New Roman" w:hAnsi="Times New Roman" w:cs="Times New Roman"/>
                <w:bCs/>
              </w:rPr>
              <w:t>Sertifitseeritud seemne kasutamise suurendamisele aitavad kaasa rakendusplaani I eesmärgi meetmetes 3 ja 4 nimetatud Eesti seemnemajanduse arengukava aastateks 2014–2020</w:t>
            </w:r>
            <w:r>
              <w:rPr>
                <w:rFonts w:ascii="Times New Roman" w:hAnsi="Times New Roman" w:cs="Times New Roman"/>
                <w:bCs/>
              </w:rPr>
              <w:t xml:space="preserve"> ja MAK</w:t>
            </w:r>
            <w:r w:rsidRPr="00E958CE">
              <w:rPr>
                <w:rFonts w:ascii="Times New Roman" w:hAnsi="Times New Roman" w:cs="Times New Roman"/>
                <w:bCs/>
              </w:rPr>
              <w:t xml:space="preserve"> plan</w:t>
            </w:r>
            <w:r w:rsidR="008455CD">
              <w:rPr>
                <w:rFonts w:ascii="Times New Roman" w:hAnsi="Times New Roman" w:cs="Times New Roman"/>
                <w:bCs/>
              </w:rPr>
              <w:t>eeritavate meetmete rakendamine</w:t>
            </w:r>
          </w:p>
        </w:tc>
      </w:tr>
      <w:tr w:rsidR="00263C4D" w:rsidRPr="00E958CE" w:rsidTr="00F541B2">
        <w:trPr>
          <w:cantSplit/>
          <w:trHeight w:val="690"/>
        </w:trPr>
        <w:tc>
          <w:tcPr>
            <w:tcW w:w="2694" w:type="dxa"/>
            <w:vMerge w:val="restart"/>
            <w:tcBorders>
              <w:top w:val="single" w:sz="18" w:space="0" w:color="auto"/>
              <w:left w:val="single" w:sz="18" w:space="0" w:color="auto"/>
            </w:tcBorders>
            <w:shd w:val="clear" w:color="auto" w:fill="auto"/>
            <w:vAlign w:val="center"/>
          </w:tcPr>
          <w:p w:rsidR="00263C4D" w:rsidRPr="00E958CE" w:rsidRDefault="00263C4D" w:rsidP="00F541B2">
            <w:pPr>
              <w:spacing w:line="276" w:lineRule="auto"/>
              <w:rPr>
                <w:rFonts w:ascii="Times New Roman" w:hAnsi="Times New Roman" w:cs="Times New Roman"/>
                <w:b/>
                <w:bCs/>
              </w:rPr>
            </w:pPr>
            <w:r w:rsidRPr="00E958CE">
              <w:rPr>
                <w:rFonts w:ascii="Times New Roman" w:hAnsi="Times New Roman" w:cs="Times New Roman"/>
                <w:b/>
                <w:bCs/>
              </w:rPr>
              <w:t>5. Teravilja puhtuse tagamine</w:t>
            </w:r>
          </w:p>
        </w:tc>
        <w:tc>
          <w:tcPr>
            <w:tcW w:w="4819" w:type="dxa"/>
            <w:tcBorders>
              <w:top w:val="single" w:sz="18" w:space="0" w:color="auto"/>
              <w:bottom w:val="single" w:sz="2" w:space="0" w:color="auto"/>
            </w:tcBorders>
            <w:shd w:val="clear" w:color="auto" w:fill="auto"/>
            <w:vAlign w:val="center"/>
          </w:tcPr>
          <w:p w:rsidR="00263C4D" w:rsidRPr="00E958CE" w:rsidRDefault="00263C4D" w:rsidP="00F541B2">
            <w:pPr>
              <w:spacing w:line="276" w:lineRule="auto"/>
              <w:contextualSpacing/>
              <w:rPr>
                <w:rFonts w:ascii="Times New Roman" w:hAnsi="Times New Roman" w:cs="Times New Roman"/>
                <w:bCs/>
              </w:rPr>
            </w:pPr>
            <w:r w:rsidRPr="00E958CE">
              <w:rPr>
                <w:rFonts w:ascii="Times New Roman" w:hAnsi="Times New Roman" w:cs="Times New Roman"/>
                <w:bCs/>
              </w:rPr>
              <w:t xml:space="preserve">5.1. Teravilja ohutuse tagamine ja lisandilisuse vähendamine </w:t>
            </w:r>
          </w:p>
        </w:tc>
        <w:tc>
          <w:tcPr>
            <w:tcW w:w="4678" w:type="dxa"/>
            <w:tcBorders>
              <w:top w:val="single" w:sz="18" w:space="0" w:color="auto"/>
              <w:bottom w:val="single" w:sz="2" w:space="0" w:color="auto"/>
            </w:tcBorders>
            <w:shd w:val="clear" w:color="auto" w:fill="auto"/>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Riigieelarve</w:t>
            </w:r>
          </w:p>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Põllumajandustootjad</w:t>
            </w:r>
          </w:p>
        </w:tc>
        <w:tc>
          <w:tcPr>
            <w:tcW w:w="3402" w:type="dxa"/>
            <w:tcBorders>
              <w:top w:val="single" w:sz="18" w:space="0" w:color="auto"/>
              <w:bottom w:val="single" w:sz="2" w:space="0" w:color="auto"/>
              <w:right w:val="single" w:sz="18" w:space="0" w:color="auto"/>
            </w:tcBorders>
            <w:shd w:val="clear" w:color="auto" w:fill="auto"/>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 xml:space="preserve">PM, PRIA, põllumajandustootjad, PMA, PMK </w:t>
            </w:r>
          </w:p>
        </w:tc>
      </w:tr>
      <w:tr w:rsidR="00263C4D" w:rsidRPr="00E958CE" w:rsidTr="00F541B2">
        <w:trPr>
          <w:cantSplit/>
          <w:trHeight w:val="690"/>
        </w:trPr>
        <w:tc>
          <w:tcPr>
            <w:tcW w:w="2694" w:type="dxa"/>
            <w:vMerge/>
            <w:tcBorders>
              <w:left w:val="single" w:sz="18" w:space="0" w:color="auto"/>
            </w:tcBorders>
            <w:shd w:val="clear" w:color="auto" w:fill="auto"/>
            <w:vAlign w:val="center"/>
          </w:tcPr>
          <w:p w:rsidR="00263C4D" w:rsidRPr="00E958CE" w:rsidRDefault="00263C4D" w:rsidP="00F541B2">
            <w:pPr>
              <w:spacing w:line="276" w:lineRule="auto"/>
              <w:rPr>
                <w:rFonts w:ascii="Times New Roman" w:hAnsi="Times New Roman" w:cs="Times New Roman"/>
                <w:b/>
                <w:bCs/>
              </w:rPr>
            </w:pPr>
          </w:p>
        </w:tc>
        <w:tc>
          <w:tcPr>
            <w:tcW w:w="4819" w:type="dxa"/>
            <w:tcBorders>
              <w:top w:val="single" w:sz="2" w:space="0" w:color="auto"/>
              <w:bottom w:val="single" w:sz="2" w:space="0" w:color="auto"/>
            </w:tcBorders>
            <w:shd w:val="clear" w:color="auto" w:fill="auto"/>
            <w:vAlign w:val="center"/>
          </w:tcPr>
          <w:p w:rsidR="00263C4D" w:rsidRPr="00E958CE" w:rsidRDefault="00263C4D" w:rsidP="00F541B2">
            <w:pPr>
              <w:spacing w:line="276" w:lineRule="auto"/>
              <w:contextualSpacing/>
              <w:rPr>
                <w:rFonts w:ascii="Times New Roman" w:hAnsi="Times New Roman" w:cs="Times New Roman"/>
                <w:bCs/>
              </w:rPr>
            </w:pPr>
            <w:r w:rsidRPr="00E958CE">
              <w:rPr>
                <w:rFonts w:ascii="Times New Roman" w:hAnsi="Times New Roman" w:cs="Times New Roman"/>
                <w:bCs/>
              </w:rPr>
              <w:t>5.2. Tuulekaera tõrjeabinõude tulemuslik rakendamine</w:t>
            </w:r>
          </w:p>
        </w:tc>
        <w:tc>
          <w:tcPr>
            <w:tcW w:w="4678" w:type="dxa"/>
            <w:tcBorders>
              <w:top w:val="single" w:sz="2" w:space="0" w:color="auto"/>
              <w:bottom w:val="single" w:sz="2" w:space="0" w:color="auto"/>
            </w:tcBorders>
            <w:shd w:val="clear" w:color="auto" w:fill="auto"/>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Riigieelarve</w:t>
            </w:r>
          </w:p>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Põllumajandustootjad</w:t>
            </w:r>
          </w:p>
        </w:tc>
        <w:tc>
          <w:tcPr>
            <w:tcW w:w="3402" w:type="dxa"/>
            <w:tcBorders>
              <w:top w:val="single" w:sz="2" w:space="0" w:color="auto"/>
              <w:bottom w:val="single" w:sz="2" w:space="0" w:color="auto"/>
              <w:right w:val="single" w:sz="18" w:space="0" w:color="auto"/>
            </w:tcBorders>
            <w:shd w:val="clear" w:color="auto" w:fill="auto"/>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PM, PRIA, põllumajandustootjad, PMA</w:t>
            </w:r>
          </w:p>
        </w:tc>
      </w:tr>
      <w:tr w:rsidR="00263C4D" w:rsidRPr="00E958CE" w:rsidTr="00F541B2">
        <w:trPr>
          <w:cantSplit/>
          <w:trHeight w:val="690"/>
        </w:trPr>
        <w:tc>
          <w:tcPr>
            <w:tcW w:w="2694" w:type="dxa"/>
            <w:vMerge/>
            <w:tcBorders>
              <w:left w:val="single" w:sz="18" w:space="0" w:color="auto"/>
              <w:bottom w:val="single" w:sz="18" w:space="0" w:color="auto"/>
            </w:tcBorders>
            <w:shd w:val="clear" w:color="auto" w:fill="auto"/>
            <w:vAlign w:val="center"/>
          </w:tcPr>
          <w:p w:rsidR="00263C4D" w:rsidRPr="00E958CE" w:rsidRDefault="00263C4D" w:rsidP="00F541B2">
            <w:pPr>
              <w:spacing w:line="276" w:lineRule="auto"/>
              <w:rPr>
                <w:rFonts w:ascii="Times New Roman" w:hAnsi="Times New Roman" w:cs="Times New Roman"/>
                <w:b/>
                <w:bCs/>
              </w:rPr>
            </w:pPr>
          </w:p>
        </w:tc>
        <w:tc>
          <w:tcPr>
            <w:tcW w:w="4819" w:type="dxa"/>
            <w:tcBorders>
              <w:top w:val="single" w:sz="2" w:space="0" w:color="auto"/>
              <w:bottom w:val="single" w:sz="18" w:space="0" w:color="auto"/>
            </w:tcBorders>
            <w:shd w:val="clear" w:color="auto" w:fill="auto"/>
            <w:vAlign w:val="center"/>
          </w:tcPr>
          <w:p w:rsidR="00263C4D" w:rsidRPr="00E958CE" w:rsidRDefault="00263C4D" w:rsidP="00F541B2">
            <w:pPr>
              <w:spacing w:line="276" w:lineRule="auto"/>
              <w:contextualSpacing/>
              <w:rPr>
                <w:rFonts w:ascii="Times New Roman" w:hAnsi="Times New Roman" w:cs="Times New Roman"/>
                <w:bCs/>
              </w:rPr>
            </w:pPr>
            <w:r w:rsidRPr="00E958CE">
              <w:rPr>
                <w:rFonts w:ascii="Times New Roman" w:hAnsi="Times New Roman" w:cs="Times New Roman"/>
                <w:bCs/>
              </w:rPr>
              <w:t>5.3. Teravilja kvaliteedi nõuete ja standardite kehtestamine, nendest teavitamine ja infolevik ning koolitamine</w:t>
            </w:r>
          </w:p>
        </w:tc>
        <w:tc>
          <w:tcPr>
            <w:tcW w:w="4678" w:type="dxa"/>
            <w:tcBorders>
              <w:top w:val="single" w:sz="2" w:space="0" w:color="auto"/>
              <w:bottom w:val="single" w:sz="18" w:space="0" w:color="auto"/>
            </w:tcBorders>
            <w:shd w:val="clear" w:color="auto" w:fill="auto"/>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Põllumajandusettevõtted, -tootjad ja  töötlejad</w:t>
            </w:r>
          </w:p>
        </w:tc>
        <w:tc>
          <w:tcPr>
            <w:tcW w:w="3402" w:type="dxa"/>
            <w:tcBorders>
              <w:top w:val="single" w:sz="2" w:space="0" w:color="auto"/>
              <w:bottom w:val="single" w:sz="18" w:space="0" w:color="auto"/>
              <w:right w:val="single" w:sz="18" w:space="0" w:color="auto"/>
            </w:tcBorders>
            <w:shd w:val="clear" w:color="auto" w:fill="auto"/>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Põllumajandusettevõtted, -tootjad ja  töötlejad, PMK, koolitajad</w:t>
            </w:r>
          </w:p>
        </w:tc>
      </w:tr>
    </w:tbl>
    <w:p w:rsidR="00263C4D" w:rsidRPr="00267949" w:rsidRDefault="00263C4D" w:rsidP="00263C4D">
      <w:pPr>
        <w:spacing w:line="276" w:lineRule="auto"/>
        <w:rPr>
          <w:rFonts w:eastAsia="Calibri"/>
          <w:b/>
          <w:u w:val="single"/>
        </w:rPr>
      </w:pPr>
    </w:p>
    <w:p w:rsidR="00263C4D" w:rsidRPr="006C62BF" w:rsidRDefault="00263C4D" w:rsidP="00263C4D">
      <w:pPr>
        <w:rPr>
          <w:rStyle w:val="IntenseReference"/>
          <w:rFonts w:ascii="Times New Roman" w:hAnsi="Times New Roman" w:cs="Times New Roman"/>
          <w:i w:val="0"/>
          <w:sz w:val="24"/>
          <w:szCs w:val="24"/>
        </w:rPr>
      </w:pPr>
      <w:r w:rsidRPr="006C62BF">
        <w:rPr>
          <w:rStyle w:val="IntenseReference"/>
          <w:rFonts w:ascii="Times New Roman" w:hAnsi="Times New Roman" w:cs="Times New Roman"/>
          <w:i w:val="0"/>
          <w:sz w:val="24"/>
          <w:szCs w:val="24"/>
        </w:rPr>
        <w:t xml:space="preserve">3. Eesmärk: Teraviljale </w:t>
      </w:r>
      <w:r>
        <w:rPr>
          <w:rStyle w:val="IntenseReference"/>
          <w:rFonts w:ascii="Times New Roman" w:hAnsi="Times New Roman" w:cs="Times New Roman"/>
          <w:i w:val="0"/>
          <w:sz w:val="24"/>
          <w:szCs w:val="24"/>
        </w:rPr>
        <w:t xml:space="preserve">ANTAKSE </w:t>
      </w:r>
      <w:r w:rsidRPr="006C62BF">
        <w:rPr>
          <w:rStyle w:val="IntenseReference"/>
          <w:rFonts w:ascii="Times New Roman" w:hAnsi="Times New Roman" w:cs="Times New Roman"/>
          <w:i w:val="0"/>
          <w:sz w:val="24"/>
          <w:szCs w:val="24"/>
        </w:rPr>
        <w:t>suurema</w:t>
      </w:r>
      <w:r>
        <w:rPr>
          <w:rStyle w:val="IntenseReference"/>
          <w:rFonts w:ascii="Times New Roman" w:hAnsi="Times New Roman" w:cs="Times New Roman"/>
          <w:i w:val="0"/>
          <w:sz w:val="24"/>
          <w:szCs w:val="24"/>
        </w:rPr>
        <w:t>T</w:t>
      </w:r>
      <w:r w:rsidRPr="006C62BF">
        <w:rPr>
          <w:rStyle w:val="IntenseReference"/>
          <w:rFonts w:ascii="Times New Roman" w:hAnsi="Times New Roman" w:cs="Times New Roman"/>
          <w:i w:val="0"/>
          <w:sz w:val="24"/>
          <w:szCs w:val="24"/>
        </w:rPr>
        <w:t xml:space="preserve"> lisandväärtus</w:t>
      </w:r>
      <w:r>
        <w:rPr>
          <w:rStyle w:val="IntenseReference"/>
          <w:rFonts w:ascii="Times New Roman" w:hAnsi="Times New Roman" w:cs="Times New Roman"/>
          <w:i w:val="0"/>
          <w:sz w:val="24"/>
          <w:szCs w:val="24"/>
        </w:rPr>
        <w:t>T</w:t>
      </w:r>
    </w:p>
    <w:p w:rsidR="00263C4D" w:rsidRPr="00267949" w:rsidRDefault="00263C4D" w:rsidP="00263C4D">
      <w:pPr>
        <w:spacing w:line="276" w:lineRule="auto"/>
        <w:rPr>
          <w:rFonts w:eastAsia="Calibri"/>
          <w:b/>
          <w:u w:val="single"/>
        </w:rPr>
      </w:pP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4819"/>
        <w:gridCol w:w="4678"/>
        <w:gridCol w:w="3402"/>
      </w:tblGrid>
      <w:tr w:rsidR="00263C4D" w:rsidRPr="00E958CE" w:rsidTr="00F541B2">
        <w:trPr>
          <w:cantSplit/>
        </w:trPr>
        <w:tc>
          <w:tcPr>
            <w:tcW w:w="2694" w:type="dxa"/>
            <w:tcBorders>
              <w:top w:val="single" w:sz="18" w:space="0" w:color="auto"/>
              <w:left w:val="single" w:sz="18" w:space="0" w:color="auto"/>
              <w:bottom w:val="single" w:sz="4" w:space="0" w:color="auto"/>
              <w:right w:val="single" w:sz="4" w:space="0" w:color="auto"/>
            </w:tcBorders>
            <w:shd w:val="clear" w:color="auto" w:fill="AD0101" w:themeFill="accent1"/>
            <w:vAlign w:val="center"/>
          </w:tcPr>
          <w:p w:rsidR="00263C4D" w:rsidRPr="00E958CE" w:rsidRDefault="00263C4D" w:rsidP="00F541B2">
            <w:pPr>
              <w:spacing w:line="276" w:lineRule="auto"/>
              <w:ind w:left="34"/>
              <w:jc w:val="center"/>
              <w:rPr>
                <w:rFonts w:ascii="Times New Roman" w:hAnsi="Times New Roman" w:cs="Times New Roman"/>
                <w:b/>
                <w:bCs/>
              </w:rPr>
            </w:pPr>
            <w:r w:rsidRPr="00E958CE">
              <w:rPr>
                <w:rFonts w:ascii="Times New Roman" w:hAnsi="Times New Roman" w:cs="Times New Roman"/>
                <w:b/>
                <w:bCs/>
              </w:rPr>
              <w:t>Meede</w:t>
            </w:r>
          </w:p>
        </w:tc>
        <w:tc>
          <w:tcPr>
            <w:tcW w:w="4819" w:type="dxa"/>
            <w:tcBorders>
              <w:top w:val="single" w:sz="18" w:space="0" w:color="auto"/>
              <w:left w:val="single" w:sz="4" w:space="0" w:color="auto"/>
              <w:bottom w:val="single" w:sz="4" w:space="0" w:color="auto"/>
              <w:right w:val="single" w:sz="4" w:space="0" w:color="auto"/>
            </w:tcBorders>
            <w:shd w:val="clear" w:color="auto" w:fill="AD0101" w:themeFill="accent1"/>
            <w:vAlign w:val="center"/>
          </w:tcPr>
          <w:p w:rsidR="00263C4D" w:rsidRPr="00E958CE" w:rsidRDefault="00263C4D" w:rsidP="00F541B2">
            <w:pPr>
              <w:spacing w:line="276" w:lineRule="auto"/>
              <w:contextualSpacing/>
              <w:jc w:val="center"/>
              <w:rPr>
                <w:rFonts w:ascii="Times New Roman" w:hAnsi="Times New Roman" w:cs="Times New Roman"/>
                <w:b/>
                <w:bCs/>
              </w:rPr>
            </w:pPr>
            <w:r w:rsidRPr="00E958CE">
              <w:rPr>
                <w:rFonts w:ascii="Times New Roman" w:hAnsi="Times New Roman" w:cs="Times New Roman"/>
                <w:b/>
                <w:bCs/>
              </w:rPr>
              <w:t>Tegevus/alategevus</w:t>
            </w:r>
          </w:p>
        </w:tc>
        <w:tc>
          <w:tcPr>
            <w:tcW w:w="4678" w:type="dxa"/>
            <w:tcBorders>
              <w:top w:val="single" w:sz="18" w:space="0" w:color="auto"/>
              <w:left w:val="single" w:sz="4" w:space="0" w:color="auto"/>
              <w:bottom w:val="single" w:sz="4" w:space="0" w:color="auto"/>
              <w:right w:val="single" w:sz="4" w:space="0" w:color="auto"/>
            </w:tcBorders>
            <w:shd w:val="clear" w:color="auto" w:fill="AD0101" w:themeFill="accent1"/>
            <w:vAlign w:val="center"/>
          </w:tcPr>
          <w:p w:rsidR="00263C4D" w:rsidRPr="00E958CE" w:rsidRDefault="00263C4D" w:rsidP="00F541B2">
            <w:pPr>
              <w:spacing w:line="276" w:lineRule="auto"/>
              <w:jc w:val="center"/>
              <w:rPr>
                <w:rFonts w:ascii="Times New Roman" w:hAnsi="Times New Roman" w:cs="Times New Roman"/>
                <w:b/>
              </w:rPr>
            </w:pPr>
            <w:r w:rsidRPr="00E958CE">
              <w:rPr>
                <w:rFonts w:ascii="Times New Roman" w:hAnsi="Times New Roman" w:cs="Times New Roman"/>
                <w:b/>
              </w:rPr>
              <w:t>Võimalik finantseerimise allikas</w:t>
            </w:r>
          </w:p>
        </w:tc>
        <w:tc>
          <w:tcPr>
            <w:tcW w:w="3402" w:type="dxa"/>
            <w:tcBorders>
              <w:top w:val="single" w:sz="18" w:space="0" w:color="auto"/>
              <w:left w:val="single" w:sz="4" w:space="0" w:color="auto"/>
              <w:bottom w:val="single" w:sz="4" w:space="0" w:color="auto"/>
              <w:right w:val="single" w:sz="18" w:space="0" w:color="auto"/>
            </w:tcBorders>
            <w:shd w:val="clear" w:color="auto" w:fill="AD0101" w:themeFill="accent1"/>
            <w:vAlign w:val="center"/>
          </w:tcPr>
          <w:p w:rsidR="00263C4D" w:rsidRPr="00E958CE" w:rsidRDefault="00263C4D" w:rsidP="00F541B2">
            <w:pPr>
              <w:spacing w:line="276" w:lineRule="auto"/>
              <w:jc w:val="center"/>
              <w:rPr>
                <w:rFonts w:ascii="Times New Roman" w:hAnsi="Times New Roman" w:cs="Times New Roman"/>
                <w:b/>
              </w:rPr>
            </w:pPr>
            <w:r w:rsidRPr="00E958CE">
              <w:rPr>
                <w:rFonts w:ascii="Times New Roman" w:hAnsi="Times New Roman" w:cs="Times New Roman"/>
                <w:b/>
              </w:rPr>
              <w:t>Sihtgrupp/täitja</w:t>
            </w:r>
          </w:p>
        </w:tc>
      </w:tr>
      <w:tr w:rsidR="00263C4D" w:rsidRPr="00E958CE" w:rsidTr="00F541B2">
        <w:trPr>
          <w:cantSplit/>
        </w:trPr>
        <w:tc>
          <w:tcPr>
            <w:tcW w:w="2694" w:type="dxa"/>
            <w:tcBorders>
              <w:top w:val="single" w:sz="18" w:space="0" w:color="auto"/>
              <w:left w:val="single" w:sz="18" w:space="0" w:color="auto"/>
            </w:tcBorders>
            <w:shd w:val="clear" w:color="auto" w:fill="auto"/>
            <w:vAlign w:val="center"/>
          </w:tcPr>
          <w:p w:rsidR="00263C4D" w:rsidRPr="00E958CE" w:rsidRDefault="00263C4D" w:rsidP="00F541B2">
            <w:pPr>
              <w:spacing w:line="276" w:lineRule="auto"/>
              <w:ind w:left="34"/>
              <w:rPr>
                <w:rFonts w:ascii="Times New Roman" w:hAnsi="Times New Roman" w:cs="Times New Roman"/>
                <w:b/>
                <w:bCs/>
              </w:rPr>
            </w:pPr>
            <w:r w:rsidRPr="00E958CE">
              <w:rPr>
                <w:rFonts w:ascii="Times New Roman" w:hAnsi="Times New Roman" w:cs="Times New Roman"/>
                <w:b/>
                <w:bCs/>
              </w:rPr>
              <w:t>1. Investeeringud töötlemise efektiivsuse tõstmiseks</w:t>
            </w:r>
          </w:p>
        </w:tc>
        <w:tc>
          <w:tcPr>
            <w:tcW w:w="4819" w:type="dxa"/>
            <w:tcBorders>
              <w:top w:val="single" w:sz="18" w:space="0" w:color="auto"/>
            </w:tcBorders>
            <w:shd w:val="clear" w:color="auto" w:fill="auto"/>
            <w:vAlign w:val="center"/>
          </w:tcPr>
          <w:p w:rsidR="00263C4D" w:rsidRPr="00E958CE" w:rsidRDefault="00263C4D" w:rsidP="00F541B2">
            <w:pPr>
              <w:spacing w:line="276" w:lineRule="auto"/>
              <w:contextualSpacing/>
              <w:rPr>
                <w:rFonts w:ascii="Times New Roman" w:hAnsi="Times New Roman" w:cs="Times New Roman"/>
                <w:bCs/>
              </w:rPr>
            </w:pPr>
            <w:r w:rsidRPr="00E958CE">
              <w:rPr>
                <w:rFonts w:ascii="Times New Roman" w:hAnsi="Times New Roman" w:cs="Times New Roman"/>
                <w:bCs/>
              </w:rPr>
              <w:t>1.1. Teraviljatöötlemise efektiivsuse tõstmiseks vajalike seadmete soetamine ning investeeringud ehitistesse</w:t>
            </w:r>
          </w:p>
        </w:tc>
        <w:tc>
          <w:tcPr>
            <w:tcW w:w="4678" w:type="dxa"/>
            <w:tcBorders>
              <w:top w:val="single" w:sz="18" w:space="0" w:color="auto"/>
            </w:tcBorders>
            <w:shd w:val="clear" w:color="auto" w:fill="auto"/>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MAK - Investeeringud põllumajandustoodete töötlemiseks ja turustamiseks</w:t>
            </w:r>
          </w:p>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Töötlejad</w:t>
            </w:r>
          </w:p>
        </w:tc>
        <w:tc>
          <w:tcPr>
            <w:tcW w:w="3402" w:type="dxa"/>
            <w:tcBorders>
              <w:top w:val="single" w:sz="18" w:space="0" w:color="auto"/>
              <w:right w:val="single" w:sz="18" w:space="0" w:color="auto"/>
            </w:tcBorders>
            <w:shd w:val="clear" w:color="auto" w:fill="auto"/>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 xml:space="preserve"> PM, PRIA, töötlejad, ühistud ja mikropõllumajandustootjad</w:t>
            </w:r>
          </w:p>
        </w:tc>
      </w:tr>
      <w:tr w:rsidR="00263C4D" w:rsidRPr="00E958CE" w:rsidTr="00F541B2">
        <w:trPr>
          <w:cantSplit/>
        </w:trPr>
        <w:tc>
          <w:tcPr>
            <w:tcW w:w="2694" w:type="dxa"/>
            <w:vMerge w:val="restart"/>
            <w:tcBorders>
              <w:top w:val="single" w:sz="18" w:space="0" w:color="auto"/>
              <w:left w:val="single" w:sz="18" w:space="0" w:color="auto"/>
            </w:tcBorders>
            <w:shd w:val="clear" w:color="auto" w:fill="FEBCBC" w:themeFill="accent1" w:themeFillTint="33"/>
            <w:vAlign w:val="center"/>
          </w:tcPr>
          <w:p w:rsidR="00263C4D" w:rsidRPr="00E958CE" w:rsidRDefault="00263C4D" w:rsidP="00F541B2">
            <w:pPr>
              <w:spacing w:line="276" w:lineRule="auto"/>
              <w:ind w:left="34"/>
              <w:rPr>
                <w:rFonts w:ascii="Times New Roman" w:hAnsi="Times New Roman" w:cs="Times New Roman"/>
                <w:b/>
                <w:bCs/>
              </w:rPr>
            </w:pPr>
            <w:r w:rsidRPr="00E958CE">
              <w:rPr>
                <w:rFonts w:ascii="Times New Roman" w:hAnsi="Times New Roman" w:cs="Times New Roman"/>
                <w:b/>
                <w:bCs/>
              </w:rPr>
              <w:t>2. Ühistegevuse soodustamine</w:t>
            </w:r>
          </w:p>
        </w:tc>
        <w:tc>
          <w:tcPr>
            <w:tcW w:w="4819" w:type="dxa"/>
            <w:tcBorders>
              <w:top w:val="single" w:sz="18" w:space="0" w:color="auto"/>
              <w:bottom w:val="single" w:sz="2" w:space="0" w:color="auto"/>
            </w:tcBorders>
            <w:shd w:val="clear" w:color="auto" w:fill="FEBCBC" w:themeFill="accent1" w:themeFillTint="33"/>
            <w:vAlign w:val="center"/>
          </w:tcPr>
          <w:p w:rsidR="00263C4D" w:rsidRPr="00E958CE" w:rsidRDefault="00263C4D" w:rsidP="00F541B2">
            <w:pPr>
              <w:spacing w:line="276" w:lineRule="auto"/>
              <w:contextualSpacing/>
              <w:rPr>
                <w:rFonts w:ascii="Times New Roman" w:hAnsi="Times New Roman" w:cs="Times New Roman"/>
                <w:bCs/>
              </w:rPr>
            </w:pPr>
            <w:r w:rsidRPr="00E958CE">
              <w:rPr>
                <w:rFonts w:ascii="Times New Roman" w:hAnsi="Times New Roman" w:cs="Times New Roman"/>
                <w:bCs/>
              </w:rPr>
              <w:t>2.1. Tootjate omavahelise koostöö arendamine</w:t>
            </w:r>
          </w:p>
        </w:tc>
        <w:tc>
          <w:tcPr>
            <w:tcW w:w="4678" w:type="dxa"/>
            <w:tcBorders>
              <w:top w:val="single" w:sz="18" w:space="0" w:color="auto"/>
              <w:bottom w:val="single" w:sz="2" w:space="0" w:color="auto"/>
            </w:tcBorders>
            <w:shd w:val="clear" w:color="auto" w:fill="FEBCBC" w:themeFill="accent1" w:themeFillTint="33"/>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MAK - Tootjarühmade loomine</w:t>
            </w:r>
          </w:p>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Põllumajandustootjad</w:t>
            </w:r>
          </w:p>
        </w:tc>
        <w:tc>
          <w:tcPr>
            <w:tcW w:w="3402" w:type="dxa"/>
            <w:tcBorders>
              <w:top w:val="single" w:sz="18" w:space="0" w:color="auto"/>
              <w:bottom w:val="single" w:sz="2" w:space="0" w:color="auto"/>
              <w:right w:val="single" w:sz="18" w:space="0" w:color="auto"/>
            </w:tcBorders>
            <w:shd w:val="clear" w:color="auto" w:fill="FEBCBC" w:themeFill="accent1" w:themeFillTint="33"/>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PM, PRIA, põllumajandustootjad, ühistud, nõustajad ja konsulendid</w:t>
            </w:r>
          </w:p>
        </w:tc>
      </w:tr>
      <w:tr w:rsidR="00263C4D" w:rsidRPr="00E958CE" w:rsidTr="00F541B2">
        <w:trPr>
          <w:cantSplit/>
        </w:trPr>
        <w:tc>
          <w:tcPr>
            <w:tcW w:w="2694" w:type="dxa"/>
            <w:vMerge/>
            <w:tcBorders>
              <w:left w:val="single" w:sz="18" w:space="0" w:color="auto"/>
            </w:tcBorders>
            <w:shd w:val="clear" w:color="auto" w:fill="FEBCBC" w:themeFill="accent1" w:themeFillTint="33"/>
            <w:vAlign w:val="center"/>
          </w:tcPr>
          <w:p w:rsidR="00263C4D" w:rsidRPr="00E958CE" w:rsidRDefault="00263C4D" w:rsidP="00F541B2">
            <w:pPr>
              <w:spacing w:line="276" w:lineRule="auto"/>
              <w:ind w:left="34"/>
              <w:rPr>
                <w:rFonts w:ascii="Times New Roman" w:hAnsi="Times New Roman" w:cs="Times New Roman"/>
                <w:b/>
                <w:bCs/>
              </w:rPr>
            </w:pPr>
          </w:p>
        </w:tc>
        <w:tc>
          <w:tcPr>
            <w:tcW w:w="4819" w:type="dxa"/>
            <w:tcBorders>
              <w:top w:val="single" w:sz="2" w:space="0" w:color="auto"/>
            </w:tcBorders>
            <w:shd w:val="clear" w:color="auto" w:fill="FEBCBC" w:themeFill="accent1" w:themeFillTint="33"/>
            <w:vAlign w:val="center"/>
          </w:tcPr>
          <w:p w:rsidR="00263C4D" w:rsidRPr="00E958CE" w:rsidRDefault="00263C4D" w:rsidP="00F541B2">
            <w:pPr>
              <w:spacing w:line="276" w:lineRule="auto"/>
              <w:contextualSpacing/>
              <w:rPr>
                <w:rFonts w:ascii="Times New Roman" w:hAnsi="Times New Roman" w:cs="Times New Roman"/>
                <w:bCs/>
              </w:rPr>
            </w:pPr>
            <w:r w:rsidRPr="00E958CE">
              <w:rPr>
                <w:rFonts w:ascii="Times New Roman" w:hAnsi="Times New Roman" w:cs="Times New Roman"/>
                <w:bCs/>
              </w:rPr>
              <w:t>2.2. Koostöö arendamine läbi lühikese tarneahela</w:t>
            </w:r>
          </w:p>
        </w:tc>
        <w:tc>
          <w:tcPr>
            <w:tcW w:w="4678" w:type="dxa"/>
            <w:tcBorders>
              <w:top w:val="single" w:sz="2" w:space="0" w:color="auto"/>
            </w:tcBorders>
            <w:shd w:val="clear" w:color="auto" w:fill="FEBCBC" w:themeFill="accent1" w:themeFillTint="33"/>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MAK - Koostöö (tarneahelad)</w:t>
            </w:r>
          </w:p>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 xml:space="preserve"> MAK - Kvaliteedikavades osalemine ja kvaliteedikavade raames toodetud toodete edendamine</w:t>
            </w:r>
          </w:p>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Põllumajandustootjad ja töötlejad</w:t>
            </w:r>
          </w:p>
        </w:tc>
        <w:tc>
          <w:tcPr>
            <w:tcW w:w="3402" w:type="dxa"/>
            <w:tcBorders>
              <w:top w:val="single" w:sz="2" w:space="0" w:color="auto"/>
              <w:right w:val="single" w:sz="18" w:space="0" w:color="auto"/>
            </w:tcBorders>
            <w:shd w:val="clear" w:color="auto" w:fill="FEBCBC" w:themeFill="accent1" w:themeFillTint="33"/>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PM, PRIA, põllumajandustootjad, töötlejad, nõustajad, konsulendid,  teadus- ja arendusasutused</w:t>
            </w:r>
          </w:p>
        </w:tc>
      </w:tr>
      <w:tr w:rsidR="00263C4D" w:rsidRPr="00E958CE" w:rsidTr="00F541B2">
        <w:trPr>
          <w:cantSplit/>
        </w:trPr>
        <w:tc>
          <w:tcPr>
            <w:tcW w:w="2694" w:type="dxa"/>
            <w:vMerge w:val="restart"/>
            <w:tcBorders>
              <w:top w:val="single" w:sz="18" w:space="0" w:color="auto"/>
              <w:left w:val="single" w:sz="18" w:space="0" w:color="auto"/>
            </w:tcBorders>
            <w:shd w:val="clear" w:color="auto" w:fill="auto"/>
            <w:vAlign w:val="center"/>
          </w:tcPr>
          <w:p w:rsidR="00263C4D" w:rsidRPr="00E958CE" w:rsidRDefault="00263C4D" w:rsidP="00F541B2">
            <w:pPr>
              <w:spacing w:line="276" w:lineRule="auto"/>
              <w:rPr>
                <w:rFonts w:ascii="Times New Roman" w:hAnsi="Times New Roman" w:cs="Times New Roman"/>
                <w:b/>
                <w:bCs/>
              </w:rPr>
            </w:pPr>
            <w:r w:rsidRPr="00E958CE">
              <w:rPr>
                <w:rFonts w:ascii="Times New Roman" w:hAnsi="Times New Roman" w:cs="Times New Roman"/>
                <w:b/>
                <w:bCs/>
              </w:rPr>
              <w:t>3. Uute tootmis- ja töötlemisvõimaluste analüüs ja leidmine</w:t>
            </w:r>
          </w:p>
        </w:tc>
        <w:tc>
          <w:tcPr>
            <w:tcW w:w="4819" w:type="dxa"/>
            <w:tcBorders>
              <w:top w:val="single" w:sz="18" w:space="0" w:color="auto"/>
            </w:tcBorders>
            <w:shd w:val="clear" w:color="auto" w:fill="auto"/>
            <w:vAlign w:val="center"/>
          </w:tcPr>
          <w:p w:rsidR="00263C4D" w:rsidRPr="00E958CE" w:rsidRDefault="00263C4D" w:rsidP="00F541B2">
            <w:pPr>
              <w:spacing w:line="276" w:lineRule="auto"/>
              <w:rPr>
                <w:rFonts w:ascii="Times New Roman" w:hAnsi="Times New Roman" w:cs="Times New Roman"/>
                <w:bCs/>
              </w:rPr>
            </w:pPr>
            <w:r w:rsidRPr="00E958CE">
              <w:rPr>
                <w:rFonts w:ascii="Times New Roman" w:hAnsi="Times New Roman" w:cs="Times New Roman"/>
                <w:bCs/>
              </w:rPr>
              <w:t xml:space="preserve"> 3.1. Tootjate ja töötlejate tootlikkuse suurendamine läbi innovaatiliste lahenduste rakendamise</w:t>
            </w:r>
          </w:p>
        </w:tc>
        <w:tc>
          <w:tcPr>
            <w:tcW w:w="4678" w:type="dxa"/>
            <w:tcBorders>
              <w:top w:val="single" w:sz="18" w:space="0" w:color="auto"/>
            </w:tcBorders>
            <w:shd w:val="clear" w:color="auto" w:fill="auto"/>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MAK - Koostöö (EIP)</w:t>
            </w:r>
          </w:p>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Põllumajandustootjad ja töötlejad</w:t>
            </w:r>
          </w:p>
        </w:tc>
        <w:tc>
          <w:tcPr>
            <w:tcW w:w="3402" w:type="dxa"/>
            <w:tcBorders>
              <w:top w:val="single" w:sz="18" w:space="0" w:color="auto"/>
              <w:right w:val="single" w:sz="18" w:space="0" w:color="auto"/>
            </w:tcBorders>
            <w:shd w:val="clear" w:color="auto" w:fill="auto"/>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PM, PRIA, põllumajandustootjad, töötlejad, nõustajad, konsulendid, teadus- ja arendusasutused</w:t>
            </w:r>
          </w:p>
        </w:tc>
      </w:tr>
      <w:tr w:rsidR="00263C4D" w:rsidRPr="00E958CE" w:rsidTr="00F541B2">
        <w:trPr>
          <w:cantSplit/>
          <w:trHeight w:val="674"/>
        </w:trPr>
        <w:tc>
          <w:tcPr>
            <w:tcW w:w="2694" w:type="dxa"/>
            <w:vMerge/>
            <w:tcBorders>
              <w:left w:val="single" w:sz="18" w:space="0" w:color="auto"/>
            </w:tcBorders>
            <w:shd w:val="clear" w:color="auto" w:fill="auto"/>
            <w:vAlign w:val="center"/>
          </w:tcPr>
          <w:p w:rsidR="00263C4D" w:rsidRPr="00E958CE" w:rsidRDefault="00263C4D" w:rsidP="00F541B2">
            <w:pPr>
              <w:spacing w:line="276" w:lineRule="auto"/>
              <w:rPr>
                <w:rFonts w:ascii="Times New Roman" w:hAnsi="Times New Roman" w:cs="Times New Roman"/>
                <w:b/>
                <w:bCs/>
              </w:rPr>
            </w:pPr>
          </w:p>
        </w:tc>
        <w:tc>
          <w:tcPr>
            <w:tcW w:w="4819" w:type="dxa"/>
            <w:shd w:val="clear" w:color="auto" w:fill="auto"/>
            <w:vAlign w:val="center"/>
          </w:tcPr>
          <w:p w:rsidR="00263C4D" w:rsidRPr="00E958CE" w:rsidRDefault="00263C4D" w:rsidP="00F541B2">
            <w:pPr>
              <w:spacing w:line="276" w:lineRule="auto"/>
              <w:contextualSpacing/>
              <w:rPr>
                <w:rFonts w:ascii="Times New Roman" w:hAnsi="Times New Roman" w:cs="Times New Roman"/>
                <w:bCs/>
              </w:rPr>
            </w:pPr>
            <w:r w:rsidRPr="00E958CE">
              <w:rPr>
                <w:rFonts w:ascii="Times New Roman" w:hAnsi="Times New Roman" w:cs="Times New Roman"/>
                <w:bCs/>
              </w:rPr>
              <w:t xml:space="preserve"> 3.2. Uute toodete, protsesside, tehnoloogiate arendamine ja katseprojektide elluviimine</w:t>
            </w:r>
          </w:p>
        </w:tc>
        <w:tc>
          <w:tcPr>
            <w:tcW w:w="4678" w:type="dxa"/>
            <w:shd w:val="clear" w:color="auto" w:fill="auto"/>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 xml:space="preserve">MAK - Koostöö (EIP ja TAP) </w:t>
            </w:r>
          </w:p>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Põllumajandustootjad ja töötlejad</w:t>
            </w:r>
          </w:p>
        </w:tc>
        <w:tc>
          <w:tcPr>
            <w:tcW w:w="3402" w:type="dxa"/>
            <w:tcBorders>
              <w:right w:val="single" w:sz="18" w:space="0" w:color="auto"/>
            </w:tcBorders>
            <w:shd w:val="clear" w:color="auto" w:fill="auto"/>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PM, PRIA, põllumajandustootjad, töötlejad, nõustajad, konsulendid, teadus- ja arendusasutused</w:t>
            </w:r>
          </w:p>
        </w:tc>
      </w:tr>
      <w:tr w:rsidR="00263C4D" w:rsidRPr="00E958CE" w:rsidTr="00F541B2">
        <w:trPr>
          <w:cantSplit/>
        </w:trPr>
        <w:tc>
          <w:tcPr>
            <w:tcW w:w="2694" w:type="dxa"/>
            <w:vMerge w:val="restart"/>
            <w:tcBorders>
              <w:top w:val="single" w:sz="18" w:space="0" w:color="auto"/>
              <w:left w:val="single" w:sz="18" w:space="0" w:color="auto"/>
            </w:tcBorders>
            <w:shd w:val="clear" w:color="auto" w:fill="FEBCBC" w:themeFill="accent1" w:themeFillTint="33"/>
            <w:vAlign w:val="center"/>
          </w:tcPr>
          <w:p w:rsidR="00263C4D" w:rsidRPr="00E958CE" w:rsidRDefault="00263C4D" w:rsidP="00F541B2">
            <w:pPr>
              <w:spacing w:line="276" w:lineRule="auto"/>
              <w:ind w:left="34"/>
              <w:rPr>
                <w:rFonts w:ascii="Times New Roman" w:hAnsi="Times New Roman" w:cs="Times New Roman"/>
                <w:b/>
                <w:bCs/>
              </w:rPr>
            </w:pPr>
            <w:r w:rsidRPr="00E958CE">
              <w:rPr>
                <w:rFonts w:ascii="Times New Roman" w:hAnsi="Times New Roman" w:cs="Times New Roman"/>
                <w:b/>
                <w:bCs/>
              </w:rPr>
              <w:t xml:space="preserve">4. Teravilja </w:t>
            </w:r>
            <w:proofErr w:type="spellStart"/>
            <w:r w:rsidRPr="00E958CE">
              <w:rPr>
                <w:rFonts w:ascii="Times New Roman" w:hAnsi="Times New Roman" w:cs="Times New Roman"/>
                <w:b/>
                <w:bCs/>
              </w:rPr>
              <w:t>väärindamine</w:t>
            </w:r>
            <w:proofErr w:type="spellEnd"/>
            <w:r w:rsidRPr="00E958CE">
              <w:rPr>
                <w:rFonts w:ascii="Times New Roman" w:hAnsi="Times New Roman" w:cs="Times New Roman"/>
                <w:b/>
                <w:bCs/>
              </w:rPr>
              <w:t xml:space="preserve"> loomakasvatuse kaudu</w:t>
            </w:r>
          </w:p>
        </w:tc>
        <w:tc>
          <w:tcPr>
            <w:tcW w:w="4819" w:type="dxa"/>
            <w:tcBorders>
              <w:top w:val="single" w:sz="18" w:space="0" w:color="auto"/>
            </w:tcBorders>
            <w:shd w:val="clear" w:color="auto" w:fill="FEBCBC" w:themeFill="accent1" w:themeFillTint="33"/>
            <w:vAlign w:val="center"/>
          </w:tcPr>
          <w:p w:rsidR="00263C4D" w:rsidRPr="00E958CE" w:rsidRDefault="00263C4D" w:rsidP="00F541B2">
            <w:pPr>
              <w:spacing w:line="276" w:lineRule="auto"/>
              <w:contextualSpacing/>
              <w:rPr>
                <w:rFonts w:ascii="Times New Roman" w:hAnsi="Times New Roman" w:cs="Times New Roman"/>
                <w:bCs/>
              </w:rPr>
            </w:pPr>
            <w:r w:rsidRPr="00E958CE">
              <w:rPr>
                <w:rFonts w:ascii="Times New Roman" w:hAnsi="Times New Roman" w:cs="Times New Roman"/>
                <w:bCs/>
              </w:rPr>
              <w:t>4.1. Segatootmise edendamine</w:t>
            </w:r>
          </w:p>
        </w:tc>
        <w:tc>
          <w:tcPr>
            <w:tcW w:w="4678" w:type="dxa"/>
            <w:tcBorders>
              <w:top w:val="single" w:sz="18" w:space="0" w:color="auto"/>
            </w:tcBorders>
            <w:shd w:val="clear" w:color="auto" w:fill="FEBCBC" w:themeFill="accent1" w:themeFillTint="33"/>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Põllumajandustootjad</w:t>
            </w:r>
          </w:p>
        </w:tc>
        <w:tc>
          <w:tcPr>
            <w:tcW w:w="3402" w:type="dxa"/>
            <w:tcBorders>
              <w:top w:val="single" w:sz="18" w:space="0" w:color="auto"/>
              <w:right w:val="single" w:sz="18" w:space="0" w:color="auto"/>
            </w:tcBorders>
            <w:shd w:val="clear" w:color="auto" w:fill="FEBCBC" w:themeFill="accent1" w:themeFillTint="33"/>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Põllumajandustootjad</w:t>
            </w:r>
          </w:p>
        </w:tc>
      </w:tr>
      <w:tr w:rsidR="00263C4D" w:rsidRPr="00E958CE" w:rsidTr="00F541B2">
        <w:trPr>
          <w:cantSplit/>
          <w:trHeight w:val="390"/>
        </w:trPr>
        <w:tc>
          <w:tcPr>
            <w:tcW w:w="2694" w:type="dxa"/>
            <w:vMerge/>
            <w:tcBorders>
              <w:left w:val="single" w:sz="18" w:space="0" w:color="auto"/>
            </w:tcBorders>
            <w:shd w:val="clear" w:color="auto" w:fill="FEBCBC" w:themeFill="accent1" w:themeFillTint="33"/>
            <w:vAlign w:val="center"/>
          </w:tcPr>
          <w:p w:rsidR="00263C4D" w:rsidRPr="00E958CE" w:rsidRDefault="00263C4D" w:rsidP="00F541B2">
            <w:pPr>
              <w:spacing w:line="276" w:lineRule="auto"/>
              <w:rPr>
                <w:rFonts w:ascii="Times New Roman" w:hAnsi="Times New Roman" w:cs="Times New Roman"/>
                <w:b/>
                <w:bCs/>
              </w:rPr>
            </w:pPr>
          </w:p>
        </w:tc>
        <w:tc>
          <w:tcPr>
            <w:tcW w:w="4819" w:type="dxa"/>
            <w:shd w:val="clear" w:color="auto" w:fill="FEBCBC" w:themeFill="accent1" w:themeFillTint="33"/>
            <w:vAlign w:val="center"/>
          </w:tcPr>
          <w:p w:rsidR="00263C4D" w:rsidRPr="00E958CE" w:rsidRDefault="00263C4D" w:rsidP="00F541B2">
            <w:pPr>
              <w:spacing w:line="276" w:lineRule="auto"/>
              <w:rPr>
                <w:rFonts w:ascii="Times New Roman" w:hAnsi="Times New Roman" w:cs="Times New Roman"/>
                <w:bCs/>
              </w:rPr>
            </w:pPr>
            <w:r w:rsidRPr="00E958CE">
              <w:rPr>
                <w:rFonts w:ascii="Times New Roman" w:hAnsi="Times New Roman" w:cs="Times New Roman"/>
                <w:bCs/>
              </w:rPr>
              <w:t>4.2. Söödatoomise edendamine</w:t>
            </w:r>
          </w:p>
        </w:tc>
        <w:tc>
          <w:tcPr>
            <w:tcW w:w="4678" w:type="dxa"/>
            <w:shd w:val="clear" w:color="auto" w:fill="FEBCBC" w:themeFill="accent1" w:themeFillTint="33"/>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MAK - Investeeringud põllumajandustoodete töötlemiseks ja turustamiseks</w:t>
            </w:r>
          </w:p>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Mikropõllumajandustootjad ja töötlejad</w:t>
            </w:r>
          </w:p>
        </w:tc>
        <w:tc>
          <w:tcPr>
            <w:tcW w:w="3402" w:type="dxa"/>
            <w:tcBorders>
              <w:right w:val="single" w:sz="18" w:space="0" w:color="auto"/>
            </w:tcBorders>
            <w:shd w:val="clear" w:color="auto" w:fill="FEBCBC" w:themeFill="accent1" w:themeFillTint="33"/>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PM, PRIA, mikropõllumajandustootjad, töötlejad ja ühistud</w:t>
            </w:r>
          </w:p>
        </w:tc>
      </w:tr>
      <w:tr w:rsidR="00263C4D" w:rsidRPr="00E958CE" w:rsidTr="00F541B2">
        <w:trPr>
          <w:cantSplit/>
          <w:trHeight w:val="674"/>
        </w:trPr>
        <w:tc>
          <w:tcPr>
            <w:tcW w:w="2694" w:type="dxa"/>
            <w:tcBorders>
              <w:top w:val="single" w:sz="18" w:space="0" w:color="auto"/>
              <w:left w:val="single" w:sz="18" w:space="0" w:color="auto"/>
              <w:bottom w:val="single" w:sz="18" w:space="0" w:color="auto"/>
            </w:tcBorders>
            <w:shd w:val="clear" w:color="auto" w:fill="auto"/>
            <w:vAlign w:val="center"/>
          </w:tcPr>
          <w:p w:rsidR="00263C4D" w:rsidRPr="00E958CE" w:rsidRDefault="00263C4D" w:rsidP="00F541B2">
            <w:pPr>
              <w:spacing w:line="276" w:lineRule="auto"/>
              <w:ind w:left="34"/>
              <w:rPr>
                <w:rFonts w:ascii="Times New Roman" w:hAnsi="Times New Roman" w:cs="Times New Roman"/>
                <w:b/>
                <w:bCs/>
              </w:rPr>
            </w:pPr>
            <w:r w:rsidRPr="00E958CE">
              <w:rPr>
                <w:rFonts w:ascii="Times New Roman" w:hAnsi="Times New Roman" w:cs="Times New Roman"/>
                <w:b/>
                <w:bCs/>
              </w:rPr>
              <w:t>5. Sertifitseeritud seemne tootmine</w:t>
            </w:r>
          </w:p>
        </w:tc>
        <w:tc>
          <w:tcPr>
            <w:tcW w:w="12899" w:type="dxa"/>
            <w:gridSpan w:val="3"/>
            <w:tcBorders>
              <w:top w:val="single" w:sz="18" w:space="0" w:color="auto"/>
              <w:bottom w:val="single" w:sz="18" w:space="0" w:color="auto"/>
              <w:right w:val="single" w:sz="18" w:space="0" w:color="auto"/>
            </w:tcBorders>
            <w:shd w:val="clear" w:color="auto" w:fill="auto"/>
            <w:vAlign w:val="center"/>
          </w:tcPr>
          <w:p w:rsidR="00263C4D" w:rsidRPr="00E958CE" w:rsidRDefault="00263C4D" w:rsidP="00F541B2">
            <w:pPr>
              <w:spacing w:line="276" w:lineRule="auto"/>
              <w:rPr>
                <w:rFonts w:ascii="Times New Roman" w:hAnsi="Times New Roman" w:cs="Times New Roman"/>
                <w:bCs/>
              </w:rPr>
            </w:pPr>
            <w:r w:rsidRPr="00E958CE">
              <w:rPr>
                <w:rFonts w:ascii="Times New Roman" w:hAnsi="Times New Roman" w:cs="Times New Roman"/>
                <w:bCs/>
              </w:rPr>
              <w:t>Ühe võimalusena teravilja tootmisele suuremat lisandväärtust anda on seemnevilja kasvatamine, millele aitavad kaasa rakendusplaani I eesmärgi meetmetes 3 ja 4 nimetatud Eesti seemnemajanduse arengukava aastateks 2014–2020</w:t>
            </w:r>
            <w:r>
              <w:rPr>
                <w:rFonts w:ascii="Times New Roman" w:hAnsi="Times New Roman" w:cs="Times New Roman"/>
                <w:bCs/>
              </w:rPr>
              <w:t xml:space="preserve"> ja MAK</w:t>
            </w:r>
            <w:r w:rsidRPr="00E958CE">
              <w:rPr>
                <w:rFonts w:ascii="Times New Roman" w:hAnsi="Times New Roman" w:cs="Times New Roman"/>
                <w:bCs/>
              </w:rPr>
              <w:t xml:space="preserve"> planeeritavate meetmete rakendamine. </w:t>
            </w:r>
          </w:p>
        </w:tc>
      </w:tr>
      <w:tr w:rsidR="00263C4D" w:rsidRPr="00E958CE" w:rsidTr="00F541B2">
        <w:trPr>
          <w:cantSplit/>
          <w:trHeight w:val="938"/>
        </w:trPr>
        <w:tc>
          <w:tcPr>
            <w:tcW w:w="2694" w:type="dxa"/>
            <w:tcBorders>
              <w:top w:val="single" w:sz="18" w:space="0" w:color="auto"/>
              <w:left w:val="single" w:sz="18" w:space="0" w:color="auto"/>
              <w:bottom w:val="single" w:sz="18" w:space="0" w:color="auto"/>
            </w:tcBorders>
            <w:shd w:val="clear" w:color="auto" w:fill="FEBCBC" w:themeFill="accent1" w:themeFillTint="33"/>
            <w:vAlign w:val="center"/>
          </w:tcPr>
          <w:p w:rsidR="00263C4D" w:rsidRPr="00E958CE" w:rsidRDefault="00263C4D" w:rsidP="00F541B2">
            <w:pPr>
              <w:spacing w:line="276" w:lineRule="auto"/>
              <w:ind w:left="34"/>
              <w:rPr>
                <w:rFonts w:ascii="Times New Roman" w:hAnsi="Times New Roman" w:cs="Times New Roman"/>
                <w:b/>
                <w:bCs/>
              </w:rPr>
            </w:pPr>
            <w:r w:rsidRPr="00E958CE">
              <w:rPr>
                <w:rFonts w:ascii="Times New Roman" w:hAnsi="Times New Roman" w:cs="Times New Roman"/>
                <w:b/>
                <w:bCs/>
              </w:rPr>
              <w:lastRenderedPageBreak/>
              <w:t>6. Mahetoodangu ja töödeldud toodete mahu suurendamine</w:t>
            </w:r>
          </w:p>
        </w:tc>
        <w:tc>
          <w:tcPr>
            <w:tcW w:w="12899" w:type="dxa"/>
            <w:gridSpan w:val="3"/>
            <w:tcBorders>
              <w:top w:val="single" w:sz="18" w:space="0" w:color="auto"/>
              <w:bottom w:val="single" w:sz="18" w:space="0" w:color="auto"/>
              <w:right w:val="single" w:sz="18" w:space="0" w:color="auto"/>
            </w:tcBorders>
            <w:shd w:val="clear" w:color="auto" w:fill="FEBCBC" w:themeFill="accent1" w:themeFillTint="33"/>
            <w:vAlign w:val="center"/>
          </w:tcPr>
          <w:p w:rsidR="00263C4D" w:rsidRPr="00E958CE" w:rsidRDefault="00263C4D" w:rsidP="00F541B2">
            <w:pPr>
              <w:spacing w:line="276" w:lineRule="auto"/>
              <w:contextualSpacing/>
              <w:rPr>
                <w:rFonts w:ascii="Times New Roman" w:hAnsi="Times New Roman" w:cs="Times New Roman"/>
              </w:rPr>
            </w:pPr>
            <w:r w:rsidRPr="00E958CE">
              <w:rPr>
                <w:rFonts w:ascii="Times New Roman" w:hAnsi="Times New Roman" w:cs="Times New Roman"/>
              </w:rPr>
              <w:t>Lisandväärtust aitab luua Eesti mahepõllumajanduse arengukava aastateks 2014–2020 ja selle rakendusplaani raames</w:t>
            </w:r>
            <w:r w:rsidRPr="00E958CE">
              <w:rPr>
                <w:rFonts w:ascii="Times New Roman" w:hAnsi="Times New Roman" w:cs="Times New Roman"/>
                <w:bCs/>
              </w:rPr>
              <w:t xml:space="preserve"> planeeritavate meetmete rakendamine</w:t>
            </w:r>
            <w:r w:rsidRPr="00E958CE">
              <w:rPr>
                <w:rFonts w:ascii="Times New Roman" w:hAnsi="Times New Roman" w:cs="Times New Roman"/>
              </w:rPr>
              <w:t>:</w:t>
            </w:r>
          </w:p>
          <w:p w:rsidR="00263C4D" w:rsidRPr="00E958CE" w:rsidRDefault="00263C4D" w:rsidP="00263C4D">
            <w:pPr>
              <w:pStyle w:val="ListParagraph"/>
              <w:numPr>
                <w:ilvl w:val="0"/>
                <w:numId w:val="28"/>
              </w:numPr>
              <w:spacing w:line="276" w:lineRule="auto"/>
              <w:ind w:left="459" w:hanging="284"/>
              <w:rPr>
                <w:rFonts w:ascii="Times New Roman" w:hAnsi="Times New Roman" w:cs="Times New Roman"/>
              </w:rPr>
            </w:pPr>
            <w:r w:rsidRPr="00E958CE">
              <w:rPr>
                <w:rFonts w:ascii="Times New Roman" w:hAnsi="Times New Roman" w:cs="Times New Roman"/>
              </w:rPr>
              <w:t>Mahepõllumajandusliku taimekasvatuse arendamine mahepõllumajandusliku tootmise toetuse kaudu;</w:t>
            </w:r>
          </w:p>
          <w:p w:rsidR="00263C4D" w:rsidRPr="00E958CE" w:rsidRDefault="00263C4D" w:rsidP="00263C4D">
            <w:pPr>
              <w:pStyle w:val="ListParagraph"/>
              <w:numPr>
                <w:ilvl w:val="0"/>
                <w:numId w:val="28"/>
              </w:numPr>
              <w:spacing w:line="276" w:lineRule="auto"/>
              <w:ind w:left="459" w:hanging="284"/>
              <w:rPr>
                <w:rFonts w:ascii="Times New Roman" w:hAnsi="Times New Roman" w:cs="Times New Roman"/>
              </w:rPr>
            </w:pPr>
            <w:r w:rsidRPr="00E958CE">
              <w:rPr>
                <w:rFonts w:ascii="Times New Roman" w:hAnsi="Times New Roman" w:cs="Times New Roman"/>
              </w:rPr>
              <w:t>Tehnoloogiliste võimaluste parandamine ja innovaatiliste lahenduste kasutuselevõtt tootmises;</w:t>
            </w:r>
          </w:p>
          <w:p w:rsidR="00263C4D" w:rsidRPr="00E958CE" w:rsidRDefault="00263C4D" w:rsidP="00263C4D">
            <w:pPr>
              <w:pStyle w:val="ListParagraph"/>
              <w:numPr>
                <w:ilvl w:val="0"/>
                <w:numId w:val="28"/>
              </w:numPr>
              <w:spacing w:line="276" w:lineRule="auto"/>
              <w:ind w:left="459" w:hanging="284"/>
              <w:rPr>
                <w:rFonts w:ascii="Times New Roman" w:hAnsi="Times New Roman" w:cs="Times New Roman"/>
              </w:rPr>
            </w:pPr>
            <w:r w:rsidRPr="00E958CE">
              <w:rPr>
                <w:rFonts w:ascii="Times New Roman" w:hAnsi="Times New Roman" w:cs="Times New Roman"/>
              </w:rPr>
              <w:t>Tootjate ühistegevuse soodustamine ja mahetootjate koostööd arendava katusorganisatsiooni toetamine, lisaks ka mahetootjate ja töötlejate koostöö arendamine ning koostöö turustajatega;</w:t>
            </w:r>
          </w:p>
          <w:p w:rsidR="00263C4D" w:rsidRPr="00E958CE" w:rsidRDefault="00263C4D" w:rsidP="00263C4D">
            <w:pPr>
              <w:pStyle w:val="ListParagraph"/>
              <w:numPr>
                <w:ilvl w:val="0"/>
                <w:numId w:val="28"/>
              </w:numPr>
              <w:spacing w:line="276" w:lineRule="auto"/>
              <w:ind w:left="459" w:hanging="284"/>
              <w:rPr>
                <w:rFonts w:ascii="Times New Roman" w:hAnsi="Times New Roman" w:cs="Times New Roman"/>
              </w:rPr>
            </w:pPr>
            <w:r w:rsidRPr="00E958CE">
              <w:rPr>
                <w:rFonts w:ascii="Times New Roman" w:hAnsi="Times New Roman" w:cs="Times New Roman"/>
              </w:rPr>
              <w:t>Mahetoodete tootearenduse ja tehnoloogiate arendamine ning töödeldud mahetoodete sortimendi laiendamine ning mahepõllumajanduslike töötlemiskeskuste asutamise ja arendamise toetamine</w:t>
            </w:r>
            <w:r w:rsidR="00525715">
              <w:rPr>
                <w:rFonts w:ascii="Times New Roman" w:hAnsi="Times New Roman" w:cs="Times New Roman"/>
              </w:rPr>
              <w:t>;</w:t>
            </w:r>
          </w:p>
          <w:p w:rsidR="00263C4D" w:rsidRPr="00E958CE" w:rsidRDefault="00263C4D" w:rsidP="00263C4D">
            <w:pPr>
              <w:pStyle w:val="ListParagraph"/>
              <w:numPr>
                <w:ilvl w:val="0"/>
                <w:numId w:val="28"/>
              </w:numPr>
              <w:spacing w:line="276" w:lineRule="auto"/>
              <w:ind w:left="459" w:hanging="284"/>
              <w:rPr>
                <w:rFonts w:ascii="Times New Roman" w:hAnsi="Times New Roman" w:cs="Times New Roman"/>
              </w:rPr>
            </w:pPr>
            <w:r w:rsidRPr="00E958CE">
              <w:rPr>
                <w:rFonts w:ascii="Times New Roman" w:hAnsi="Times New Roman" w:cs="Times New Roman"/>
              </w:rPr>
              <w:t>Mahetöötlemise arendamise alane koostöö te</w:t>
            </w:r>
            <w:r w:rsidR="00525715">
              <w:rPr>
                <w:rFonts w:ascii="Times New Roman" w:hAnsi="Times New Roman" w:cs="Times New Roman"/>
              </w:rPr>
              <w:t>iste riikidega, sh tootearendus</w:t>
            </w:r>
          </w:p>
        </w:tc>
      </w:tr>
      <w:tr w:rsidR="00263C4D" w:rsidRPr="00E958CE" w:rsidTr="00F541B2">
        <w:trPr>
          <w:cantSplit/>
          <w:trHeight w:val="575"/>
        </w:trPr>
        <w:tc>
          <w:tcPr>
            <w:tcW w:w="2694" w:type="dxa"/>
            <w:tcBorders>
              <w:top w:val="single" w:sz="18" w:space="0" w:color="auto"/>
              <w:left w:val="single" w:sz="18" w:space="0" w:color="auto"/>
            </w:tcBorders>
            <w:shd w:val="clear" w:color="auto" w:fill="auto"/>
            <w:vAlign w:val="center"/>
          </w:tcPr>
          <w:p w:rsidR="00263C4D" w:rsidRPr="00E958CE" w:rsidRDefault="00263C4D" w:rsidP="00F541B2">
            <w:pPr>
              <w:spacing w:line="276" w:lineRule="auto"/>
              <w:ind w:left="34"/>
              <w:rPr>
                <w:rFonts w:ascii="Times New Roman" w:hAnsi="Times New Roman" w:cs="Times New Roman"/>
                <w:b/>
                <w:bCs/>
              </w:rPr>
            </w:pPr>
            <w:r w:rsidRPr="00E958CE">
              <w:rPr>
                <w:rFonts w:ascii="Times New Roman" w:hAnsi="Times New Roman" w:cs="Times New Roman"/>
                <w:b/>
                <w:bCs/>
              </w:rPr>
              <w:t>7. Innovaatiliste lahenduste rakendamine</w:t>
            </w:r>
          </w:p>
        </w:tc>
        <w:tc>
          <w:tcPr>
            <w:tcW w:w="4819" w:type="dxa"/>
            <w:tcBorders>
              <w:top w:val="single" w:sz="18" w:space="0" w:color="auto"/>
            </w:tcBorders>
            <w:shd w:val="clear" w:color="auto" w:fill="auto"/>
            <w:vAlign w:val="center"/>
          </w:tcPr>
          <w:p w:rsidR="00263C4D" w:rsidRPr="00E958CE" w:rsidRDefault="00263C4D" w:rsidP="00F541B2">
            <w:pPr>
              <w:spacing w:line="276" w:lineRule="auto"/>
              <w:contextualSpacing/>
              <w:rPr>
                <w:rFonts w:ascii="Times New Roman" w:hAnsi="Times New Roman" w:cs="Times New Roman"/>
                <w:bCs/>
              </w:rPr>
            </w:pPr>
            <w:r w:rsidRPr="00E958CE">
              <w:rPr>
                <w:rFonts w:ascii="Times New Roman" w:hAnsi="Times New Roman" w:cs="Times New Roman"/>
                <w:bCs/>
              </w:rPr>
              <w:t>7.1. Tootearendus ja tehnoloogia arendamine ning töödeldud toodete sortimendi laiendamine</w:t>
            </w:r>
          </w:p>
        </w:tc>
        <w:tc>
          <w:tcPr>
            <w:tcW w:w="4678" w:type="dxa"/>
            <w:tcBorders>
              <w:top w:val="single" w:sz="18" w:space="0" w:color="auto"/>
            </w:tcBorders>
            <w:shd w:val="clear" w:color="auto" w:fill="auto"/>
            <w:vAlign w:val="center"/>
          </w:tcPr>
          <w:p w:rsidR="00263C4D" w:rsidRDefault="00263C4D" w:rsidP="00F541B2">
            <w:pPr>
              <w:spacing w:line="276" w:lineRule="auto"/>
              <w:jc w:val="center"/>
              <w:rPr>
                <w:rFonts w:ascii="Times New Roman" w:hAnsi="Times New Roman" w:cs="Times New Roman"/>
              </w:rPr>
            </w:pPr>
            <w:r w:rsidRPr="00E958CE">
              <w:rPr>
                <w:rFonts w:ascii="Times New Roman" w:hAnsi="Times New Roman" w:cs="Times New Roman"/>
              </w:rPr>
              <w:t>MAK - Koostöö (EIP ja TAP)</w:t>
            </w:r>
          </w:p>
          <w:p w:rsidR="00263C4D" w:rsidRPr="00E958CE" w:rsidRDefault="00263C4D" w:rsidP="00F541B2">
            <w:pPr>
              <w:spacing w:line="276" w:lineRule="auto"/>
              <w:jc w:val="center"/>
              <w:rPr>
                <w:rFonts w:ascii="Times New Roman" w:hAnsi="Times New Roman" w:cs="Times New Roman"/>
              </w:rPr>
            </w:pPr>
            <w:r>
              <w:rPr>
                <w:rFonts w:ascii="Times New Roman" w:hAnsi="Times New Roman" w:cs="Times New Roman"/>
              </w:rPr>
              <w:t xml:space="preserve">MAK - </w:t>
            </w:r>
            <w:r w:rsidRPr="00EC39E4">
              <w:rPr>
                <w:rFonts w:ascii="Times New Roman" w:hAnsi="Times New Roman" w:cs="Times New Roman"/>
              </w:rPr>
              <w:t>Investeeringud põllumajandustoodete töötlemiseks ja turustamiseks</w:t>
            </w:r>
          </w:p>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Põllumajandustootjad ja töötlejad</w:t>
            </w:r>
          </w:p>
        </w:tc>
        <w:tc>
          <w:tcPr>
            <w:tcW w:w="3402" w:type="dxa"/>
            <w:tcBorders>
              <w:top w:val="single" w:sz="18" w:space="0" w:color="auto"/>
              <w:right w:val="single" w:sz="18" w:space="0" w:color="auto"/>
            </w:tcBorders>
            <w:shd w:val="clear" w:color="auto" w:fill="auto"/>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PM, PRIA, põllumajandustootjad, töötlejad, nõustajad, konsulendid, teadus- ja arendusasutused</w:t>
            </w:r>
          </w:p>
        </w:tc>
      </w:tr>
      <w:tr w:rsidR="00263C4D" w:rsidRPr="00E958CE" w:rsidTr="00F541B2">
        <w:trPr>
          <w:cantSplit/>
        </w:trPr>
        <w:tc>
          <w:tcPr>
            <w:tcW w:w="2694" w:type="dxa"/>
            <w:vMerge w:val="restart"/>
            <w:tcBorders>
              <w:top w:val="single" w:sz="18" w:space="0" w:color="auto"/>
              <w:left w:val="single" w:sz="18" w:space="0" w:color="auto"/>
            </w:tcBorders>
            <w:shd w:val="clear" w:color="auto" w:fill="FEBCBC" w:themeFill="accent1" w:themeFillTint="33"/>
            <w:vAlign w:val="center"/>
          </w:tcPr>
          <w:p w:rsidR="00263C4D" w:rsidRPr="00E958CE" w:rsidRDefault="00263C4D" w:rsidP="00F541B2">
            <w:pPr>
              <w:spacing w:line="276" w:lineRule="auto"/>
              <w:ind w:left="34"/>
              <w:rPr>
                <w:rFonts w:ascii="Times New Roman" w:hAnsi="Times New Roman" w:cs="Times New Roman"/>
                <w:b/>
                <w:bCs/>
              </w:rPr>
            </w:pPr>
            <w:r w:rsidRPr="00E958CE">
              <w:rPr>
                <w:rFonts w:ascii="Times New Roman" w:hAnsi="Times New Roman" w:cs="Times New Roman"/>
                <w:b/>
                <w:bCs/>
              </w:rPr>
              <w:t>8. Toidu- ja söödaviljale mittevastava kvaliteediga vilja realiseerimine</w:t>
            </w:r>
          </w:p>
        </w:tc>
        <w:tc>
          <w:tcPr>
            <w:tcW w:w="4819" w:type="dxa"/>
            <w:tcBorders>
              <w:top w:val="single" w:sz="18" w:space="0" w:color="auto"/>
            </w:tcBorders>
            <w:shd w:val="clear" w:color="auto" w:fill="FEBCBC" w:themeFill="accent1" w:themeFillTint="33"/>
            <w:vAlign w:val="center"/>
          </w:tcPr>
          <w:p w:rsidR="00263C4D" w:rsidRPr="00E958CE" w:rsidRDefault="00263C4D" w:rsidP="00F541B2">
            <w:pPr>
              <w:spacing w:line="276" w:lineRule="auto"/>
              <w:contextualSpacing/>
              <w:rPr>
                <w:rFonts w:ascii="Times New Roman" w:hAnsi="Times New Roman" w:cs="Times New Roman"/>
                <w:bCs/>
              </w:rPr>
            </w:pPr>
            <w:r w:rsidRPr="00E958CE">
              <w:rPr>
                <w:rFonts w:ascii="Times New Roman" w:hAnsi="Times New Roman" w:cs="Times New Roman"/>
                <w:bCs/>
              </w:rPr>
              <w:t xml:space="preserve">8.1. Biomassi energiaks </w:t>
            </w:r>
            <w:proofErr w:type="spellStart"/>
            <w:r w:rsidRPr="00E958CE">
              <w:rPr>
                <w:rFonts w:ascii="Times New Roman" w:hAnsi="Times New Roman" w:cs="Times New Roman"/>
                <w:bCs/>
              </w:rPr>
              <w:t>väärindamise</w:t>
            </w:r>
            <w:proofErr w:type="spellEnd"/>
            <w:r w:rsidRPr="00E958CE">
              <w:rPr>
                <w:rFonts w:ascii="Times New Roman" w:hAnsi="Times New Roman" w:cs="Times New Roman"/>
                <w:bCs/>
              </w:rPr>
              <w:t xml:space="preserve"> arendamine (biomassist bioenergia tootmine)</w:t>
            </w:r>
          </w:p>
        </w:tc>
        <w:tc>
          <w:tcPr>
            <w:tcW w:w="4678" w:type="dxa"/>
            <w:tcBorders>
              <w:top w:val="single" w:sz="18" w:space="0" w:color="auto"/>
            </w:tcBorders>
            <w:shd w:val="clear" w:color="auto" w:fill="FEBCBC" w:themeFill="accent1" w:themeFillTint="33"/>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MAK - Investeeringud põllumajandusettevõtte tulemuslikkuse parandamiseks</w:t>
            </w:r>
          </w:p>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MKM poolt kavandatav meede “Eesti taastuvenergia tegevusekava aastani 2020“ eesmärkide elluviimiseks</w:t>
            </w:r>
          </w:p>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Põllumajandustootjad</w:t>
            </w:r>
          </w:p>
        </w:tc>
        <w:tc>
          <w:tcPr>
            <w:tcW w:w="3402" w:type="dxa"/>
            <w:tcBorders>
              <w:top w:val="single" w:sz="18" w:space="0" w:color="auto"/>
              <w:right w:val="single" w:sz="18" w:space="0" w:color="auto"/>
            </w:tcBorders>
            <w:shd w:val="clear" w:color="auto" w:fill="FEBCBC" w:themeFill="accent1" w:themeFillTint="33"/>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PM, PRIA, põllumajandustootjad ja ühistud</w:t>
            </w:r>
          </w:p>
        </w:tc>
      </w:tr>
      <w:tr w:rsidR="00263C4D" w:rsidRPr="00E958CE" w:rsidTr="00F541B2">
        <w:trPr>
          <w:cantSplit/>
        </w:trPr>
        <w:tc>
          <w:tcPr>
            <w:tcW w:w="2694" w:type="dxa"/>
            <w:vMerge/>
            <w:tcBorders>
              <w:left w:val="single" w:sz="18" w:space="0" w:color="auto"/>
              <w:bottom w:val="single" w:sz="18" w:space="0" w:color="auto"/>
            </w:tcBorders>
            <w:shd w:val="clear" w:color="auto" w:fill="FEBCBC" w:themeFill="accent1" w:themeFillTint="33"/>
            <w:vAlign w:val="center"/>
          </w:tcPr>
          <w:p w:rsidR="00263C4D" w:rsidRPr="00E958CE" w:rsidRDefault="00263C4D" w:rsidP="00F541B2">
            <w:pPr>
              <w:spacing w:line="276" w:lineRule="auto"/>
              <w:rPr>
                <w:rFonts w:ascii="Times New Roman" w:hAnsi="Times New Roman" w:cs="Times New Roman"/>
                <w:b/>
                <w:bCs/>
              </w:rPr>
            </w:pPr>
          </w:p>
        </w:tc>
        <w:tc>
          <w:tcPr>
            <w:tcW w:w="4819" w:type="dxa"/>
            <w:tcBorders>
              <w:bottom w:val="single" w:sz="18" w:space="0" w:color="auto"/>
            </w:tcBorders>
            <w:shd w:val="clear" w:color="auto" w:fill="FEBCBC" w:themeFill="accent1" w:themeFillTint="33"/>
            <w:vAlign w:val="center"/>
          </w:tcPr>
          <w:p w:rsidR="00263C4D" w:rsidRPr="00E958CE" w:rsidRDefault="00263C4D" w:rsidP="00F541B2">
            <w:pPr>
              <w:spacing w:line="276" w:lineRule="auto"/>
              <w:rPr>
                <w:rFonts w:ascii="Times New Roman" w:hAnsi="Times New Roman" w:cs="Times New Roman"/>
                <w:bCs/>
              </w:rPr>
            </w:pPr>
            <w:r w:rsidRPr="00E958CE">
              <w:rPr>
                <w:rFonts w:ascii="Times New Roman" w:hAnsi="Times New Roman" w:cs="Times New Roman"/>
                <w:bCs/>
              </w:rPr>
              <w:t>8.2. Toidu- ja söödaviljale mittevastava kvaliteediga vilja (teraviljajäätmete) realiseerimisvõimaluste uuringud</w:t>
            </w:r>
          </w:p>
        </w:tc>
        <w:tc>
          <w:tcPr>
            <w:tcW w:w="4678" w:type="dxa"/>
            <w:tcBorders>
              <w:bottom w:val="single" w:sz="18" w:space="0" w:color="auto"/>
            </w:tcBorders>
            <w:shd w:val="clear" w:color="auto" w:fill="FEBCBC" w:themeFill="accent1" w:themeFillTint="33"/>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MAK - Koostöö (EIP ja TAP)</w:t>
            </w:r>
          </w:p>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Horisont 2020</w:t>
            </w:r>
          </w:p>
          <w:p w:rsidR="00263C4D" w:rsidRDefault="00263C4D" w:rsidP="00F541B2">
            <w:pPr>
              <w:spacing w:line="276" w:lineRule="auto"/>
              <w:jc w:val="center"/>
              <w:rPr>
                <w:rFonts w:ascii="Times New Roman" w:hAnsi="Times New Roman" w:cs="Times New Roman"/>
              </w:rPr>
            </w:pPr>
            <w:r w:rsidRPr="00E958CE">
              <w:rPr>
                <w:rFonts w:ascii="Times New Roman" w:hAnsi="Times New Roman" w:cs="Times New Roman"/>
              </w:rPr>
              <w:t>Riigieelarve</w:t>
            </w:r>
          </w:p>
          <w:p w:rsidR="00263C4D" w:rsidRPr="00E958CE" w:rsidRDefault="00263C4D" w:rsidP="00F541B2">
            <w:pPr>
              <w:spacing w:line="276" w:lineRule="auto"/>
              <w:jc w:val="center"/>
              <w:rPr>
                <w:rFonts w:ascii="Times New Roman" w:hAnsi="Times New Roman" w:cs="Times New Roman"/>
              </w:rPr>
            </w:pPr>
            <w:r w:rsidRPr="0005347E">
              <w:rPr>
                <w:rFonts w:ascii="Times New Roman" w:hAnsi="Times New Roman" w:cs="Times New Roman"/>
              </w:rPr>
              <w:t>Erainvesteeringud</w:t>
            </w:r>
          </w:p>
        </w:tc>
        <w:tc>
          <w:tcPr>
            <w:tcW w:w="3402" w:type="dxa"/>
            <w:tcBorders>
              <w:bottom w:val="single" w:sz="18" w:space="0" w:color="auto"/>
              <w:right w:val="single" w:sz="18" w:space="0" w:color="auto"/>
            </w:tcBorders>
            <w:shd w:val="clear" w:color="auto" w:fill="FEBCBC" w:themeFill="accent1" w:themeFillTint="33"/>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PM, PRIA, põllumajandustootjad, töötlejad, nõustajad, teadus- ja arendusasutused</w:t>
            </w:r>
          </w:p>
        </w:tc>
      </w:tr>
    </w:tbl>
    <w:p w:rsidR="00794500" w:rsidRDefault="00794500" w:rsidP="00263C4D">
      <w:pPr>
        <w:spacing w:line="276" w:lineRule="auto"/>
        <w:jc w:val="both"/>
        <w:rPr>
          <w:rFonts w:eastAsia="Calibri"/>
          <w:b/>
          <w:u w:val="single"/>
        </w:rPr>
      </w:pPr>
    </w:p>
    <w:p w:rsidR="00263C4D" w:rsidRPr="006C62BF" w:rsidRDefault="00263C4D" w:rsidP="00263C4D">
      <w:pPr>
        <w:rPr>
          <w:rStyle w:val="IntenseReference"/>
          <w:rFonts w:ascii="Times New Roman" w:hAnsi="Times New Roman" w:cs="Times New Roman"/>
          <w:i w:val="0"/>
          <w:sz w:val="24"/>
          <w:szCs w:val="24"/>
        </w:rPr>
      </w:pPr>
      <w:r w:rsidRPr="006C62BF">
        <w:rPr>
          <w:rStyle w:val="IntenseReference"/>
          <w:rFonts w:ascii="Times New Roman" w:hAnsi="Times New Roman" w:cs="Times New Roman"/>
          <w:i w:val="0"/>
          <w:sz w:val="24"/>
          <w:szCs w:val="24"/>
        </w:rPr>
        <w:t>4. Eesmärk: Teravilja ja -toodete tuntus tõ</w:t>
      </w:r>
      <w:r>
        <w:rPr>
          <w:rStyle w:val="IntenseReference"/>
          <w:rFonts w:ascii="Times New Roman" w:hAnsi="Times New Roman" w:cs="Times New Roman"/>
          <w:i w:val="0"/>
          <w:sz w:val="24"/>
          <w:szCs w:val="24"/>
        </w:rPr>
        <w:t>USEB</w:t>
      </w:r>
    </w:p>
    <w:p w:rsidR="00263C4D" w:rsidRPr="00267949" w:rsidRDefault="00263C4D" w:rsidP="00263C4D">
      <w:pPr>
        <w:spacing w:line="276" w:lineRule="auto"/>
        <w:jc w:val="both"/>
        <w:rPr>
          <w:rFonts w:eastAsia="Calibri"/>
          <w:b/>
        </w:rPr>
      </w:pP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4819"/>
        <w:gridCol w:w="4678"/>
        <w:gridCol w:w="3402"/>
      </w:tblGrid>
      <w:tr w:rsidR="00263C4D" w:rsidRPr="00E958CE" w:rsidTr="00F541B2">
        <w:trPr>
          <w:cantSplit/>
          <w:trHeight w:val="398"/>
        </w:trPr>
        <w:tc>
          <w:tcPr>
            <w:tcW w:w="2694" w:type="dxa"/>
            <w:tcBorders>
              <w:top w:val="single" w:sz="18" w:space="0" w:color="auto"/>
              <w:left w:val="single" w:sz="18" w:space="0" w:color="auto"/>
              <w:bottom w:val="single" w:sz="4" w:space="0" w:color="auto"/>
              <w:right w:val="single" w:sz="4" w:space="0" w:color="auto"/>
            </w:tcBorders>
            <w:shd w:val="clear" w:color="auto" w:fill="AD0101" w:themeFill="accent1"/>
            <w:vAlign w:val="bottom"/>
          </w:tcPr>
          <w:p w:rsidR="00263C4D" w:rsidRPr="00E958CE" w:rsidRDefault="00263C4D" w:rsidP="00F541B2">
            <w:pPr>
              <w:spacing w:line="276" w:lineRule="auto"/>
              <w:ind w:left="34"/>
              <w:jc w:val="center"/>
              <w:rPr>
                <w:rFonts w:ascii="Times New Roman" w:hAnsi="Times New Roman" w:cs="Times New Roman"/>
                <w:b/>
                <w:bCs/>
              </w:rPr>
            </w:pPr>
            <w:r w:rsidRPr="00E958CE">
              <w:rPr>
                <w:rFonts w:ascii="Times New Roman" w:hAnsi="Times New Roman" w:cs="Times New Roman"/>
                <w:b/>
                <w:bCs/>
              </w:rPr>
              <w:t>Meede</w:t>
            </w:r>
          </w:p>
        </w:tc>
        <w:tc>
          <w:tcPr>
            <w:tcW w:w="4819" w:type="dxa"/>
            <w:tcBorders>
              <w:top w:val="single" w:sz="18" w:space="0" w:color="auto"/>
              <w:left w:val="single" w:sz="4" w:space="0" w:color="auto"/>
              <w:bottom w:val="single" w:sz="4" w:space="0" w:color="auto"/>
              <w:right w:val="single" w:sz="4" w:space="0" w:color="auto"/>
            </w:tcBorders>
            <w:shd w:val="clear" w:color="auto" w:fill="AD0101" w:themeFill="accent1"/>
            <w:vAlign w:val="center"/>
          </w:tcPr>
          <w:p w:rsidR="00263C4D" w:rsidRPr="00E958CE" w:rsidRDefault="00263C4D" w:rsidP="00F541B2">
            <w:pPr>
              <w:spacing w:line="276" w:lineRule="auto"/>
              <w:contextualSpacing/>
              <w:jc w:val="center"/>
              <w:rPr>
                <w:rFonts w:ascii="Times New Roman" w:hAnsi="Times New Roman" w:cs="Times New Roman"/>
                <w:b/>
                <w:bCs/>
              </w:rPr>
            </w:pPr>
            <w:r w:rsidRPr="00E958CE">
              <w:rPr>
                <w:rFonts w:ascii="Times New Roman" w:hAnsi="Times New Roman" w:cs="Times New Roman"/>
                <w:b/>
                <w:bCs/>
              </w:rPr>
              <w:t>Tegevus/alategevus</w:t>
            </w:r>
          </w:p>
        </w:tc>
        <w:tc>
          <w:tcPr>
            <w:tcW w:w="4678" w:type="dxa"/>
            <w:tcBorders>
              <w:top w:val="single" w:sz="18" w:space="0" w:color="auto"/>
              <w:left w:val="single" w:sz="4" w:space="0" w:color="auto"/>
              <w:bottom w:val="single" w:sz="4" w:space="0" w:color="auto"/>
              <w:right w:val="single" w:sz="4" w:space="0" w:color="auto"/>
            </w:tcBorders>
            <w:shd w:val="clear" w:color="auto" w:fill="AD0101" w:themeFill="accent1"/>
            <w:vAlign w:val="center"/>
          </w:tcPr>
          <w:p w:rsidR="00263C4D" w:rsidRPr="00E958CE" w:rsidRDefault="00263C4D" w:rsidP="00F541B2">
            <w:pPr>
              <w:spacing w:line="276" w:lineRule="auto"/>
              <w:jc w:val="center"/>
              <w:rPr>
                <w:rFonts w:ascii="Times New Roman" w:hAnsi="Times New Roman" w:cs="Times New Roman"/>
                <w:b/>
              </w:rPr>
            </w:pPr>
            <w:r w:rsidRPr="00E958CE">
              <w:rPr>
                <w:rFonts w:ascii="Times New Roman" w:hAnsi="Times New Roman" w:cs="Times New Roman"/>
                <w:b/>
              </w:rPr>
              <w:t>Võimalik finantseerimise allikas</w:t>
            </w:r>
          </w:p>
        </w:tc>
        <w:tc>
          <w:tcPr>
            <w:tcW w:w="3402" w:type="dxa"/>
            <w:tcBorders>
              <w:top w:val="single" w:sz="18" w:space="0" w:color="auto"/>
              <w:left w:val="single" w:sz="4" w:space="0" w:color="auto"/>
              <w:bottom w:val="single" w:sz="4" w:space="0" w:color="auto"/>
              <w:right w:val="single" w:sz="18" w:space="0" w:color="auto"/>
            </w:tcBorders>
            <w:shd w:val="clear" w:color="auto" w:fill="AD0101" w:themeFill="accent1"/>
            <w:vAlign w:val="center"/>
          </w:tcPr>
          <w:p w:rsidR="00263C4D" w:rsidRPr="00E958CE" w:rsidRDefault="00263C4D" w:rsidP="00F541B2">
            <w:pPr>
              <w:spacing w:line="276" w:lineRule="auto"/>
              <w:jc w:val="center"/>
              <w:rPr>
                <w:rFonts w:ascii="Times New Roman" w:hAnsi="Times New Roman" w:cs="Times New Roman"/>
                <w:b/>
              </w:rPr>
            </w:pPr>
            <w:r w:rsidRPr="00E958CE">
              <w:rPr>
                <w:rFonts w:ascii="Times New Roman" w:hAnsi="Times New Roman" w:cs="Times New Roman"/>
                <w:b/>
              </w:rPr>
              <w:t>Sihtgrupp/täitja</w:t>
            </w:r>
          </w:p>
        </w:tc>
      </w:tr>
      <w:tr w:rsidR="00263C4D" w:rsidRPr="00E958CE" w:rsidTr="00F541B2">
        <w:trPr>
          <w:cantSplit/>
        </w:trPr>
        <w:tc>
          <w:tcPr>
            <w:tcW w:w="2694" w:type="dxa"/>
            <w:vMerge w:val="restart"/>
            <w:tcBorders>
              <w:top w:val="single" w:sz="18" w:space="0" w:color="auto"/>
              <w:left w:val="single" w:sz="18" w:space="0" w:color="auto"/>
            </w:tcBorders>
            <w:shd w:val="clear" w:color="auto" w:fill="auto"/>
            <w:vAlign w:val="center"/>
          </w:tcPr>
          <w:p w:rsidR="00263C4D" w:rsidRPr="00E958CE" w:rsidRDefault="00263C4D" w:rsidP="00F541B2">
            <w:pPr>
              <w:spacing w:line="276" w:lineRule="auto"/>
              <w:ind w:left="34"/>
              <w:rPr>
                <w:rFonts w:ascii="Times New Roman" w:hAnsi="Times New Roman" w:cs="Times New Roman"/>
                <w:b/>
                <w:bCs/>
              </w:rPr>
            </w:pPr>
            <w:r w:rsidRPr="00E958CE">
              <w:rPr>
                <w:rFonts w:ascii="Times New Roman" w:hAnsi="Times New Roman" w:cs="Times New Roman"/>
                <w:b/>
                <w:bCs/>
              </w:rPr>
              <w:t>1. Ühistegevuse kaudu toodangu turustamine</w:t>
            </w:r>
          </w:p>
        </w:tc>
        <w:tc>
          <w:tcPr>
            <w:tcW w:w="4819" w:type="dxa"/>
            <w:tcBorders>
              <w:top w:val="single" w:sz="18" w:space="0" w:color="auto"/>
            </w:tcBorders>
            <w:shd w:val="clear" w:color="auto" w:fill="auto"/>
            <w:vAlign w:val="center"/>
          </w:tcPr>
          <w:p w:rsidR="00263C4D" w:rsidRPr="00E958CE" w:rsidRDefault="00263C4D" w:rsidP="00F541B2">
            <w:pPr>
              <w:spacing w:line="276" w:lineRule="auto"/>
              <w:contextualSpacing/>
              <w:rPr>
                <w:rFonts w:ascii="Times New Roman" w:hAnsi="Times New Roman" w:cs="Times New Roman"/>
                <w:bCs/>
              </w:rPr>
            </w:pPr>
            <w:r w:rsidRPr="00E958CE">
              <w:rPr>
                <w:rFonts w:ascii="Times New Roman" w:hAnsi="Times New Roman" w:cs="Times New Roman"/>
                <w:bCs/>
              </w:rPr>
              <w:t>1.1. Tootjate ühistuliste investeeringute soodustamine</w:t>
            </w:r>
          </w:p>
          <w:p w:rsidR="00263C4D" w:rsidRPr="00E958CE" w:rsidRDefault="00263C4D" w:rsidP="00F541B2">
            <w:pPr>
              <w:spacing w:line="276" w:lineRule="auto"/>
              <w:contextualSpacing/>
              <w:rPr>
                <w:rFonts w:ascii="Times New Roman" w:hAnsi="Times New Roman" w:cs="Times New Roman"/>
                <w:bCs/>
              </w:rPr>
            </w:pPr>
          </w:p>
        </w:tc>
        <w:tc>
          <w:tcPr>
            <w:tcW w:w="4678" w:type="dxa"/>
            <w:tcBorders>
              <w:top w:val="single" w:sz="18" w:space="0" w:color="auto"/>
            </w:tcBorders>
            <w:shd w:val="clear" w:color="auto" w:fill="auto"/>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MAK - Investeeringud põllumajandustoodete töötlemiseks ja turustamiseks</w:t>
            </w:r>
          </w:p>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MAK - Investeeringud põllumajandusettevõtte tulemuslikkuse parandamiseks</w:t>
            </w:r>
          </w:p>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Põllumajandustootjad</w:t>
            </w:r>
          </w:p>
        </w:tc>
        <w:tc>
          <w:tcPr>
            <w:tcW w:w="3402" w:type="dxa"/>
            <w:tcBorders>
              <w:top w:val="single" w:sz="18" w:space="0" w:color="auto"/>
              <w:right w:val="single" w:sz="18" w:space="0" w:color="auto"/>
            </w:tcBorders>
            <w:shd w:val="clear" w:color="auto" w:fill="auto"/>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PM, PRIA, põllumajandustootjad ja ühistud</w:t>
            </w:r>
          </w:p>
        </w:tc>
      </w:tr>
      <w:tr w:rsidR="00263C4D" w:rsidRPr="00E958CE" w:rsidTr="00F541B2">
        <w:trPr>
          <w:cantSplit/>
          <w:trHeight w:val="539"/>
        </w:trPr>
        <w:tc>
          <w:tcPr>
            <w:tcW w:w="2694" w:type="dxa"/>
            <w:vMerge/>
            <w:tcBorders>
              <w:left w:val="single" w:sz="18" w:space="0" w:color="auto"/>
            </w:tcBorders>
            <w:shd w:val="clear" w:color="auto" w:fill="auto"/>
            <w:vAlign w:val="center"/>
          </w:tcPr>
          <w:p w:rsidR="00263C4D" w:rsidRPr="00E958CE" w:rsidRDefault="00263C4D" w:rsidP="00F541B2">
            <w:pPr>
              <w:spacing w:line="276" w:lineRule="auto"/>
              <w:rPr>
                <w:rFonts w:ascii="Times New Roman" w:hAnsi="Times New Roman" w:cs="Times New Roman"/>
                <w:b/>
                <w:bCs/>
              </w:rPr>
            </w:pPr>
          </w:p>
        </w:tc>
        <w:tc>
          <w:tcPr>
            <w:tcW w:w="4819" w:type="dxa"/>
            <w:shd w:val="clear" w:color="auto" w:fill="auto"/>
            <w:vAlign w:val="center"/>
          </w:tcPr>
          <w:p w:rsidR="00263C4D" w:rsidRPr="00E958CE" w:rsidRDefault="00263C4D" w:rsidP="00F541B2">
            <w:pPr>
              <w:spacing w:line="276" w:lineRule="auto"/>
              <w:rPr>
                <w:rFonts w:ascii="Times New Roman" w:hAnsi="Times New Roman" w:cs="Times New Roman"/>
                <w:bCs/>
              </w:rPr>
            </w:pPr>
            <w:r w:rsidRPr="00E958CE">
              <w:rPr>
                <w:rFonts w:ascii="Times New Roman" w:hAnsi="Times New Roman" w:cs="Times New Roman"/>
                <w:bCs/>
              </w:rPr>
              <w:t>1.2. Tootjatevahelisele koostööle (ühistegevus) ja turustamisvõimaluste parandamisele kaasaaitamine</w:t>
            </w:r>
          </w:p>
        </w:tc>
        <w:tc>
          <w:tcPr>
            <w:tcW w:w="4678" w:type="dxa"/>
            <w:shd w:val="clear" w:color="auto" w:fill="auto"/>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MAK - Tootjarühmade loomine</w:t>
            </w:r>
          </w:p>
          <w:p w:rsidR="00263C4D" w:rsidRPr="00E958CE" w:rsidRDefault="00263C4D" w:rsidP="00F541B2">
            <w:pPr>
              <w:adjustRightInd w:val="0"/>
              <w:spacing w:line="276" w:lineRule="auto"/>
              <w:jc w:val="center"/>
              <w:rPr>
                <w:rFonts w:ascii="Times New Roman" w:hAnsi="Times New Roman" w:cs="Times New Roman"/>
              </w:rPr>
            </w:pPr>
            <w:r w:rsidRPr="00E958CE">
              <w:rPr>
                <w:rFonts w:ascii="Times New Roman" w:hAnsi="Times New Roman" w:cs="Times New Roman"/>
              </w:rPr>
              <w:t>Põllumajandussaaduste ja –toodete teavitamis- ja müügiedendamismeetmed</w:t>
            </w:r>
          </w:p>
          <w:p w:rsidR="00263C4D" w:rsidRPr="00E958CE" w:rsidRDefault="00263C4D" w:rsidP="00F541B2">
            <w:pPr>
              <w:adjustRightInd w:val="0"/>
              <w:spacing w:line="276" w:lineRule="auto"/>
              <w:jc w:val="center"/>
              <w:rPr>
                <w:rFonts w:ascii="Times New Roman" w:hAnsi="Times New Roman" w:cs="Times New Roman"/>
              </w:rPr>
            </w:pPr>
            <w:r w:rsidRPr="00E958CE">
              <w:rPr>
                <w:rFonts w:ascii="Times New Roman" w:hAnsi="Times New Roman" w:cs="Times New Roman"/>
              </w:rPr>
              <w:t>Põllumajandustootjad ja töötlejad</w:t>
            </w:r>
          </w:p>
        </w:tc>
        <w:tc>
          <w:tcPr>
            <w:tcW w:w="3402" w:type="dxa"/>
            <w:tcBorders>
              <w:right w:val="single" w:sz="18" w:space="0" w:color="auto"/>
            </w:tcBorders>
            <w:shd w:val="clear" w:color="auto" w:fill="auto"/>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PM, PRIA, põllumajandustootjad, töötlejad ja ühistud</w:t>
            </w:r>
          </w:p>
        </w:tc>
      </w:tr>
      <w:tr w:rsidR="00263C4D" w:rsidRPr="00E958CE" w:rsidTr="00F541B2">
        <w:trPr>
          <w:cantSplit/>
          <w:trHeight w:val="948"/>
        </w:trPr>
        <w:tc>
          <w:tcPr>
            <w:tcW w:w="2694" w:type="dxa"/>
            <w:vMerge w:val="restart"/>
            <w:tcBorders>
              <w:top w:val="single" w:sz="18" w:space="0" w:color="auto"/>
              <w:left w:val="single" w:sz="18" w:space="0" w:color="auto"/>
            </w:tcBorders>
            <w:shd w:val="clear" w:color="auto" w:fill="FEBCBC" w:themeFill="accent1" w:themeFillTint="33"/>
            <w:vAlign w:val="center"/>
          </w:tcPr>
          <w:p w:rsidR="00263C4D" w:rsidRPr="00E958CE" w:rsidRDefault="00263C4D" w:rsidP="00F541B2">
            <w:pPr>
              <w:spacing w:line="276" w:lineRule="auto"/>
              <w:ind w:left="34"/>
              <w:rPr>
                <w:rFonts w:ascii="Times New Roman" w:hAnsi="Times New Roman" w:cs="Times New Roman"/>
                <w:b/>
                <w:bCs/>
              </w:rPr>
            </w:pPr>
            <w:r w:rsidRPr="00E958CE">
              <w:rPr>
                <w:rFonts w:ascii="Times New Roman" w:hAnsi="Times New Roman" w:cs="Times New Roman"/>
                <w:b/>
                <w:bCs/>
              </w:rPr>
              <w:t>2. Teraviljasaaduste ja toodete tutvustamine ja propageerimine</w:t>
            </w:r>
          </w:p>
        </w:tc>
        <w:tc>
          <w:tcPr>
            <w:tcW w:w="4819" w:type="dxa"/>
            <w:tcBorders>
              <w:top w:val="single" w:sz="18" w:space="0" w:color="auto"/>
            </w:tcBorders>
            <w:shd w:val="clear" w:color="auto" w:fill="FEBCBC" w:themeFill="accent1" w:themeFillTint="33"/>
            <w:vAlign w:val="center"/>
          </w:tcPr>
          <w:p w:rsidR="00263C4D" w:rsidRPr="00E958CE" w:rsidRDefault="00263C4D" w:rsidP="00F541B2">
            <w:pPr>
              <w:spacing w:line="276" w:lineRule="auto"/>
              <w:contextualSpacing/>
              <w:rPr>
                <w:rFonts w:ascii="Times New Roman" w:hAnsi="Times New Roman" w:cs="Times New Roman"/>
                <w:bCs/>
              </w:rPr>
            </w:pPr>
            <w:r w:rsidRPr="00E958CE">
              <w:rPr>
                <w:rFonts w:ascii="Times New Roman" w:hAnsi="Times New Roman" w:cs="Times New Roman"/>
                <w:bCs/>
              </w:rPr>
              <w:t>2.1.  Kohalike toodete  turustamisvõimaluste parandamine</w:t>
            </w:r>
          </w:p>
        </w:tc>
        <w:tc>
          <w:tcPr>
            <w:tcW w:w="4678" w:type="dxa"/>
            <w:tcBorders>
              <w:top w:val="single" w:sz="18" w:space="0" w:color="auto"/>
            </w:tcBorders>
            <w:shd w:val="clear" w:color="auto" w:fill="FEBCBC" w:themeFill="accent1" w:themeFillTint="33"/>
            <w:vAlign w:val="center"/>
          </w:tcPr>
          <w:p w:rsidR="00263C4D" w:rsidRPr="00E958CE" w:rsidRDefault="00263C4D" w:rsidP="00F541B2">
            <w:pPr>
              <w:adjustRightInd w:val="0"/>
              <w:spacing w:line="276" w:lineRule="auto"/>
              <w:jc w:val="center"/>
              <w:rPr>
                <w:rFonts w:ascii="Times New Roman" w:hAnsi="Times New Roman" w:cs="Times New Roman"/>
              </w:rPr>
            </w:pPr>
            <w:r w:rsidRPr="00E958CE">
              <w:rPr>
                <w:rFonts w:ascii="Times New Roman" w:hAnsi="Times New Roman" w:cs="Times New Roman"/>
              </w:rPr>
              <w:t>MAK - Kvaliteedikavades osalemine ja kvaliteedikavade raames toodetud toodete edendamine</w:t>
            </w:r>
          </w:p>
          <w:p w:rsidR="00263C4D" w:rsidRPr="00E958CE" w:rsidRDefault="00263C4D" w:rsidP="00F541B2">
            <w:pPr>
              <w:adjustRightInd w:val="0"/>
              <w:spacing w:line="276" w:lineRule="auto"/>
              <w:jc w:val="center"/>
              <w:rPr>
                <w:rFonts w:ascii="Times New Roman" w:hAnsi="Times New Roman" w:cs="Times New Roman"/>
              </w:rPr>
            </w:pPr>
            <w:r w:rsidRPr="00E958CE">
              <w:rPr>
                <w:rFonts w:ascii="Times New Roman" w:hAnsi="Times New Roman" w:cs="Times New Roman"/>
              </w:rPr>
              <w:t>MAK - Koostöö (tarneahelad)</w:t>
            </w:r>
          </w:p>
          <w:p w:rsidR="00263C4D" w:rsidRPr="00E958CE" w:rsidRDefault="00263C4D" w:rsidP="00F541B2">
            <w:pPr>
              <w:adjustRightInd w:val="0"/>
              <w:spacing w:line="276" w:lineRule="auto"/>
              <w:jc w:val="center"/>
              <w:rPr>
                <w:rFonts w:ascii="Times New Roman" w:hAnsi="Times New Roman" w:cs="Times New Roman"/>
              </w:rPr>
            </w:pPr>
            <w:r w:rsidRPr="00E958CE">
              <w:rPr>
                <w:rFonts w:ascii="Times New Roman" w:hAnsi="Times New Roman" w:cs="Times New Roman"/>
              </w:rPr>
              <w:t>Põllumajandustootjad ja töötlejad</w:t>
            </w:r>
          </w:p>
        </w:tc>
        <w:tc>
          <w:tcPr>
            <w:tcW w:w="3402" w:type="dxa"/>
            <w:tcBorders>
              <w:top w:val="single" w:sz="18" w:space="0" w:color="auto"/>
              <w:right w:val="single" w:sz="18" w:space="0" w:color="auto"/>
            </w:tcBorders>
            <w:shd w:val="clear" w:color="auto" w:fill="FEBCBC" w:themeFill="accent1" w:themeFillTint="33"/>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PM, PRIA, töötlejad, põllumajandustootjad</w:t>
            </w:r>
          </w:p>
        </w:tc>
      </w:tr>
      <w:tr w:rsidR="00263C4D" w:rsidRPr="00E958CE" w:rsidTr="00F541B2">
        <w:trPr>
          <w:cantSplit/>
          <w:trHeight w:val="634"/>
        </w:trPr>
        <w:tc>
          <w:tcPr>
            <w:tcW w:w="2694" w:type="dxa"/>
            <w:vMerge/>
            <w:tcBorders>
              <w:left w:val="single" w:sz="18" w:space="0" w:color="auto"/>
            </w:tcBorders>
            <w:shd w:val="clear" w:color="auto" w:fill="FEBCBC" w:themeFill="accent1" w:themeFillTint="33"/>
            <w:vAlign w:val="center"/>
          </w:tcPr>
          <w:p w:rsidR="00263C4D" w:rsidRPr="00E958CE" w:rsidRDefault="00263C4D" w:rsidP="00F541B2">
            <w:pPr>
              <w:spacing w:line="276" w:lineRule="auto"/>
              <w:rPr>
                <w:rFonts w:ascii="Times New Roman" w:hAnsi="Times New Roman" w:cs="Times New Roman"/>
                <w:b/>
                <w:bCs/>
              </w:rPr>
            </w:pPr>
          </w:p>
        </w:tc>
        <w:tc>
          <w:tcPr>
            <w:tcW w:w="4819" w:type="dxa"/>
            <w:tcBorders>
              <w:bottom w:val="single" w:sz="2" w:space="0" w:color="auto"/>
            </w:tcBorders>
            <w:shd w:val="clear" w:color="auto" w:fill="FEBCBC" w:themeFill="accent1" w:themeFillTint="33"/>
            <w:vAlign w:val="center"/>
          </w:tcPr>
          <w:p w:rsidR="00263C4D" w:rsidRPr="00E958CE" w:rsidRDefault="00263C4D" w:rsidP="00F541B2">
            <w:pPr>
              <w:spacing w:line="276" w:lineRule="auto"/>
              <w:rPr>
                <w:rFonts w:ascii="Times New Roman" w:hAnsi="Times New Roman" w:cs="Times New Roman"/>
                <w:bCs/>
              </w:rPr>
            </w:pPr>
            <w:r w:rsidRPr="00E958CE">
              <w:rPr>
                <w:rFonts w:ascii="Times New Roman" w:hAnsi="Times New Roman" w:cs="Times New Roman"/>
                <w:bCs/>
              </w:rPr>
              <w:t>2.2.  Tarbijate teavitamine ja teadlikkuse tõstmine</w:t>
            </w:r>
          </w:p>
        </w:tc>
        <w:tc>
          <w:tcPr>
            <w:tcW w:w="4678" w:type="dxa"/>
            <w:tcBorders>
              <w:bottom w:val="single" w:sz="2" w:space="0" w:color="auto"/>
            </w:tcBorders>
            <w:shd w:val="clear" w:color="auto" w:fill="FEBCBC" w:themeFill="accent1" w:themeFillTint="33"/>
            <w:vAlign w:val="center"/>
          </w:tcPr>
          <w:p w:rsidR="00263C4D" w:rsidRPr="00E958CE" w:rsidRDefault="00263C4D" w:rsidP="00F541B2">
            <w:pPr>
              <w:adjustRightInd w:val="0"/>
              <w:spacing w:line="276" w:lineRule="auto"/>
              <w:jc w:val="center"/>
              <w:rPr>
                <w:rFonts w:ascii="Times New Roman" w:hAnsi="Times New Roman" w:cs="Times New Roman"/>
              </w:rPr>
            </w:pPr>
            <w:r w:rsidRPr="00E958CE">
              <w:rPr>
                <w:rFonts w:ascii="Times New Roman" w:hAnsi="Times New Roman" w:cs="Times New Roman"/>
              </w:rPr>
              <w:t xml:space="preserve">Turuarendustoetus </w:t>
            </w:r>
          </w:p>
          <w:p w:rsidR="00263C4D" w:rsidRPr="00E958CE" w:rsidRDefault="00263C4D" w:rsidP="00F541B2">
            <w:pPr>
              <w:adjustRightInd w:val="0"/>
              <w:spacing w:line="276" w:lineRule="auto"/>
              <w:jc w:val="center"/>
              <w:rPr>
                <w:rFonts w:ascii="Times New Roman" w:hAnsi="Times New Roman" w:cs="Times New Roman"/>
              </w:rPr>
            </w:pPr>
            <w:r w:rsidRPr="00E958CE">
              <w:rPr>
                <w:rFonts w:ascii="Times New Roman" w:hAnsi="Times New Roman" w:cs="Times New Roman"/>
              </w:rPr>
              <w:t>Põllumajandussaaduste ja –toodete teavitamis- ja müügiedendamismeetmed</w:t>
            </w:r>
          </w:p>
          <w:p w:rsidR="00263C4D" w:rsidRPr="00E958CE" w:rsidRDefault="00263C4D" w:rsidP="00F541B2">
            <w:pPr>
              <w:adjustRightInd w:val="0"/>
              <w:spacing w:line="276" w:lineRule="auto"/>
              <w:jc w:val="center"/>
              <w:rPr>
                <w:rFonts w:ascii="Times New Roman" w:hAnsi="Times New Roman" w:cs="Times New Roman"/>
              </w:rPr>
            </w:pPr>
            <w:r w:rsidRPr="00E958CE">
              <w:rPr>
                <w:rFonts w:ascii="Times New Roman" w:hAnsi="Times New Roman" w:cs="Times New Roman"/>
              </w:rPr>
              <w:t>Arengukava „Eesti toit“</w:t>
            </w:r>
          </w:p>
        </w:tc>
        <w:tc>
          <w:tcPr>
            <w:tcW w:w="3402" w:type="dxa"/>
            <w:tcBorders>
              <w:bottom w:val="single" w:sz="2" w:space="0" w:color="auto"/>
              <w:right w:val="single" w:sz="18" w:space="0" w:color="auto"/>
            </w:tcBorders>
            <w:shd w:val="clear" w:color="auto" w:fill="FEBCBC" w:themeFill="accent1" w:themeFillTint="33"/>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PM, PRIA, avalikkus, töötlejad</w:t>
            </w:r>
          </w:p>
        </w:tc>
      </w:tr>
      <w:tr w:rsidR="00263C4D" w:rsidRPr="00E958CE" w:rsidTr="00F541B2">
        <w:trPr>
          <w:cantSplit/>
        </w:trPr>
        <w:tc>
          <w:tcPr>
            <w:tcW w:w="2694" w:type="dxa"/>
            <w:vMerge w:val="restart"/>
            <w:tcBorders>
              <w:top w:val="single" w:sz="18" w:space="0" w:color="auto"/>
              <w:left w:val="single" w:sz="18" w:space="0" w:color="auto"/>
            </w:tcBorders>
            <w:shd w:val="clear" w:color="auto" w:fill="auto"/>
            <w:vAlign w:val="center"/>
          </w:tcPr>
          <w:p w:rsidR="00263C4D" w:rsidRPr="00E958CE" w:rsidRDefault="00263C4D" w:rsidP="00F541B2">
            <w:pPr>
              <w:spacing w:line="276" w:lineRule="auto"/>
              <w:ind w:left="34"/>
              <w:rPr>
                <w:rFonts w:ascii="Times New Roman" w:hAnsi="Times New Roman" w:cs="Times New Roman"/>
                <w:b/>
                <w:bCs/>
              </w:rPr>
            </w:pPr>
            <w:r w:rsidRPr="00E958CE">
              <w:rPr>
                <w:rFonts w:ascii="Times New Roman" w:hAnsi="Times New Roman" w:cs="Times New Roman"/>
                <w:b/>
                <w:bCs/>
              </w:rPr>
              <w:t>3. Eestis kasvatatava teravilja loodusliku puhtuse  propageerimine</w:t>
            </w:r>
          </w:p>
        </w:tc>
        <w:tc>
          <w:tcPr>
            <w:tcW w:w="4819" w:type="dxa"/>
            <w:tcBorders>
              <w:top w:val="single" w:sz="18" w:space="0" w:color="auto"/>
            </w:tcBorders>
            <w:shd w:val="clear" w:color="auto" w:fill="auto"/>
            <w:vAlign w:val="center"/>
          </w:tcPr>
          <w:p w:rsidR="00263C4D" w:rsidRPr="00E958CE" w:rsidRDefault="00263C4D" w:rsidP="00F541B2">
            <w:pPr>
              <w:adjustRightInd w:val="0"/>
              <w:spacing w:line="276" w:lineRule="auto"/>
              <w:rPr>
                <w:rFonts w:ascii="Times New Roman" w:hAnsi="Times New Roman" w:cs="Times New Roman"/>
                <w:bCs/>
              </w:rPr>
            </w:pPr>
            <w:r w:rsidRPr="00E958CE">
              <w:rPr>
                <w:rFonts w:ascii="Times New Roman" w:hAnsi="Times New Roman" w:cs="Times New Roman"/>
                <w:bCs/>
              </w:rPr>
              <w:t xml:space="preserve">3.1. Eesti Vabariigi välisesinduste kaasamine sektori toodangu promotsiooni </w:t>
            </w:r>
          </w:p>
        </w:tc>
        <w:tc>
          <w:tcPr>
            <w:tcW w:w="4678" w:type="dxa"/>
            <w:tcBorders>
              <w:top w:val="single" w:sz="18" w:space="0" w:color="auto"/>
            </w:tcBorders>
            <w:shd w:val="clear" w:color="auto" w:fill="auto"/>
            <w:vAlign w:val="center"/>
          </w:tcPr>
          <w:p w:rsidR="00263C4D" w:rsidRPr="00E958CE" w:rsidRDefault="00263C4D" w:rsidP="00F541B2">
            <w:pPr>
              <w:adjustRightInd w:val="0"/>
              <w:spacing w:line="276" w:lineRule="auto"/>
              <w:ind w:left="-106"/>
              <w:jc w:val="center"/>
              <w:rPr>
                <w:rFonts w:ascii="Times New Roman" w:hAnsi="Times New Roman" w:cs="Times New Roman"/>
              </w:rPr>
            </w:pPr>
            <w:r w:rsidRPr="00E958CE">
              <w:rPr>
                <w:rFonts w:ascii="Times New Roman" w:hAnsi="Times New Roman" w:cs="Times New Roman"/>
              </w:rPr>
              <w:t>Riigieelarve ja esinduste programmieelarved (FAO, WTO, OECD)</w:t>
            </w:r>
          </w:p>
        </w:tc>
        <w:tc>
          <w:tcPr>
            <w:tcW w:w="3402" w:type="dxa"/>
            <w:tcBorders>
              <w:top w:val="single" w:sz="18" w:space="0" w:color="auto"/>
              <w:right w:val="single" w:sz="18" w:space="0" w:color="auto"/>
            </w:tcBorders>
            <w:shd w:val="clear" w:color="auto" w:fill="auto"/>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PM, avalikkus</w:t>
            </w:r>
          </w:p>
        </w:tc>
      </w:tr>
      <w:tr w:rsidR="00263C4D" w:rsidRPr="00E958CE" w:rsidTr="00F541B2">
        <w:trPr>
          <w:cantSplit/>
          <w:trHeight w:val="436"/>
        </w:trPr>
        <w:tc>
          <w:tcPr>
            <w:tcW w:w="2694" w:type="dxa"/>
            <w:vMerge/>
            <w:tcBorders>
              <w:left w:val="single" w:sz="18" w:space="0" w:color="auto"/>
            </w:tcBorders>
            <w:shd w:val="clear" w:color="auto" w:fill="auto"/>
            <w:vAlign w:val="center"/>
          </w:tcPr>
          <w:p w:rsidR="00263C4D" w:rsidRPr="00E958CE" w:rsidRDefault="00263C4D" w:rsidP="00F541B2">
            <w:pPr>
              <w:spacing w:line="276" w:lineRule="auto"/>
              <w:rPr>
                <w:rFonts w:ascii="Times New Roman" w:hAnsi="Times New Roman" w:cs="Times New Roman"/>
                <w:b/>
                <w:bCs/>
              </w:rPr>
            </w:pPr>
          </w:p>
        </w:tc>
        <w:tc>
          <w:tcPr>
            <w:tcW w:w="4819" w:type="dxa"/>
            <w:shd w:val="clear" w:color="auto" w:fill="auto"/>
            <w:vAlign w:val="center"/>
          </w:tcPr>
          <w:p w:rsidR="00263C4D" w:rsidRPr="00E958CE" w:rsidRDefault="00263C4D" w:rsidP="00F541B2">
            <w:pPr>
              <w:spacing w:line="276" w:lineRule="auto"/>
              <w:rPr>
                <w:rFonts w:ascii="Times New Roman" w:hAnsi="Times New Roman" w:cs="Times New Roman"/>
                <w:bCs/>
              </w:rPr>
            </w:pPr>
            <w:r w:rsidRPr="00E958CE">
              <w:rPr>
                <w:rFonts w:ascii="Times New Roman" w:hAnsi="Times New Roman" w:cs="Times New Roman"/>
                <w:bCs/>
              </w:rPr>
              <w:t>3.2. Keskkonnasäästike tootmisviiside soodustamine</w:t>
            </w:r>
          </w:p>
        </w:tc>
        <w:tc>
          <w:tcPr>
            <w:tcW w:w="4678" w:type="dxa"/>
            <w:shd w:val="clear" w:color="auto" w:fill="auto"/>
            <w:vAlign w:val="center"/>
          </w:tcPr>
          <w:p w:rsidR="00263C4D" w:rsidRPr="00E958CE" w:rsidRDefault="00263C4D" w:rsidP="00F541B2">
            <w:pPr>
              <w:spacing w:line="276" w:lineRule="auto"/>
              <w:jc w:val="center"/>
              <w:rPr>
                <w:rFonts w:ascii="Times New Roman" w:hAnsi="Times New Roman" w:cs="Times New Roman"/>
              </w:rPr>
            </w:pPr>
            <w:r>
              <w:rPr>
                <w:rFonts w:ascii="Times New Roman" w:hAnsi="Times New Roman" w:cs="Times New Roman"/>
              </w:rPr>
              <w:t>MAK -</w:t>
            </w:r>
            <w:r w:rsidRPr="00E958CE">
              <w:rPr>
                <w:rFonts w:ascii="Times New Roman" w:hAnsi="Times New Roman" w:cs="Times New Roman"/>
              </w:rPr>
              <w:t xml:space="preserve"> Keskkonnasõbraliku majandamise toetus</w:t>
            </w:r>
          </w:p>
          <w:p w:rsidR="00263C4D" w:rsidRDefault="00263C4D" w:rsidP="00F541B2">
            <w:pPr>
              <w:spacing w:line="276" w:lineRule="auto"/>
              <w:jc w:val="center"/>
              <w:rPr>
                <w:rFonts w:ascii="Times New Roman" w:hAnsi="Times New Roman" w:cs="Times New Roman"/>
              </w:rPr>
            </w:pPr>
            <w:r w:rsidRPr="00E958CE">
              <w:rPr>
                <w:rFonts w:ascii="Times New Roman" w:hAnsi="Times New Roman" w:cs="Times New Roman"/>
              </w:rPr>
              <w:t xml:space="preserve">MAK </w:t>
            </w:r>
            <w:r>
              <w:rPr>
                <w:rFonts w:ascii="Times New Roman" w:hAnsi="Times New Roman" w:cs="Times New Roman"/>
              </w:rPr>
              <w:t>-</w:t>
            </w:r>
            <w:r w:rsidRPr="00E958CE">
              <w:rPr>
                <w:rFonts w:ascii="Times New Roman" w:hAnsi="Times New Roman" w:cs="Times New Roman"/>
              </w:rPr>
              <w:t xml:space="preserve"> Mahepõllumajandus</w:t>
            </w:r>
            <w:r>
              <w:rPr>
                <w:rFonts w:ascii="Times New Roman" w:hAnsi="Times New Roman" w:cs="Times New Roman"/>
              </w:rPr>
              <w:t>e toetus</w:t>
            </w:r>
          </w:p>
          <w:p w:rsidR="00263C4D" w:rsidRPr="00E958CE" w:rsidRDefault="00263C4D" w:rsidP="00F541B2">
            <w:pPr>
              <w:spacing w:line="276" w:lineRule="auto"/>
              <w:jc w:val="center"/>
              <w:rPr>
                <w:rFonts w:ascii="Times New Roman" w:hAnsi="Times New Roman" w:cs="Times New Roman"/>
              </w:rPr>
            </w:pPr>
            <w:r>
              <w:rPr>
                <w:rFonts w:ascii="Times New Roman" w:hAnsi="Times New Roman" w:cs="Times New Roman"/>
              </w:rPr>
              <w:t>MAK - Kohalikku sorti taimede kasvatamise toetus</w:t>
            </w:r>
          </w:p>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Põllumajandustootjad</w:t>
            </w:r>
          </w:p>
        </w:tc>
        <w:tc>
          <w:tcPr>
            <w:tcW w:w="3402" w:type="dxa"/>
            <w:tcBorders>
              <w:right w:val="single" w:sz="18" w:space="0" w:color="auto"/>
            </w:tcBorders>
            <w:shd w:val="clear" w:color="auto" w:fill="auto"/>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PM, PRIA, põllumajandustootjad</w:t>
            </w:r>
          </w:p>
        </w:tc>
      </w:tr>
      <w:tr w:rsidR="00263C4D" w:rsidRPr="00E958CE" w:rsidTr="00F541B2">
        <w:trPr>
          <w:cantSplit/>
        </w:trPr>
        <w:tc>
          <w:tcPr>
            <w:tcW w:w="2694" w:type="dxa"/>
            <w:tcBorders>
              <w:top w:val="single" w:sz="18" w:space="0" w:color="auto"/>
              <w:left w:val="single" w:sz="18" w:space="0" w:color="auto"/>
              <w:bottom w:val="single" w:sz="18" w:space="0" w:color="auto"/>
            </w:tcBorders>
            <w:shd w:val="clear" w:color="auto" w:fill="FEBCBC" w:themeFill="accent1" w:themeFillTint="33"/>
            <w:vAlign w:val="center"/>
          </w:tcPr>
          <w:p w:rsidR="00263C4D" w:rsidRPr="00E958CE" w:rsidRDefault="00263C4D" w:rsidP="00F541B2">
            <w:pPr>
              <w:spacing w:line="276" w:lineRule="auto"/>
              <w:ind w:left="34"/>
              <w:rPr>
                <w:rFonts w:ascii="Times New Roman" w:hAnsi="Times New Roman" w:cs="Times New Roman"/>
                <w:b/>
                <w:bCs/>
              </w:rPr>
            </w:pPr>
            <w:r w:rsidRPr="00E958CE">
              <w:rPr>
                <w:rFonts w:ascii="Times New Roman" w:hAnsi="Times New Roman" w:cs="Times New Roman"/>
                <w:b/>
                <w:bCs/>
              </w:rPr>
              <w:t>4. Bioenergiaks müüdava toodangu tunnustamise lihtsustamine riiklikul tasandil</w:t>
            </w:r>
          </w:p>
        </w:tc>
        <w:tc>
          <w:tcPr>
            <w:tcW w:w="4819" w:type="dxa"/>
            <w:tcBorders>
              <w:top w:val="single" w:sz="18" w:space="0" w:color="auto"/>
              <w:bottom w:val="single" w:sz="18" w:space="0" w:color="auto"/>
            </w:tcBorders>
            <w:shd w:val="clear" w:color="auto" w:fill="FEBCBC" w:themeFill="accent1" w:themeFillTint="33"/>
            <w:vAlign w:val="center"/>
          </w:tcPr>
          <w:p w:rsidR="00263C4D" w:rsidRPr="00E958CE" w:rsidRDefault="00263C4D" w:rsidP="00F541B2">
            <w:pPr>
              <w:spacing w:line="276" w:lineRule="auto"/>
              <w:contextualSpacing/>
              <w:rPr>
                <w:rFonts w:ascii="Times New Roman" w:hAnsi="Times New Roman" w:cs="Times New Roman"/>
                <w:bCs/>
              </w:rPr>
            </w:pPr>
            <w:r w:rsidRPr="00E958CE">
              <w:rPr>
                <w:rFonts w:ascii="Times New Roman" w:hAnsi="Times New Roman" w:cs="Times New Roman"/>
                <w:bCs/>
              </w:rPr>
              <w:t>4.1. Biokütuste säästlikkuse kriteeriumitele vastavuse tõendamise süsteemi loomine</w:t>
            </w:r>
          </w:p>
        </w:tc>
        <w:tc>
          <w:tcPr>
            <w:tcW w:w="4678" w:type="dxa"/>
            <w:tcBorders>
              <w:top w:val="single" w:sz="18" w:space="0" w:color="auto"/>
              <w:bottom w:val="single" w:sz="18" w:space="0" w:color="auto"/>
            </w:tcBorders>
            <w:shd w:val="clear" w:color="auto" w:fill="FEBCBC" w:themeFill="accent1" w:themeFillTint="33"/>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Riigieelarve</w:t>
            </w:r>
          </w:p>
        </w:tc>
        <w:tc>
          <w:tcPr>
            <w:tcW w:w="3402" w:type="dxa"/>
            <w:tcBorders>
              <w:top w:val="single" w:sz="18" w:space="0" w:color="auto"/>
              <w:bottom w:val="single" w:sz="18" w:space="0" w:color="auto"/>
              <w:right w:val="single" w:sz="18" w:space="0" w:color="auto"/>
            </w:tcBorders>
            <w:shd w:val="clear" w:color="auto" w:fill="FEBCBC" w:themeFill="accent1" w:themeFillTint="33"/>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PM, Põllumajandustootjad ja -ettevõtted, KKM</w:t>
            </w:r>
          </w:p>
        </w:tc>
      </w:tr>
    </w:tbl>
    <w:p w:rsidR="00794500" w:rsidRDefault="00794500" w:rsidP="00263C4D">
      <w:pPr>
        <w:rPr>
          <w:rStyle w:val="IntenseReference"/>
          <w:rFonts w:ascii="Times New Roman" w:hAnsi="Times New Roman" w:cs="Times New Roman"/>
          <w:i w:val="0"/>
          <w:sz w:val="24"/>
          <w:szCs w:val="24"/>
        </w:rPr>
      </w:pPr>
    </w:p>
    <w:p w:rsidR="00263C4D" w:rsidRPr="006C62BF" w:rsidRDefault="00263C4D" w:rsidP="00263C4D">
      <w:pPr>
        <w:rPr>
          <w:rStyle w:val="IntenseReference"/>
          <w:rFonts w:ascii="Times New Roman" w:hAnsi="Times New Roman" w:cs="Times New Roman"/>
          <w:i w:val="0"/>
          <w:sz w:val="24"/>
          <w:szCs w:val="24"/>
        </w:rPr>
      </w:pPr>
      <w:r w:rsidRPr="006C62BF">
        <w:rPr>
          <w:rStyle w:val="IntenseReference"/>
          <w:rFonts w:ascii="Times New Roman" w:hAnsi="Times New Roman" w:cs="Times New Roman"/>
          <w:i w:val="0"/>
          <w:sz w:val="24"/>
          <w:szCs w:val="24"/>
        </w:rPr>
        <w:t>5. EESMÄRK: teravilja tootmisel ja töötlemisel</w:t>
      </w:r>
      <w:r>
        <w:rPr>
          <w:rStyle w:val="IntenseReference"/>
          <w:rFonts w:ascii="Times New Roman" w:hAnsi="Times New Roman" w:cs="Times New Roman"/>
          <w:i w:val="0"/>
          <w:sz w:val="24"/>
          <w:szCs w:val="24"/>
        </w:rPr>
        <w:t xml:space="preserve"> ON TAGATUD</w:t>
      </w:r>
      <w:r w:rsidRPr="00DA46A4">
        <w:rPr>
          <w:rStyle w:val="IntenseReference"/>
          <w:rFonts w:ascii="Times New Roman" w:hAnsi="Times New Roman" w:cs="Times New Roman"/>
          <w:i w:val="0"/>
          <w:sz w:val="24"/>
          <w:szCs w:val="24"/>
        </w:rPr>
        <w:t xml:space="preserve"> </w:t>
      </w:r>
      <w:r w:rsidRPr="006C62BF">
        <w:rPr>
          <w:rStyle w:val="IntenseReference"/>
          <w:rFonts w:ascii="Times New Roman" w:hAnsi="Times New Roman" w:cs="Times New Roman"/>
          <w:i w:val="0"/>
          <w:sz w:val="24"/>
          <w:szCs w:val="24"/>
        </w:rPr>
        <w:t>Jätkusuutlikkus</w:t>
      </w:r>
    </w:p>
    <w:p w:rsidR="00263C4D" w:rsidRPr="00267949" w:rsidRDefault="00263C4D" w:rsidP="00263C4D">
      <w:pPr>
        <w:spacing w:line="276" w:lineRule="auto"/>
        <w:rPr>
          <w:rFonts w:eastAsia="Calibri"/>
          <w:b/>
          <w:u w:val="single"/>
        </w:rPr>
      </w:pP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4819"/>
        <w:gridCol w:w="4678"/>
        <w:gridCol w:w="3402"/>
      </w:tblGrid>
      <w:tr w:rsidR="00263C4D" w:rsidRPr="00E958CE" w:rsidTr="00F541B2">
        <w:trPr>
          <w:cantSplit/>
        </w:trPr>
        <w:tc>
          <w:tcPr>
            <w:tcW w:w="2694" w:type="dxa"/>
            <w:tcBorders>
              <w:top w:val="single" w:sz="18" w:space="0" w:color="auto"/>
              <w:left w:val="single" w:sz="18" w:space="0" w:color="auto"/>
              <w:bottom w:val="single" w:sz="18" w:space="0" w:color="auto"/>
              <w:right w:val="single" w:sz="4" w:space="0" w:color="auto"/>
            </w:tcBorders>
            <w:shd w:val="clear" w:color="auto" w:fill="AD0101" w:themeFill="accent1"/>
            <w:vAlign w:val="bottom"/>
          </w:tcPr>
          <w:p w:rsidR="00263C4D" w:rsidRPr="00E958CE" w:rsidRDefault="00263C4D" w:rsidP="00F541B2">
            <w:pPr>
              <w:spacing w:line="276" w:lineRule="auto"/>
              <w:ind w:left="34"/>
              <w:jc w:val="center"/>
              <w:rPr>
                <w:rFonts w:ascii="Times New Roman" w:hAnsi="Times New Roman" w:cs="Times New Roman"/>
                <w:b/>
                <w:bCs/>
              </w:rPr>
            </w:pPr>
            <w:r w:rsidRPr="00E958CE">
              <w:rPr>
                <w:rFonts w:ascii="Times New Roman" w:hAnsi="Times New Roman" w:cs="Times New Roman"/>
                <w:b/>
                <w:bCs/>
              </w:rPr>
              <w:t>Meede</w:t>
            </w:r>
          </w:p>
        </w:tc>
        <w:tc>
          <w:tcPr>
            <w:tcW w:w="4819" w:type="dxa"/>
            <w:tcBorders>
              <w:top w:val="single" w:sz="18" w:space="0" w:color="auto"/>
              <w:left w:val="single" w:sz="4" w:space="0" w:color="auto"/>
              <w:bottom w:val="single" w:sz="18" w:space="0" w:color="auto"/>
              <w:right w:val="single" w:sz="4" w:space="0" w:color="auto"/>
            </w:tcBorders>
            <w:shd w:val="clear" w:color="auto" w:fill="AD0101" w:themeFill="accent1"/>
            <w:vAlign w:val="center"/>
          </w:tcPr>
          <w:p w:rsidR="00263C4D" w:rsidRPr="00E958CE" w:rsidRDefault="00263C4D" w:rsidP="00F541B2">
            <w:pPr>
              <w:spacing w:line="276" w:lineRule="auto"/>
              <w:contextualSpacing/>
              <w:jc w:val="center"/>
              <w:rPr>
                <w:rFonts w:ascii="Times New Roman" w:hAnsi="Times New Roman" w:cs="Times New Roman"/>
                <w:b/>
                <w:bCs/>
              </w:rPr>
            </w:pPr>
            <w:r w:rsidRPr="00E958CE">
              <w:rPr>
                <w:rFonts w:ascii="Times New Roman" w:hAnsi="Times New Roman" w:cs="Times New Roman"/>
                <w:b/>
                <w:bCs/>
              </w:rPr>
              <w:t>Tegevus/alategevus</w:t>
            </w:r>
          </w:p>
        </w:tc>
        <w:tc>
          <w:tcPr>
            <w:tcW w:w="4678" w:type="dxa"/>
            <w:tcBorders>
              <w:top w:val="single" w:sz="18" w:space="0" w:color="auto"/>
              <w:left w:val="single" w:sz="4" w:space="0" w:color="auto"/>
              <w:bottom w:val="single" w:sz="18" w:space="0" w:color="auto"/>
              <w:right w:val="single" w:sz="4" w:space="0" w:color="auto"/>
            </w:tcBorders>
            <w:shd w:val="clear" w:color="auto" w:fill="AD0101" w:themeFill="accent1"/>
            <w:vAlign w:val="center"/>
          </w:tcPr>
          <w:p w:rsidR="00263C4D" w:rsidRPr="00E958CE" w:rsidRDefault="00263C4D" w:rsidP="00F541B2">
            <w:pPr>
              <w:spacing w:line="276" w:lineRule="auto"/>
              <w:jc w:val="center"/>
              <w:rPr>
                <w:rFonts w:ascii="Times New Roman" w:hAnsi="Times New Roman" w:cs="Times New Roman"/>
                <w:b/>
              </w:rPr>
            </w:pPr>
            <w:r w:rsidRPr="00E958CE">
              <w:rPr>
                <w:rFonts w:ascii="Times New Roman" w:hAnsi="Times New Roman" w:cs="Times New Roman"/>
                <w:b/>
              </w:rPr>
              <w:t>Võimalik finantseerimise allikas</w:t>
            </w:r>
          </w:p>
        </w:tc>
        <w:tc>
          <w:tcPr>
            <w:tcW w:w="3402" w:type="dxa"/>
            <w:tcBorders>
              <w:top w:val="single" w:sz="18" w:space="0" w:color="auto"/>
              <w:left w:val="single" w:sz="4" w:space="0" w:color="auto"/>
              <w:bottom w:val="single" w:sz="18" w:space="0" w:color="auto"/>
              <w:right w:val="single" w:sz="18" w:space="0" w:color="auto"/>
            </w:tcBorders>
            <w:shd w:val="clear" w:color="auto" w:fill="AD0101" w:themeFill="accent1"/>
            <w:vAlign w:val="center"/>
          </w:tcPr>
          <w:p w:rsidR="00263C4D" w:rsidRPr="00E958CE" w:rsidRDefault="00263C4D" w:rsidP="00F541B2">
            <w:pPr>
              <w:spacing w:line="276" w:lineRule="auto"/>
              <w:jc w:val="center"/>
              <w:rPr>
                <w:rFonts w:ascii="Times New Roman" w:hAnsi="Times New Roman" w:cs="Times New Roman"/>
                <w:b/>
              </w:rPr>
            </w:pPr>
            <w:r w:rsidRPr="00E958CE">
              <w:rPr>
                <w:rFonts w:ascii="Times New Roman" w:hAnsi="Times New Roman" w:cs="Times New Roman"/>
                <w:b/>
              </w:rPr>
              <w:t>Sihtgrupp/täitja</w:t>
            </w:r>
          </w:p>
        </w:tc>
      </w:tr>
      <w:tr w:rsidR="00263C4D" w:rsidRPr="00E958CE" w:rsidTr="00F541B2">
        <w:trPr>
          <w:cantSplit/>
        </w:trPr>
        <w:tc>
          <w:tcPr>
            <w:tcW w:w="2694" w:type="dxa"/>
            <w:vMerge w:val="restart"/>
            <w:tcBorders>
              <w:top w:val="single" w:sz="18" w:space="0" w:color="auto"/>
              <w:left w:val="single" w:sz="18" w:space="0" w:color="auto"/>
            </w:tcBorders>
            <w:vAlign w:val="center"/>
          </w:tcPr>
          <w:p w:rsidR="00263C4D" w:rsidRPr="00E958CE" w:rsidRDefault="00263C4D" w:rsidP="00F541B2">
            <w:pPr>
              <w:spacing w:line="276" w:lineRule="auto"/>
              <w:ind w:left="34"/>
              <w:rPr>
                <w:rFonts w:ascii="Times New Roman" w:hAnsi="Times New Roman" w:cs="Times New Roman"/>
                <w:b/>
                <w:bCs/>
              </w:rPr>
            </w:pPr>
            <w:r w:rsidRPr="00E958CE">
              <w:rPr>
                <w:rFonts w:ascii="Times New Roman" w:hAnsi="Times New Roman" w:cs="Times New Roman"/>
                <w:b/>
                <w:bCs/>
              </w:rPr>
              <w:t xml:space="preserve">1. Maa kui põhilise tootmisvahendi hoidmine põllumajanduslikus tootmises </w:t>
            </w:r>
          </w:p>
        </w:tc>
        <w:tc>
          <w:tcPr>
            <w:tcW w:w="4819" w:type="dxa"/>
            <w:tcBorders>
              <w:top w:val="single" w:sz="18" w:space="0" w:color="auto"/>
            </w:tcBorders>
            <w:vAlign w:val="center"/>
          </w:tcPr>
          <w:p w:rsidR="00263C4D" w:rsidRPr="00E958CE" w:rsidRDefault="00263C4D" w:rsidP="00F541B2">
            <w:pPr>
              <w:spacing w:line="276" w:lineRule="auto"/>
              <w:contextualSpacing/>
              <w:rPr>
                <w:rFonts w:ascii="Times New Roman" w:hAnsi="Times New Roman" w:cs="Times New Roman"/>
                <w:bCs/>
              </w:rPr>
            </w:pPr>
            <w:r w:rsidRPr="00E958CE">
              <w:rPr>
                <w:rFonts w:ascii="Times New Roman" w:hAnsi="Times New Roman" w:cs="Times New Roman"/>
                <w:bCs/>
              </w:rPr>
              <w:t>1.1. Põllumajandusmaa sihtotstarbelise kasutamise tagamine</w:t>
            </w:r>
          </w:p>
        </w:tc>
        <w:tc>
          <w:tcPr>
            <w:tcW w:w="4678" w:type="dxa"/>
            <w:tcBorders>
              <w:top w:val="single" w:sz="18" w:space="0" w:color="auto"/>
            </w:tcBorders>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ÜPP</w:t>
            </w:r>
          </w:p>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Põllumajandustootjad</w:t>
            </w:r>
          </w:p>
        </w:tc>
        <w:tc>
          <w:tcPr>
            <w:tcW w:w="3402" w:type="dxa"/>
            <w:tcBorders>
              <w:top w:val="single" w:sz="18" w:space="0" w:color="auto"/>
              <w:right w:val="single" w:sz="18" w:space="0" w:color="auto"/>
            </w:tcBorders>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PM, põllumajandustootjad</w:t>
            </w:r>
          </w:p>
        </w:tc>
      </w:tr>
      <w:tr w:rsidR="00263C4D" w:rsidRPr="00E958CE" w:rsidTr="00F541B2">
        <w:trPr>
          <w:cantSplit/>
        </w:trPr>
        <w:tc>
          <w:tcPr>
            <w:tcW w:w="2694" w:type="dxa"/>
            <w:vMerge/>
            <w:tcBorders>
              <w:left w:val="single" w:sz="18" w:space="0" w:color="auto"/>
            </w:tcBorders>
            <w:vAlign w:val="center"/>
          </w:tcPr>
          <w:p w:rsidR="00263C4D" w:rsidRPr="00E958CE" w:rsidRDefault="00263C4D" w:rsidP="00F541B2">
            <w:pPr>
              <w:spacing w:line="276" w:lineRule="auto"/>
              <w:rPr>
                <w:rFonts w:ascii="Times New Roman" w:hAnsi="Times New Roman" w:cs="Times New Roman"/>
                <w:b/>
                <w:bCs/>
              </w:rPr>
            </w:pPr>
          </w:p>
        </w:tc>
        <w:tc>
          <w:tcPr>
            <w:tcW w:w="4819" w:type="dxa"/>
            <w:vAlign w:val="center"/>
          </w:tcPr>
          <w:p w:rsidR="00263C4D" w:rsidRPr="00E958CE" w:rsidRDefault="00263C4D" w:rsidP="00F541B2">
            <w:pPr>
              <w:spacing w:line="276" w:lineRule="auto"/>
              <w:rPr>
                <w:rFonts w:ascii="Times New Roman" w:hAnsi="Times New Roman" w:cs="Times New Roman"/>
                <w:bCs/>
              </w:rPr>
            </w:pPr>
            <w:r w:rsidRPr="00E958CE">
              <w:rPr>
                <w:rFonts w:ascii="Times New Roman" w:hAnsi="Times New Roman" w:cs="Times New Roman"/>
                <w:bCs/>
              </w:rPr>
              <w:t>1.2 Väärtusliku põllumajandusmaa definitsiooni ning selle kasutus- ja kaitsemeetmete õiguslike aluste väljatöötamine</w:t>
            </w:r>
          </w:p>
        </w:tc>
        <w:tc>
          <w:tcPr>
            <w:tcW w:w="4678" w:type="dxa"/>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Riigieelarve</w:t>
            </w:r>
          </w:p>
        </w:tc>
        <w:tc>
          <w:tcPr>
            <w:tcW w:w="3402" w:type="dxa"/>
            <w:tcBorders>
              <w:right w:val="single" w:sz="18" w:space="0" w:color="auto"/>
            </w:tcBorders>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PM, põllumajandustootjad, õppeasutused, PMK, ja Maaamet</w:t>
            </w:r>
          </w:p>
        </w:tc>
      </w:tr>
      <w:tr w:rsidR="00263C4D" w:rsidRPr="00E958CE" w:rsidTr="00F541B2">
        <w:trPr>
          <w:cantSplit/>
        </w:trPr>
        <w:tc>
          <w:tcPr>
            <w:tcW w:w="2694" w:type="dxa"/>
            <w:vMerge/>
            <w:tcBorders>
              <w:left w:val="single" w:sz="18" w:space="0" w:color="auto"/>
            </w:tcBorders>
            <w:vAlign w:val="center"/>
          </w:tcPr>
          <w:p w:rsidR="00263C4D" w:rsidRPr="00E958CE" w:rsidRDefault="00263C4D" w:rsidP="00F541B2">
            <w:pPr>
              <w:spacing w:line="276" w:lineRule="auto"/>
              <w:rPr>
                <w:rFonts w:ascii="Times New Roman" w:hAnsi="Times New Roman" w:cs="Times New Roman"/>
                <w:b/>
                <w:bCs/>
              </w:rPr>
            </w:pPr>
          </w:p>
        </w:tc>
        <w:tc>
          <w:tcPr>
            <w:tcW w:w="4819" w:type="dxa"/>
            <w:vAlign w:val="center"/>
          </w:tcPr>
          <w:p w:rsidR="00263C4D" w:rsidRPr="00E958CE" w:rsidRDefault="00263C4D" w:rsidP="00F541B2">
            <w:pPr>
              <w:spacing w:line="276" w:lineRule="auto"/>
              <w:contextualSpacing/>
              <w:rPr>
                <w:rFonts w:ascii="Times New Roman" w:hAnsi="Times New Roman" w:cs="Times New Roman"/>
                <w:bCs/>
              </w:rPr>
            </w:pPr>
            <w:r w:rsidRPr="00E958CE">
              <w:rPr>
                <w:rFonts w:ascii="Times New Roman" w:hAnsi="Times New Roman" w:cs="Times New Roman"/>
                <w:bCs/>
              </w:rPr>
              <w:t>1.3 Põllumajandusmaa väärtust (boniteet jms) iseloomustava andmebaasi ja vastava kaardikihi väljatöötamine</w:t>
            </w:r>
          </w:p>
        </w:tc>
        <w:tc>
          <w:tcPr>
            <w:tcW w:w="4678" w:type="dxa"/>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Riigieelarve</w:t>
            </w:r>
          </w:p>
        </w:tc>
        <w:tc>
          <w:tcPr>
            <w:tcW w:w="3402" w:type="dxa"/>
            <w:tcBorders>
              <w:right w:val="single" w:sz="18" w:space="0" w:color="auto"/>
            </w:tcBorders>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PM, põllumajandustootjad, õppeasutused, PMK ja Maaamet</w:t>
            </w:r>
          </w:p>
        </w:tc>
      </w:tr>
      <w:tr w:rsidR="00263C4D" w:rsidRPr="00E958CE" w:rsidTr="00F541B2">
        <w:tc>
          <w:tcPr>
            <w:tcW w:w="2694" w:type="dxa"/>
            <w:vMerge/>
            <w:tcBorders>
              <w:left w:val="single" w:sz="18" w:space="0" w:color="auto"/>
              <w:bottom w:val="single" w:sz="18" w:space="0" w:color="auto"/>
            </w:tcBorders>
            <w:vAlign w:val="center"/>
          </w:tcPr>
          <w:p w:rsidR="00263C4D" w:rsidRPr="00E958CE" w:rsidRDefault="00263C4D" w:rsidP="00F541B2">
            <w:pPr>
              <w:spacing w:line="276" w:lineRule="auto"/>
              <w:rPr>
                <w:rFonts w:ascii="Times New Roman" w:hAnsi="Times New Roman" w:cs="Times New Roman"/>
                <w:b/>
              </w:rPr>
            </w:pPr>
          </w:p>
        </w:tc>
        <w:tc>
          <w:tcPr>
            <w:tcW w:w="4819" w:type="dxa"/>
            <w:tcBorders>
              <w:bottom w:val="single" w:sz="18" w:space="0" w:color="auto"/>
            </w:tcBorders>
            <w:vAlign w:val="center"/>
          </w:tcPr>
          <w:p w:rsidR="00263C4D" w:rsidRPr="00E958CE" w:rsidRDefault="00263C4D" w:rsidP="00F541B2">
            <w:pPr>
              <w:spacing w:line="276" w:lineRule="auto"/>
              <w:contextualSpacing/>
              <w:rPr>
                <w:rFonts w:ascii="Times New Roman" w:hAnsi="Times New Roman" w:cs="Times New Roman"/>
              </w:rPr>
            </w:pPr>
            <w:r w:rsidRPr="00E958CE">
              <w:rPr>
                <w:rFonts w:ascii="Times New Roman" w:hAnsi="Times New Roman" w:cs="Times New Roman"/>
              </w:rPr>
              <w:t>1.4. Põllumajandustootja jaoks sobivaimate maakorralduslike (näit ümberkruntimine) ja maaõiguslike (näit maade rentimine) lahenduste/võtete propageerimine ja edendamine</w:t>
            </w:r>
          </w:p>
        </w:tc>
        <w:tc>
          <w:tcPr>
            <w:tcW w:w="4678" w:type="dxa"/>
            <w:tcBorders>
              <w:bottom w:val="single" w:sz="18" w:space="0" w:color="auto"/>
            </w:tcBorders>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Riigieelarve</w:t>
            </w:r>
          </w:p>
        </w:tc>
        <w:tc>
          <w:tcPr>
            <w:tcW w:w="3402" w:type="dxa"/>
            <w:tcBorders>
              <w:bottom w:val="single" w:sz="18" w:space="0" w:color="auto"/>
              <w:right w:val="single" w:sz="18" w:space="0" w:color="auto"/>
            </w:tcBorders>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PM, põllumajandustootjad, õppeasutused, PMK ja Maaamet</w:t>
            </w:r>
          </w:p>
        </w:tc>
      </w:tr>
      <w:tr w:rsidR="00263C4D" w:rsidRPr="00E958CE" w:rsidTr="00F541B2">
        <w:trPr>
          <w:cantSplit/>
        </w:trPr>
        <w:tc>
          <w:tcPr>
            <w:tcW w:w="2694" w:type="dxa"/>
            <w:vMerge w:val="restart"/>
            <w:tcBorders>
              <w:top w:val="single" w:sz="18" w:space="0" w:color="auto"/>
              <w:left w:val="single" w:sz="18" w:space="0" w:color="auto"/>
            </w:tcBorders>
            <w:shd w:val="clear" w:color="auto" w:fill="FEBCBC" w:themeFill="accent1" w:themeFillTint="33"/>
            <w:vAlign w:val="center"/>
          </w:tcPr>
          <w:p w:rsidR="00263C4D" w:rsidRPr="00E958CE" w:rsidRDefault="00263C4D" w:rsidP="00F541B2">
            <w:pPr>
              <w:spacing w:line="276" w:lineRule="auto"/>
              <w:ind w:left="34"/>
              <w:rPr>
                <w:rFonts w:ascii="Times New Roman" w:hAnsi="Times New Roman" w:cs="Times New Roman"/>
                <w:b/>
                <w:bCs/>
              </w:rPr>
            </w:pPr>
            <w:r w:rsidRPr="00E958CE">
              <w:rPr>
                <w:rFonts w:ascii="Times New Roman" w:hAnsi="Times New Roman" w:cs="Times New Roman"/>
                <w:b/>
                <w:bCs/>
              </w:rPr>
              <w:t>2. Põllumajandusmaa väärtuslikkuse säilitamine ja tõstmine</w:t>
            </w:r>
          </w:p>
        </w:tc>
        <w:tc>
          <w:tcPr>
            <w:tcW w:w="4819" w:type="dxa"/>
            <w:tcBorders>
              <w:top w:val="single" w:sz="18" w:space="0" w:color="auto"/>
            </w:tcBorders>
            <w:shd w:val="clear" w:color="auto" w:fill="FEBCBC" w:themeFill="accent1" w:themeFillTint="33"/>
            <w:vAlign w:val="center"/>
          </w:tcPr>
          <w:p w:rsidR="00263C4D" w:rsidRPr="00E958CE" w:rsidRDefault="00263C4D" w:rsidP="00F541B2">
            <w:pPr>
              <w:spacing w:line="276" w:lineRule="auto"/>
              <w:contextualSpacing/>
              <w:rPr>
                <w:rFonts w:ascii="Times New Roman" w:hAnsi="Times New Roman" w:cs="Times New Roman"/>
                <w:bCs/>
              </w:rPr>
            </w:pPr>
            <w:r w:rsidRPr="00E958CE">
              <w:rPr>
                <w:rFonts w:ascii="Times New Roman" w:hAnsi="Times New Roman" w:cs="Times New Roman"/>
                <w:bCs/>
              </w:rPr>
              <w:t>2.1. Põllumajandusmaa maaparanduslike tegevuste ja juurdepääsuks vajalike teerajatiste ehitamise ja rekonstrueerimise toetamine</w:t>
            </w:r>
          </w:p>
        </w:tc>
        <w:tc>
          <w:tcPr>
            <w:tcW w:w="4678" w:type="dxa"/>
            <w:tcBorders>
              <w:top w:val="single" w:sz="18" w:space="0" w:color="auto"/>
            </w:tcBorders>
            <w:shd w:val="clear" w:color="auto" w:fill="FEBCBC" w:themeFill="accent1" w:themeFillTint="33"/>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 xml:space="preserve">MAK - Põllu- ja metsamajanduse </w:t>
            </w:r>
            <w:proofErr w:type="spellStart"/>
            <w:r w:rsidRPr="00E958CE">
              <w:rPr>
                <w:rFonts w:ascii="Times New Roman" w:hAnsi="Times New Roman" w:cs="Times New Roman"/>
              </w:rPr>
              <w:t>taristu</w:t>
            </w:r>
            <w:proofErr w:type="spellEnd"/>
            <w:r w:rsidRPr="00E958CE">
              <w:rPr>
                <w:rFonts w:ascii="Times New Roman" w:hAnsi="Times New Roman" w:cs="Times New Roman"/>
              </w:rPr>
              <w:t xml:space="preserve"> arendamine ja hoid</w:t>
            </w:r>
          </w:p>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Põllumajandustootjad</w:t>
            </w:r>
          </w:p>
        </w:tc>
        <w:tc>
          <w:tcPr>
            <w:tcW w:w="3402" w:type="dxa"/>
            <w:tcBorders>
              <w:top w:val="single" w:sz="18" w:space="0" w:color="auto"/>
              <w:right w:val="single" w:sz="18" w:space="0" w:color="auto"/>
            </w:tcBorders>
            <w:shd w:val="clear" w:color="auto" w:fill="FEBCBC" w:themeFill="accent1" w:themeFillTint="33"/>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PM, PRIA, põllumajandustootjad ja PMA</w:t>
            </w:r>
          </w:p>
        </w:tc>
      </w:tr>
      <w:tr w:rsidR="00263C4D" w:rsidRPr="00E958CE" w:rsidTr="00F541B2">
        <w:trPr>
          <w:cantSplit/>
          <w:trHeight w:val="1058"/>
        </w:trPr>
        <w:tc>
          <w:tcPr>
            <w:tcW w:w="2694" w:type="dxa"/>
            <w:vMerge/>
            <w:tcBorders>
              <w:left w:val="single" w:sz="18" w:space="0" w:color="auto"/>
            </w:tcBorders>
            <w:shd w:val="clear" w:color="auto" w:fill="FEBCBC" w:themeFill="accent1" w:themeFillTint="33"/>
            <w:vAlign w:val="center"/>
          </w:tcPr>
          <w:p w:rsidR="00263C4D" w:rsidRPr="00E958CE" w:rsidRDefault="00263C4D" w:rsidP="00F541B2">
            <w:pPr>
              <w:spacing w:line="276" w:lineRule="auto"/>
              <w:rPr>
                <w:rFonts w:ascii="Times New Roman" w:hAnsi="Times New Roman" w:cs="Times New Roman"/>
                <w:b/>
                <w:bCs/>
              </w:rPr>
            </w:pPr>
          </w:p>
        </w:tc>
        <w:tc>
          <w:tcPr>
            <w:tcW w:w="4819" w:type="dxa"/>
            <w:shd w:val="clear" w:color="auto" w:fill="FEBCBC" w:themeFill="accent1" w:themeFillTint="33"/>
            <w:vAlign w:val="center"/>
          </w:tcPr>
          <w:p w:rsidR="00263C4D" w:rsidRPr="00E958CE" w:rsidRDefault="00263C4D" w:rsidP="00F541B2">
            <w:pPr>
              <w:spacing w:line="276" w:lineRule="auto"/>
              <w:rPr>
                <w:rFonts w:ascii="Times New Roman" w:hAnsi="Times New Roman" w:cs="Times New Roman"/>
                <w:bCs/>
              </w:rPr>
            </w:pPr>
            <w:r w:rsidRPr="00E958CE">
              <w:rPr>
                <w:rFonts w:ascii="Times New Roman" w:hAnsi="Times New Roman" w:cs="Times New Roman"/>
                <w:bCs/>
              </w:rPr>
              <w:t>2.2. Mulla- ja veerežiimi kaitse ning keskkonnasõbralike majandamisviiside rakendamise edendamine maastikulise mitmekesisuse ja tootjate keskkonnateadlikkuse tõstmise eesmärgil</w:t>
            </w:r>
          </w:p>
        </w:tc>
        <w:tc>
          <w:tcPr>
            <w:tcW w:w="4678" w:type="dxa"/>
            <w:shd w:val="clear" w:color="auto" w:fill="FEBCBC" w:themeFill="accent1" w:themeFillTint="33"/>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MAK - Keskkonnasõbraliku majandamise toetus</w:t>
            </w:r>
          </w:p>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MAK - Piirkondlik mullakaitse toetus</w:t>
            </w:r>
          </w:p>
          <w:p w:rsidR="00263C4D" w:rsidRDefault="00263C4D" w:rsidP="00F541B2">
            <w:pPr>
              <w:spacing w:line="276" w:lineRule="auto"/>
              <w:jc w:val="center"/>
              <w:rPr>
                <w:rFonts w:ascii="Times New Roman" w:hAnsi="Times New Roman" w:cs="Times New Roman"/>
              </w:rPr>
            </w:pPr>
            <w:r w:rsidRPr="00E958CE">
              <w:rPr>
                <w:rFonts w:ascii="Times New Roman" w:hAnsi="Times New Roman" w:cs="Times New Roman"/>
              </w:rPr>
              <w:t xml:space="preserve">MAK </w:t>
            </w:r>
            <w:r>
              <w:rPr>
                <w:rFonts w:ascii="Times New Roman" w:hAnsi="Times New Roman" w:cs="Times New Roman"/>
              </w:rPr>
              <w:t>–</w:t>
            </w:r>
            <w:r w:rsidRPr="00E958CE">
              <w:rPr>
                <w:rFonts w:ascii="Times New Roman" w:hAnsi="Times New Roman" w:cs="Times New Roman"/>
              </w:rPr>
              <w:t xml:space="preserve"> Mahepõllumajandus</w:t>
            </w:r>
            <w:r>
              <w:rPr>
                <w:rFonts w:ascii="Times New Roman" w:hAnsi="Times New Roman" w:cs="Times New Roman"/>
              </w:rPr>
              <w:t>e toetus</w:t>
            </w:r>
          </w:p>
          <w:p w:rsidR="00263C4D" w:rsidRPr="00E958CE" w:rsidRDefault="00263C4D" w:rsidP="00F541B2">
            <w:pPr>
              <w:spacing w:line="276" w:lineRule="auto"/>
              <w:jc w:val="center"/>
              <w:rPr>
                <w:rFonts w:ascii="Times New Roman" w:hAnsi="Times New Roman" w:cs="Times New Roman"/>
              </w:rPr>
            </w:pPr>
            <w:r w:rsidRPr="0005347E">
              <w:rPr>
                <w:rFonts w:ascii="Times New Roman" w:hAnsi="Times New Roman" w:cs="Times New Roman"/>
              </w:rPr>
              <w:t>Erainvesteeringud</w:t>
            </w:r>
          </w:p>
        </w:tc>
        <w:tc>
          <w:tcPr>
            <w:tcW w:w="3402" w:type="dxa"/>
            <w:tcBorders>
              <w:right w:val="single" w:sz="18" w:space="0" w:color="auto"/>
            </w:tcBorders>
            <w:shd w:val="clear" w:color="auto" w:fill="FEBCBC" w:themeFill="accent1" w:themeFillTint="33"/>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PM, PRIA, põllumajandustootjad ja PMA</w:t>
            </w:r>
          </w:p>
        </w:tc>
      </w:tr>
      <w:tr w:rsidR="00263C4D" w:rsidRPr="00E958CE" w:rsidTr="00F541B2">
        <w:trPr>
          <w:cantSplit/>
          <w:trHeight w:val="1058"/>
        </w:trPr>
        <w:tc>
          <w:tcPr>
            <w:tcW w:w="2694" w:type="dxa"/>
            <w:vMerge/>
            <w:tcBorders>
              <w:left w:val="single" w:sz="18" w:space="0" w:color="auto"/>
            </w:tcBorders>
            <w:shd w:val="clear" w:color="auto" w:fill="FEBCBC" w:themeFill="accent1" w:themeFillTint="33"/>
            <w:vAlign w:val="center"/>
          </w:tcPr>
          <w:p w:rsidR="00263C4D" w:rsidRPr="00E958CE" w:rsidRDefault="00263C4D" w:rsidP="00F541B2">
            <w:pPr>
              <w:spacing w:line="276" w:lineRule="auto"/>
              <w:rPr>
                <w:rFonts w:ascii="Times New Roman" w:hAnsi="Times New Roman" w:cs="Times New Roman"/>
                <w:b/>
                <w:bCs/>
              </w:rPr>
            </w:pPr>
          </w:p>
        </w:tc>
        <w:tc>
          <w:tcPr>
            <w:tcW w:w="4819" w:type="dxa"/>
            <w:shd w:val="clear" w:color="auto" w:fill="FEBCBC" w:themeFill="accent1" w:themeFillTint="33"/>
            <w:vAlign w:val="center"/>
          </w:tcPr>
          <w:p w:rsidR="00263C4D" w:rsidRPr="00E958CE" w:rsidRDefault="00263C4D" w:rsidP="00F541B2">
            <w:pPr>
              <w:spacing w:line="276" w:lineRule="auto"/>
              <w:rPr>
                <w:rFonts w:ascii="Times New Roman" w:hAnsi="Times New Roman" w:cs="Times New Roman"/>
                <w:bCs/>
              </w:rPr>
            </w:pPr>
            <w:r w:rsidRPr="00E958CE">
              <w:rPr>
                <w:rFonts w:ascii="Times New Roman" w:hAnsi="Times New Roman" w:cs="Times New Roman"/>
                <w:bCs/>
              </w:rPr>
              <w:t>2.3. Mullaviljakuse tõstmine, monitooring ja väetustarbekaartide koostamine</w:t>
            </w:r>
          </w:p>
        </w:tc>
        <w:tc>
          <w:tcPr>
            <w:tcW w:w="4678" w:type="dxa"/>
            <w:shd w:val="clear" w:color="auto" w:fill="FEBCBC" w:themeFill="accent1" w:themeFillTint="33"/>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Riigieelarve</w:t>
            </w:r>
          </w:p>
          <w:p w:rsidR="00263C4D" w:rsidRPr="000C76E5" w:rsidRDefault="00263C4D" w:rsidP="00F541B2">
            <w:pPr>
              <w:spacing w:line="276" w:lineRule="auto"/>
              <w:jc w:val="center"/>
              <w:rPr>
                <w:rFonts w:ascii="Times New Roman" w:hAnsi="Times New Roman" w:cs="Times New Roman"/>
              </w:rPr>
            </w:pPr>
            <w:r w:rsidRPr="000C76E5">
              <w:rPr>
                <w:rFonts w:ascii="Times New Roman" w:hAnsi="Times New Roman" w:cs="Times New Roman"/>
              </w:rPr>
              <w:t>MAK - Keskkonnasõbraliku majandamise toetus</w:t>
            </w:r>
          </w:p>
          <w:p w:rsidR="00263C4D" w:rsidRDefault="00263C4D" w:rsidP="00F541B2">
            <w:pPr>
              <w:spacing w:line="276" w:lineRule="auto"/>
              <w:jc w:val="center"/>
              <w:rPr>
                <w:rFonts w:ascii="Times New Roman" w:hAnsi="Times New Roman" w:cs="Times New Roman"/>
              </w:rPr>
            </w:pPr>
            <w:r w:rsidRPr="000C76E5">
              <w:rPr>
                <w:rFonts w:ascii="Times New Roman" w:hAnsi="Times New Roman" w:cs="Times New Roman"/>
              </w:rPr>
              <w:t>MAK – Mahepõllumajanduse toetus</w:t>
            </w:r>
            <w:r w:rsidRPr="000C76E5" w:rsidDel="000C76E5">
              <w:rPr>
                <w:rFonts w:ascii="Times New Roman" w:hAnsi="Times New Roman" w:cs="Times New Roman"/>
              </w:rPr>
              <w:t xml:space="preserve"> </w:t>
            </w:r>
          </w:p>
          <w:p w:rsidR="00263C4D" w:rsidRDefault="00263C4D" w:rsidP="00F541B2">
            <w:pPr>
              <w:spacing w:line="276" w:lineRule="auto"/>
              <w:jc w:val="center"/>
              <w:rPr>
                <w:rFonts w:ascii="Times New Roman" w:hAnsi="Times New Roman" w:cs="Times New Roman"/>
              </w:rPr>
            </w:pPr>
            <w:r w:rsidRPr="000C76E5">
              <w:rPr>
                <w:rFonts w:ascii="Times New Roman" w:hAnsi="Times New Roman" w:cs="Times New Roman"/>
              </w:rPr>
              <w:t>MAK - Piirkondlik mullakaitse toetus</w:t>
            </w:r>
          </w:p>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Põllumajandustootjad</w:t>
            </w:r>
          </w:p>
        </w:tc>
        <w:tc>
          <w:tcPr>
            <w:tcW w:w="3402" w:type="dxa"/>
            <w:tcBorders>
              <w:right w:val="single" w:sz="18" w:space="0" w:color="auto"/>
            </w:tcBorders>
            <w:shd w:val="clear" w:color="auto" w:fill="FEBCBC" w:themeFill="accent1" w:themeFillTint="33"/>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PM, PRIA, PMK, EMÜ</w:t>
            </w:r>
          </w:p>
        </w:tc>
      </w:tr>
      <w:tr w:rsidR="00263C4D" w:rsidRPr="00E958CE" w:rsidTr="00F541B2">
        <w:trPr>
          <w:cantSplit/>
        </w:trPr>
        <w:tc>
          <w:tcPr>
            <w:tcW w:w="2694" w:type="dxa"/>
            <w:vMerge w:val="restart"/>
            <w:tcBorders>
              <w:top w:val="single" w:sz="18" w:space="0" w:color="auto"/>
              <w:left w:val="single" w:sz="18" w:space="0" w:color="auto"/>
            </w:tcBorders>
            <w:vAlign w:val="center"/>
          </w:tcPr>
          <w:p w:rsidR="00263C4D" w:rsidRPr="00E958CE" w:rsidRDefault="00263C4D" w:rsidP="00F541B2">
            <w:pPr>
              <w:spacing w:line="276" w:lineRule="auto"/>
              <w:ind w:left="34"/>
              <w:rPr>
                <w:rFonts w:ascii="Times New Roman" w:hAnsi="Times New Roman" w:cs="Times New Roman"/>
                <w:b/>
                <w:bCs/>
              </w:rPr>
            </w:pPr>
            <w:r w:rsidRPr="00E958CE">
              <w:rPr>
                <w:rFonts w:ascii="Times New Roman" w:hAnsi="Times New Roman" w:cs="Times New Roman"/>
                <w:b/>
                <w:bCs/>
              </w:rPr>
              <w:t>3. Põllumajandustootmise keskkonnasõbralikumaks muutmine</w:t>
            </w:r>
          </w:p>
        </w:tc>
        <w:tc>
          <w:tcPr>
            <w:tcW w:w="4819" w:type="dxa"/>
            <w:tcBorders>
              <w:top w:val="single" w:sz="18" w:space="0" w:color="auto"/>
            </w:tcBorders>
            <w:vAlign w:val="center"/>
          </w:tcPr>
          <w:p w:rsidR="00263C4D" w:rsidRPr="00E958CE" w:rsidRDefault="00263C4D" w:rsidP="00F541B2">
            <w:pPr>
              <w:spacing w:line="276" w:lineRule="auto"/>
              <w:contextualSpacing/>
              <w:rPr>
                <w:rFonts w:ascii="Times New Roman" w:hAnsi="Times New Roman" w:cs="Times New Roman"/>
                <w:bCs/>
              </w:rPr>
            </w:pPr>
            <w:r w:rsidRPr="00E958CE">
              <w:rPr>
                <w:rFonts w:ascii="Times New Roman" w:hAnsi="Times New Roman" w:cs="Times New Roman"/>
                <w:bCs/>
              </w:rPr>
              <w:t>3.1. Keskkonnasäästliku põllumajandustootmise viljelemine</w:t>
            </w:r>
          </w:p>
        </w:tc>
        <w:tc>
          <w:tcPr>
            <w:tcW w:w="4678" w:type="dxa"/>
            <w:tcBorders>
              <w:top w:val="single" w:sz="18" w:space="0" w:color="auto"/>
            </w:tcBorders>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MAK - Keskkonnasõbraliku majandamise toetus</w:t>
            </w:r>
          </w:p>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 xml:space="preserve">MAK </w:t>
            </w:r>
            <w:r>
              <w:rPr>
                <w:rFonts w:ascii="Times New Roman" w:hAnsi="Times New Roman" w:cs="Times New Roman"/>
              </w:rPr>
              <w:t>–</w:t>
            </w:r>
            <w:r w:rsidRPr="00E958CE">
              <w:rPr>
                <w:rFonts w:ascii="Times New Roman" w:hAnsi="Times New Roman" w:cs="Times New Roman"/>
              </w:rPr>
              <w:t xml:space="preserve"> Mahepõllumajandus</w:t>
            </w:r>
            <w:r>
              <w:rPr>
                <w:rFonts w:ascii="Times New Roman" w:hAnsi="Times New Roman" w:cs="Times New Roman"/>
              </w:rPr>
              <w:t>e toetus</w:t>
            </w:r>
          </w:p>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Põllumajandustootjad</w:t>
            </w:r>
          </w:p>
        </w:tc>
        <w:tc>
          <w:tcPr>
            <w:tcW w:w="3402" w:type="dxa"/>
            <w:tcBorders>
              <w:top w:val="single" w:sz="18" w:space="0" w:color="auto"/>
              <w:right w:val="single" w:sz="18" w:space="0" w:color="auto"/>
            </w:tcBorders>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PM, PRIA, põllumajandustootjad</w:t>
            </w:r>
          </w:p>
        </w:tc>
      </w:tr>
      <w:tr w:rsidR="00263C4D" w:rsidRPr="00E958CE" w:rsidTr="00F541B2">
        <w:trPr>
          <w:cantSplit/>
          <w:trHeight w:val="733"/>
        </w:trPr>
        <w:tc>
          <w:tcPr>
            <w:tcW w:w="2694" w:type="dxa"/>
            <w:vMerge/>
            <w:tcBorders>
              <w:left w:val="single" w:sz="18" w:space="0" w:color="auto"/>
            </w:tcBorders>
            <w:vAlign w:val="center"/>
          </w:tcPr>
          <w:p w:rsidR="00263C4D" w:rsidRPr="00E958CE" w:rsidRDefault="00263C4D" w:rsidP="00F541B2">
            <w:pPr>
              <w:spacing w:line="276" w:lineRule="auto"/>
              <w:rPr>
                <w:rFonts w:ascii="Times New Roman" w:hAnsi="Times New Roman" w:cs="Times New Roman"/>
                <w:b/>
                <w:bCs/>
              </w:rPr>
            </w:pPr>
          </w:p>
        </w:tc>
        <w:tc>
          <w:tcPr>
            <w:tcW w:w="4819" w:type="dxa"/>
            <w:vAlign w:val="center"/>
          </w:tcPr>
          <w:p w:rsidR="00263C4D" w:rsidRPr="00E958CE" w:rsidRDefault="00263C4D" w:rsidP="00F541B2">
            <w:pPr>
              <w:spacing w:line="276" w:lineRule="auto"/>
              <w:rPr>
                <w:rFonts w:ascii="Times New Roman" w:hAnsi="Times New Roman" w:cs="Times New Roman"/>
                <w:bCs/>
              </w:rPr>
            </w:pPr>
            <w:r w:rsidRPr="00E958CE">
              <w:rPr>
                <w:rFonts w:ascii="Times New Roman" w:hAnsi="Times New Roman" w:cs="Times New Roman"/>
                <w:bCs/>
              </w:rPr>
              <w:t>3.2. Keskkonna- ja energiasäästlike põllumajandusehitiste rajamine, tehnoloogiate ja toodete väljatöötamine</w:t>
            </w:r>
          </w:p>
        </w:tc>
        <w:tc>
          <w:tcPr>
            <w:tcW w:w="4678" w:type="dxa"/>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Põllumajandustootjad ja töötlejad</w:t>
            </w:r>
          </w:p>
        </w:tc>
        <w:tc>
          <w:tcPr>
            <w:tcW w:w="3402" w:type="dxa"/>
            <w:tcBorders>
              <w:right w:val="single" w:sz="18" w:space="0" w:color="auto"/>
            </w:tcBorders>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Põllumajandustootjad ja töötlejad</w:t>
            </w:r>
          </w:p>
        </w:tc>
      </w:tr>
      <w:tr w:rsidR="00263C4D" w:rsidRPr="00E958CE" w:rsidTr="00F541B2">
        <w:trPr>
          <w:cantSplit/>
          <w:trHeight w:val="848"/>
        </w:trPr>
        <w:tc>
          <w:tcPr>
            <w:tcW w:w="2694" w:type="dxa"/>
            <w:tcBorders>
              <w:top w:val="single" w:sz="18" w:space="0" w:color="auto"/>
              <w:left w:val="single" w:sz="18" w:space="0" w:color="auto"/>
            </w:tcBorders>
            <w:shd w:val="clear" w:color="auto" w:fill="FEBCBC" w:themeFill="accent1" w:themeFillTint="33"/>
            <w:vAlign w:val="center"/>
          </w:tcPr>
          <w:p w:rsidR="00263C4D" w:rsidRPr="00E958CE" w:rsidRDefault="00263C4D" w:rsidP="00F541B2">
            <w:pPr>
              <w:spacing w:line="276" w:lineRule="auto"/>
              <w:ind w:left="34"/>
              <w:rPr>
                <w:rFonts w:ascii="Times New Roman" w:hAnsi="Times New Roman" w:cs="Times New Roman"/>
                <w:b/>
                <w:bCs/>
              </w:rPr>
            </w:pPr>
            <w:r w:rsidRPr="00E958CE">
              <w:rPr>
                <w:rFonts w:ascii="Times New Roman" w:hAnsi="Times New Roman" w:cs="Times New Roman"/>
                <w:b/>
                <w:bCs/>
              </w:rPr>
              <w:t>4. Turuseire ja –info läbipaistvuse tagamine</w:t>
            </w:r>
          </w:p>
        </w:tc>
        <w:tc>
          <w:tcPr>
            <w:tcW w:w="4819" w:type="dxa"/>
            <w:tcBorders>
              <w:top w:val="single" w:sz="18" w:space="0" w:color="auto"/>
            </w:tcBorders>
            <w:shd w:val="clear" w:color="auto" w:fill="FEBCBC" w:themeFill="accent1" w:themeFillTint="33"/>
            <w:vAlign w:val="center"/>
          </w:tcPr>
          <w:p w:rsidR="00263C4D" w:rsidRPr="00E958CE" w:rsidRDefault="00263C4D" w:rsidP="00F541B2">
            <w:pPr>
              <w:spacing w:line="276" w:lineRule="auto"/>
              <w:contextualSpacing/>
              <w:rPr>
                <w:rFonts w:ascii="Times New Roman" w:hAnsi="Times New Roman" w:cs="Times New Roman"/>
                <w:bCs/>
              </w:rPr>
            </w:pPr>
            <w:r w:rsidRPr="00E958CE">
              <w:rPr>
                <w:rFonts w:ascii="Times New Roman" w:hAnsi="Times New Roman" w:cs="Times New Roman"/>
                <w:bCs/>
              </w:rPr>
              <w:t>4.1. Turu- ja hinnainfo kogumine ja analüüsimine</w:t>
            </w:r>
          </w:p>
        </w:tc>
        <w:tc>
          <w:tcPr>
            <w:tcW w:w="4678" w:type="dxa"/>
            <w:tcBorders>
              <w:top w:val="single" w:sz="18" w:space="0" w:color="auto"/>
            </w:tcBorders>
            <w:shd w:val="clear" w:color="auto" w:fill="FEBCBC" w:themeFill="accent1" w:themeFillTint="33"/>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Riigieelarve</w:t>
            </w:r>
          </w:p>
        </w:tc>
        <w:tc>
          <w:tcPr>
            <w:tcW w:w="3402" w:type="dxa"/>
            <w:tcBorders>
              <w:top w:val="single" w:sz="18" w:space="0" w:color="auto"/>
              <w:right w:val="single" w:sz="18" w:space="0" w:color="auto"/>
            </w:tcBorders>
            <w:shd w:val="clear" w:color="auto" w:fill="FEBCBC" w:themeFill="accent1" w:themeFillTint="33"/>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PM, avalikkus</w:t>
            </w:r>
          </w:p>
        </w:tc>
      </w:tr>
      <w:tr w:rsidR="00263C4D" w:rsidRPr="00E958CE" w:rsidTr="00F541B2">
        <w:trPr>
          <w:cantSplit/>
          <w:trHeight w:val="1190"/>
        </w:trPr>
        <w:tc>
          <w:tcPr>
            <w:tcW w:w="2694" w:type="dxa"/>
            <w:tcBorders>
              <w:top w:val="single" w:sz="18" w:space="0" w:color="auto"/>
              <w:left w:val="single" w:sz="18" w:space="0" w:color="auto"/>
              <w:bottom w:val="single" w:sz="18" w:space="0" w:color="auto"/>
            </w:tcBorders>
            <w:vAlign w:val="center"/>
          </w:tcPr>
          <w:p w:rsidR="00263C4D" w:rsidRPr="00E958CE" w:rsidRDefault="00263C4D" w:rsidP="00F541B2">
            <w:pPr>
              <w:spacing w:line="276" w:lineRule="auto"/>
              <w:ind w:left="34"/>
              <w:rPr>
                <w:rFonts w:ascii="Times New Roman" w:hAnsi="Times New Roman" w:cs="Times New Roman"/>
                <w:b/>
                <w:bCs/>
              </w:rPr>
            </w:pPr>
            <w:r w:rsidRPr="00E958CE">
              <w:rPr>
                <w:rFonts w:ascii="Times New Roman" w:hAnsi="Times New Roman" w:cs="Times New Roman"/>
                <w:b/>
                <w:bCs/>
              </w:rPr>
              <w:t>5. EL turukorraldus - meetmete jätkuv rakendamine kooskõlas ÜPPga</w:t>
            </w:r>
          </w:p>
        </w:tc>
        <w:tc>
          <w:tcPr>
            <w:tcW w:w="4819" w:type="dxa"/>
            <w:tcBorders>
              <w:top w:val="single" w:sz="18" w:space="0" w:color="auto"/>
              <w:bottom w:val="single" w:sz="18" w:space="0" w:color="auto"/>
            </w:tcBorders>
            <w:vAlign w:val="center"/>
          </w:tcPr>
          <w:p w:rsidR="00263C4D" w:rsidRPr="00E958CE" w:rsidRDefault="00263C4D" w:rsidP="00F541B2">
            <w:pPr>
              <w:spacing w:line="276" w:lineRule="auto"/>
              <w:contextualSpacing/>
              <w:rPr>
                <w:rFonts w:ascii="Times New Roman" w:hAnsi="Times New Roman" w:cs="Times New Roman"/>
                <w:bCs/>
              </w:rPr>
            </w:pPr>
            <w:r w:rsidRPr="00E958CE">
              <w:rPr>
                <w:rFonts w:ascii="Times New Roman" w:hAnsi="Times New Roman" w:cs="Times New Roman"/>
                <w:bCs/>
              </w:rPr>
              <w:t xml:space="preserve">5.1. </w:t>
            </w:r>
            <w:r w:rsidRPr="00E958CE">
              <w:rPr>
                <w:rFonts w:ascii="Times New Roman" w:hAnsi="Times New Roman" w:cs="Times New Roman"/>
              </w:rPr>
              <w:t>Euroopa Liidu ühine põllumajanduspoliitika 2014–2020 rakendamine</w:t>
            </w:r>
          </w:p>
          <w:p w:rsidR="00263C4D" w:rsidRPr="00E958CE" w:rsidRDefault="00263C4D" w:rsidP="00F541B2">
            <w:pPr>
              <w:spacing w:line="276" w:lineRule="auto"/>
              <w:rPr>
                <w:rFonts w:ascii="Times New Roman" w:hAnsi="Times New Roman" w:cs="Times New Roman"/>
                <w:bCs/>
              </w:rPr>
            </w:pPr>
            <w:r w:rsidRPr="00E958CE">
              <w:rPr>
                <w:rFonts w:ascii="Times New Roman" w:hAnsi="Times New Roman" w:cs="Times New Roman"/>
                <w:bCs/>
              </w:rPr>
              <w:t xml:space="preserve"> </w:t>
            </w:r>
          </w:p>
        </w:tc>
        <w:tc>
          <w:tcPr>
            <w:tcW w:w="4678" w:type="dxa"/>
            <w:tcBorders>
              <w:top w:val="single" w:sz="18" w:space="0" w:color="auto"/>
              <w:bottom w:val="single" w:sz="18" w:space="0" w:color="auto"/>
            </w:tcBorders>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EAGF</w:t>
            </w:r>
          </w:p>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Riigieelarve</w:t>
            </w:r>
          </w:p>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Põllumajandustootjad ja töötlejad</w:t>
            </w:r>
          </w:p>
        </w:tc>
        <w:tc>
          <w:tcPr>
            <w:tcW w:w="3402" w:type="dxa"/>
            <w:tcBorders>
              <w:top w:val="single" w:sz="18" w:space="0" w:color="auto"/>
              <w:bottom w:val="single" w:sz="18" w:space="0" w:color="auto"/>
              <w:right w:val="single" w:sz="18" w:space="0" w:color="auto"/>
            </w:tcBorders>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PM, PRIA, Põllumajandustootjad, töötlejad ja ühistud</w:t>
            </w:r>
          </w:p>
        </w:tc>
      </w:tr>
      <w:tr w:rsidR="00263C4D" w:rsidRPr="00E958CE" w:rsidTr="00F541B2">
        <w:trPr>
          <w:cantSplit/>
          <w:trHeight w:val="1457"/>
        </w:trPr>
        <w:tc>
          <w:tcPr>
            <w:tcW w:w="2694" w:type="dxa"/>
            <w:tcBorders>
              <w:top w:val="single" w:sz="18" w:space="0" w:color="auto"/>
              <w:left w:val="single" w:sz="18" w:space="0" w:color="auto"/>
            </w:tcBorders>
            <w:shd w:val="clear" w:color="auto" w:fill="FEBCBC" w:themeFill="accent1" w:themeFillTint="33"/>
            <w:vAlign w:val="center"/>
          </w:tcPr>
          <w:p w:rsidR="00263C4D" w:rsidRPr="00E958CE" w:rsidRDefault="00263C4D" w:rsidP="00F541B2">
            <w:pPr>
              <w:spacing w:line="276" w:lineRule="auto"/>
              <w:ind w:left="34"/>
              <w:rPr>
                <w:rFonts w:ascii="Times New Roman" w:hAnsi="Times New Roman" w:cs="Times New Roman"/>
                <w:b/>
                <w:bCs/>
              </w:rPr>
            </w:pPr>
            <w:r w:rsidRPr="00E958CE">
              <w:rPr>
                <w:rFonts w:ascii="Times New Roman" w:hAnsi="Times New Roman" w:cs="Times New Roman"/>
                <w:b/>
                <w:bCs/>
              </w:rPr>
              <w:lastRenderedPageBreak/>
              <w:t>6. Taimekasvatusega seotud erialadel õppijate praktikavõimaluste toetamine edukate põllumajandustootjate juures</w:t>
            </w:r>
          </w:p>
        </w:tc>
        <w:tc>
          <w:tcPr>
            <w:tcW w:w="4819" w:type="dxa"/>
            <w:tcBorders>
              <w:top w:val="single" w:sz="18" w:space="0" w:color="auto"/>
            </w:tcBorders>
            <w:shd w:val="clear" w:color="auto" w:fill="FEBCBC" w:themeFill="accent1" w:themeFillTint="33"/>
            <w:vAlign w:val="center"/>
          </w:tcPr>
          <w:p w:rsidR="00263C4D" w:rsidRPr="00E958CE" w:rsidRDefault="00263C4D" w:rsidP="00F541B2">
            <w:pPr>
              <w:spacing w:line="276" w:lineRule="auto"/>
              <w:contextualSpacing/>
              <w:rPr>
                <w:rFonts w:ascii="Times New Roman" w:hAnsi="Times New Roman" w:cs="Times New Roman"/>
                <w:bCs/>
              </w:rPr>
            </w:pPr>
            <w:r w:rsidRPr="00E958CE">
              <w:rPr>
                <w:rFonts w:ascii="Times New Roman" w:hAnsi="Times New Roman" w:cs="Times New Roman"/>
                <w:bCs/>
              </w:rPr>
              <w:t>6.1.</w:t>
            </w:r>
            <w:r w:rsidRPr="00E958CE">
              <w:rPr>
                <w:rFonts w:ascii="Times New Roman" w:hAnsi="Times New Roman" w:cs="Times New Roman"/>
              </w:rPr>
              <w:t xml:space="preserve"> Põllumajandusettevõttes toimuva õpilase/üliõpilase praktika juhendamise ja korraldamise kulude osaline  hüvitamine.</w:t>
            </w:r>
          </w:p>
        </w:tc>
        <w:tc>
          <w:tcPr>
            <w:tcW w:w="4678" w:type="dxa"/>
            <w:tcBorders>
              <w:top w:val="single" w:sz="18" w:space="0" w:color="auto"/>
            </w:tcBorders>
            <w:shd w:val="clear" w:color="auto" w:fill="FEBCBC" w:themeFill="accent1" w:themeFillTint="33"/>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Praktikatoetus</w:t>
            </w:r>
          </w:p>
        </w:tc>
        <w:tc>
          <w:tcPr>
            <w:tcW w:w="3402" w:type="dxa"/>
            <w:tcBorders>
              <w:top w:val="single" w:sz="18" w:space="0" w:color="auto"/>
              <w:right w:val="single" w:sz="18" w:space="0" w:color="auto"/>
            </w:tcBorders>
            <w:shd w:val="clear" w:color="auto" w:fill="FEBCBC" w:themeFill="accent1" w:themeFillTint="33"/>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PM, PRIA, õppijad, põllumajandustootjad ja töötlejad</w:t>
            </w:r>
          </w:p>
        </w:tc>
      </w:tr>
      <w:tr w:rsidR="00263C4D" w:rsidRPr="00E958CE" w:rsidTr="00F541B2">
        <w:trPr>
          <w:cantSplit/>
        </w:trPr>
        <w:tc>
          <w:tcPr>
            <w:tcW w:w="2694" w:type="dxa"/>
            <w:vMerge w:val="restart"/>
            <w:tcBorders>
              <w:top w:val="single" w:sz="18" w:space="0" w:color="auto"/>
              <w:left w:val="single" w:sz="18" w:space="0" w:color="auto"/>
            </w:tcBorders>
            <w:vAlign w:val="center"/>
          </w:tcPr>
          <w:p w:rsidR="00263C4D" w:rsidRPr="00E958CE" w:rsidRDefault="00263C4D" w:rsidP="00F541B2">
            <w:pPr>
              <w:spacing w:line="276" w:lineRule="auto"/>
              <w:ind w:left="34"/>
              <w:rPr>
                <w:rFonts w:ascii="Times New Roman" w:hAnsi="Times New Roman" w:cs="Times New Roman"/>
                <w:b/>
                <w:bCs/>
              </w:rPr>
            </w:pPr>
            <w:r w:rsidRPr="00E958CE">
              <w:rPr>
                <w:rFonts w:ascii="Times New Roman" w:hAnsi="Times New Roman" w:cs="Times New Roman"/>
                <w:b/>
                <w:bCs/>
              </w:rPr>
              <w:t>7. Põllumajanduse ja põllumajanduserialade väärtustamine</w:t>
            </w:r>
          </w:p>
        </w:tc>
        <w:tc>
          <w:tcPr>
            <w:tcW w:w="4819" w:type="dxa"/>
            <w:tcBorders>
              <w:top w:val="single" w:sz="18" w:space="0" w:color="auto"/>
            </w:tcBorders>
            <w:vAlign w:val="center"/>
          </w:tcPr>
          <w:p w:rsidR="00263C4D" w:rsidRPr="00E958CE" w:rsidRDefault="00263C4D" w:rsidP="00F541B2">
            <w:pPr>
              <w:spacing w:line="276" w:lineRule="auto"/>
              <w:contextualSpacing/>
              <w:rPr>
                <w:rFonts w:ascii="Times New Roman" w:hAnsi="Times New Roman" w:cs="Times New Roman"/>
                <w:bCs/>
              </w:rPr>
            </w:pPr>
            <w:r w:rsidRPr="00E958CE">
              <w:rPr>
                <w:rFonts w:ascii="Times New Roman" w:hAnsi="Times New Roman" w:cs="Times New Roman"/>
                <w:bCs/>
              </w:rPr>
              <w:t>7.1. Põllumajandustegevuse alustamise toetamine</w:t>
            </w:r>
          </w:p>
        </w:tc>
        <w:tc>
          <w:tcPr>
            <w:tcW w:w="4678" w:type="dxa"/>
            <w:tcBorders>
              <w:top w:val="single" w:sz="18" w:space="0" w:color="auto"/>
            </w:tcBorders>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MAK - Noorte põllumajandustootjate tegevuse alustamine</w:t>
            </w:r>
          </w:p>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Põllumajandustootjad</w:t>
            </w:r>
          </w:p>
        </w:tc>
        <w:tc>
          <w:tcPr>
            <w:tcW w:w="3402" w:type="dxa"/>
            <w:tcBorders>
              <w:top w:val="single" w:sz="18" w:space="0" w:color="auto"/>
              <w:right w:val="single" w:sz="18" w:space="0" w:color="auto"/>
            </w:tcBorders>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PM, PRIA, põllumajandustootjad</w:t>
            </w:r>
          </w:p>
        </w:tc>
      </w:tr>
      <w:tr w:rsidR="00263C4D" w:rsidRPr="00E958CE" w:rsidTr="00F541B2">
        <w:trPr>
          <w:cantSplit/>
        </w:trPr>
        <w:tc>
          <w:tcPr>
            <w:tcW w:w="2694" w:type="dxa"/>
            <w:vMerge/>
            <w:tcBorders>
              <w:left w:val="single" w:sz="18" w:space="0" w:color="auto"/>
            </w:tcBorders>
            <w:vAlign w:val="center"/>
          </w:tcPr>
          <w:p w:rsidR="00263C4D" w:rsidRPr="00E958CE" w:rsidRDefault="00263C4D" w:rsidP="00F541B2">
            <w:pPr>
              <w:spacing w:line="276" w:lineRule="auto"/>
              <w:rPr>
                <w:rFonts w:ascii="Times New Roman" w:hAnsi="Times New Roman" w:cs="Times New Roman"/>
                <w:b/>
                <w:bCs/>
              </w:rPr>
            </w:pPr>
          </w:p>
        </w:tc>
        <w:tc>
          <w:tcPr>
            <w:tcW w:w="4819" w:type="dxa"/>
            <w:tcBorders>
              <w:bottom w:val="single" w:sz="8" w:space="0" w:color="auto"/>
            </w:tcBorders>
            <w:vAlign w:val="center"/>
          </w:tcPr>
          <w:p w:rsidR="00263C4D" w:rsidRPr="00E958CE" w:rsidRDefault="00263C4D" w:rsidP="00F541B2">
            <w:pPr>
              <w:spacing w:line="276" w:lineRule="auto"/>
              <w:rPr>
                <w:rFonts w:ascii="Times New Roman" w:hAnsi="Times New Roman" w:cs="Times New Roman"/>
                <w:bCs/>
              </w:rPr>
            </w:pPr>
            <w:r w:rsidRPr="00E958CE">
              <w:rPr>
                <w:rFonts w:ascii="Times New Roman" w:hAnsi="Times New Roman" w:cs="Times New Roman"/>
                <w:bCs/>
              </w:rPr>
              <w:t>7.2. Põllumajanduserialade ja –hariduse tagamine</w:t>
            </w:r>
          </w:p>
        </w:tc>
        <w:tc>
          <w:tcPr>
            <w:tcW w:w="4678" w:type="dxa"/>
            <w:tcBorders>
              <w:bottom w:val="single" w:sz="8" w:space="0" w:color="auto"/>
            </w:tcBorders>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Riigieelarve</w:t>
            </w:r>
          </w:p>
        </w:tc>
        <w:tc>
          <w:tcPr>
            <w:tcW w:w="3402" w:type="dxa"/>
            <w:tcBorders>
              <w:bottom w:val="single" w:sz="8" w:space="0" w:color="auto"/>
              <w:right w:val="single" w:sz="18" w:space="0" w:color="auto"/>
            </w:tcBorders>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Õppeasutused ja HTM</w:t>
            </w:r>
          </w:p>
        </w:tc>
      </w:tr>
      <w:tr w:rsidR="00263C4D" w:rsidRPr="00E958CE" w:rsidTr="00F541B2">
        <w:trPr>
          <w:cantSplit/>
        </w:trPr>
        <w:tc>
          <w:tcPr>
            <w:tcW w:w="2694" w:type="dxa"/>
            <w:vMerge/>
            <w:tcBorders>
              <w:left w:val="single" w:sz="18" w:space="0" w:color="auto"/>
              <w:right w:val="single" w:sz="8" w:space="0" w:color="auto"/>
            </w:tcBorders>
            <w:vAlign w:val="center"/>
          </w:tcPr>
          <w:p w:rsidR="00263C4D" w:rsidRPr="00E958CE" w:rsidRDefault="00263C4D" w:rsidP="00F541B2">
            <w:pPr>
              <w:spacing w:line="276" w:lineRule="auto"/>
              <w:rPr>
                <w:rFonts w:ascii="Times New Roman" w:hAnsi="Times New Roman" w:cs="Times New Roman"/>
                <w:b/>
                <w:bCs/>
              </w:rPr>
            </w:pPr>
          </w:p>
        </w:tc>
        <w:tc>
          <w:tcPr>
            <w:tcW w:w="4819" w:type="dxa"/>
            <w:tcBorders>
              <w:top w:val="single" w:sz="8" w:space="0" w:color="auto"/>
              <w:left w:val="single" w:sz="8" w:space="0" w:color="auto"/>
              <w:bottom w:val="single" w:sz="8" w:space="0" w:color="auto"/>
            </w:tcBorders>
            <w:vAlign w:val="center"/>
          </w:tcPr>
          <w:p w:rsidR="00263C4D" w:rsidRPr="00E958CE" w:rsidRDefault="00263C4D" w:rsidP="00F541B2">
            <w:pPr>
              <w:spacing w:line="276" w:lineRule="auto"/>
              <w:contextualSpacing/>
              <w:rPr>
                <w:rFonts w:ascii="Times New Roman" w:hAnsi="Times New Roman" w:cs="Times New Roman"/>
                <w:bCs/>
              </w:rPr>
            </w:pPr>
            <w:r w:rsidRPr="00E958CE">
              <w:rPr>
                <w:rFonts w:ascii="Times New Roman" w:hAnsi="Times New Roman" w:cs="Times New Roman"/>
                <w:bCs/>
              </w:rPr>
              <w:t xml:space="preserve">7.3. Õppetoetuse maksmine </w:t>
            </w:r>
            <w:r w:rsidRPr="00E958CE">
              <w:rPr>
                <w:rFonts w:ascii="Times New Roman" w:hAnsi="Times New Roman" w:cs="Times New Roman"/>
              </w:rPr>
              <w:t>põllumajandus- ja maamajanduse erialade õpilastele/üliõpilastele</w:t>
            </w:r>
          </w:p>
        </w:tc>
        <w:tc>
          <w:tcPr>
            <w:tcW w:w="4678" w:type="dxa"/>
            <w:tcBorders>
              <w:top w:val="single" w:sz="8" w:space="0" w:color="auto"/>
              <w:bottom w:val="single" w:sz="8" w:space="0" w:color="auto"/>
            </w:tcBorders>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Riigieelarve</w:t>
            </w:r>
          </w:p>
        </w:tc>
        <w:tc>
          <w:tcPr>
            <w:tcW w:w="3402" w:type="dxa"/>
            <w:tcBorders>
              <w:top w:val="single" w:sz="8" w:space="0" w:color="auto"/>
              <w:bottom w:val="single" w:sz="8" w:space="0" w:color="auto"/>
              <w:right w:val="single" w:sz="18" w:space="0" w:color="auto"/>
            </w:tcBorders>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PM, MES</w:t>
            </w:r>
          </w:p>
        </w:tc>
      </w:tr>
      <w:tr w:rsidR="00263C4D" w:rsidRPr="00E958CE" w:rsidTr="00F541B2">
        <w:trPr>
          <w:cantSplit/>
        </w:trPr>
        <w:tc>
          <w:tcPr>
            <w:tcW w:w="2694" w:type="dxa"/>
            <w:vMerge/>
            <w:tcBorders>
              <w:left w:val="single" w:sz="18" w:space="0" w:color="auto"/>
              <w:bottom w:val="single" w:sz="18" w:space="0" w:color="auto"/>
            </w:tcBorders>
            <w:vAlign w:val="center"/>
          </w:tcPr>
          <w:p w:rsidR="00263C4D" w:rsidRPr="00E958CE" w:rsidRDefault="00263C4D" w:rsidP="00F541B2">
            <w:pPr>
              <w:spacing w:line="276" w:lineRule="auto"/>
              <w:rPr>
                <w:rFonts w:ascii="Times New Roman" w:hAnsi="Times New Roman" w:cs="Times New Roman"/>
                <w:b/>
                <w:bCs/>
              </w:rPr>
            </w:pPr>
          </w:p>
        </w:tc>
        <w:tc>
          <w:tcPr>
            <w:tcW w:w="4819" w:type="dxa"/>
            <w:tcBorders>
              <w:top w:val="single" w:sz="8" w:space="0" w:color="auto"/>
              <w:bottom w:val="single" w:sz="18" w:space="0" w:color="auto"/>
            </w:tcBorders>
            <w:vAlign w:val="center"/>
          </w:tcPr>
          <w:p w:rsidR="00263C4D" w:rsidRPr="00E958CE" w:rsidRDefault="00263C4D" w:rsidP="00F541B2">
            <w:pPr>
              <w:spacing w:line="276" w:lineRule="auto"/>
              <w:contextualSpacing/>
              <w:rPr>
                <w:rFonts w:ascii="Times New Roman" w:hAnsi="Times New Roman" w:cs="Times New Roman"/>
                <w:bCs/>
              </w:rPr>
            </w:pPr>
            <w:r w:rsidRPr="00E958CE">
              <w:rPr>
                <w:rFonts w:ascii="Times New Roman" w:hAnsi="Times New Roman" w:cs="Times New Roman"/>
                <w:bCs/>
              </w:rPr>
              <w:t>7.4. Põllumajandustootjate, –töötajate ja töötlejatekutseoskuste arendamine (kutsevõistlused, kutse andmine)</w:t>
            </w:r>
          </w:p>
        </w:tc>
        <w:tc>
          <w:tcPr>
            <w:tcW w:w="4678" w:type="dxa"/>
            <w:tcBorders>
              <w:top w:val="single" w:sz="8" w:space="0" w:color="auto"/>
              <w:bottom w:val="single" w:sz="18" w:space="0" w:color="auto"/>
            </w:tcBorders>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Riigieelarve</w:t>
            </w:r>
          </w:p>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 xml:space="preserve">Põllumajandustootjad ja töötlejad </w:t>
            </w:r>
          </w:p>
        </w:tc>
        <w:tc>
          <w:tcPr>
            <w:tcW w:w="3402" w:type="dxa"/>
            <w:tcBorders>
              <w:top w:val="single" w:sz="8" w:space="0" w:color="auto"/>
              <w:bottom w:val="single" w:sz="18" w:space="0" w:color="auto"/>
              <w:right w:val="single" w:sz="18" w:space="0" w:color="auto"/>
            </w:tcBorders>
            <w:vAlign w:val="center"/>
          </w:tcPr>
          <w:p w:rsidR="00263C4D" w:rsidRPr="00E958CE" w:rsidRDefault="00263C4D" w:rsidP="00F541B2">
            <w:pPr>
              <w:spacing w:line="276" w:lineRule="auto"/>
              <w:jc w:val="center"/>
              <w:rPr>
                <w:rFonts w:ascii="Times New Roman" w:hAnsi="Times New Roman" w:cs="Times New Roman"/>
              </w:rPr>
            </w:pPr>
            <w:r w:rsidRPr="00E958CE">
              <w:rPr>
                <w:rFonts w:ascii="Times New Roman" w:hAnsi="Times New Roman" w:cs="Times New Roman"/>
              </w:rPr>
              <w:t>Õppeasutused ja EPTK</w:t>
            </w:r>
          </w:p>
        </w:tc>
      </w:tr>
    </w:tbl>
    <w:p w:rsidR="00263C4D" w:rsidRDefault="00263C4D" w:rsidP="00263C4D">
      <w:pPr>
        <w:spacing w:line="276" w:lineRule="auto"/>
        <w:jc w:val="both"/>
      </w:pPr>
    </w:p>
    <w:p w:rsidR="00263C4D" w:rsidRDefault="00263C4D" w:rsidP="00263C4D">
      <w:pPr>
        <w:spacing w:line="276" w:lineRule="auto"/>
        <w:jc w:val="both"/>
      </w:pPr>
    </w:p>
    <w:p w:rsidR="00263C4D" w:rsidRDefault="00263C4D" w:rsidP="00263C4D">
      <w:pPr>
        <w:spacing w:line="276" w:lineRule="auto"/>
        <w:jc w:val="both"/>
      </w:pPr>
    </w:p>
    <w:p w:rsidR="00763884" w:rsidRDefault="00763884" w:rsidP="00263C4D">
      <w:pPr>
        <w:spacing w:line="276" w:lineRule="auto"/>
        <w:jc w:val="both"/>
      </w:pPr>
    </w:p>
    <w:p w:rsidR="00763884" w:rsidRDefault="00763884" w:rsidP="00263C4D">
      <w:pPr>
        <w:spacing w:line="276" w:lineRule="auto"/>
        <w:jc w:val="both"/>
      </w:pPr>
    </w:p>
    <w:p w:rsidR="00763884" w:rsidRDefault="00763884" w:rsidP="00263C4D">
      <w:pPr>
        <w:spacing w:line="276" w:lineRule="auto"/>
        <w:jc w:val="both"/>
      </w:pPr>
    </w:p>
    <w:p w:rsidR="00763884" w:rsidRDefault="00763884" w:rsidP="00263C4D">
      <w:pPr>
        <w:spacing w:line="276" w:lineRule="auto"/>
        <w:jc w:val="both"/>
      </w:pPr>
    </w:p>
    <w:p w:rsidR="00263C4D" w:rsidRPr="00DF65BC" w:rsidRDefault="00263C4D" w:rsidP="00263C4D">
      <w:pPr>
        <w:spacing w:line="276" w:lineRule="auto"/>
        <w:jc w:val="both"/>
        <w:rPr>
          <w:rFonts w:ascii="Times New Roman" w:hAnsi="Times New Roman" w:cs="Times New Roman"/>
          <w:sz w:val="24"/>
          <w:szCs w:val="24"/>
        </w:rPr>
      </w:pPr>
      <w:r w:rsidRPr="00DF65BC">
        <w:rPr>
          <w:rFonts w:ascii="Times New Roman" w:hAnsi="Times New Roman" w:cs="Times New Roman"/>
          <w:sz w:val="24"/>
          <w:szCs w:val="24"/>
        </w:rPr>
        <w:t xml:space="preserve">Ants Noot </w:t>
      </w:r>
    </w:p>
    <w:p w:rsidR="00263C4D" w:rsidRPr="00DF65BC" w:rsidRDefault="00263C4D" w:rsidP="00263C4D">
      <w:pPr>
        <w:spacing w:line="276" w:lineRule="auto"/>
        <w:jc w:val="both"/>
        <w:rPr>
          <w:rFonts w:ascii="Times New Roman" w:hAnsi="Times New Roman" w:cs="Times New Roman"/>
          <w:sz w:val="24"/>
          <w:szCs w:val="24"/>
        </w:rPr>
      </w:pPr>
      <w:r w:rsidRPr="00DF65BC">
        <w:rPr>
          <w:rFonts w:ascii="Times New Roman" w:hAnsi="Times New Roman" w:cs="Times New Roman"/>
          <w:sz w:val="24"/>
          <w:szCs w:val="24"/>
        </w:rPr>
        <w:t>Kantsler</w:t>
      </w:r>
    </w:p>
    <w:p w:rsidR="00263C4D" w:rsidRPr="00475D45" w:rsidRDefault="00263C4D" w:rsidP="00D178C2"/>
    <w:sectPr w:rsidR="00263C4D" w:rsidRPr="00475D45" w:rsidSect="00502C28">
      <w:pgSz w:w="16838" w:h="11906" w:orient="landscape"/>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0FD9" w:rsidRDefault="00C80FD9" w:rsidP="0092187C">
      <w:r>
        <w:separator/>
      </w:r>
    </w:p>
    <w:p w:rsidR="00C80FD9" w:rsidRDefault="00C80FD9"/>
  </w:endnote>
  <w:endnote w:type="continuationSeparator" w:id="0">
    <w:p w:rsidR="00C80FD9" w:rsidRDefault="00C80FD9" w:rsidP="0092187C">
      <w:r>
        <w:continuationSeparator/>
      </w:r>
    </w:p>
    <w:p w:rsidR="00C80FD9" w:rsidRDefault="00C80FD9"/>
  </w:endnote>
  <w:endnote w:type="continuationNotice" w:id="1">
    <w:p w:rsidR="00C80FD9" w:rsidRDefault="00C80F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Times New Roman"/>
    <w:panose1 w:val="020B0503020102020204"/>
    <w:charset w:val="BA"/>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BA"/>
    <w:family w:val="swiss"/>
    <w:pitch w:val="variable"/>
    <w:sig w:usb0="E00002FF" w:usb1="4000ACFF" w:usb2="00000001" w:usb3="00000000" w:csb0="0000019F" w:csb1="00000000"/>
  </w:font>
  <w:font w:name="Bodoni MT Condensed">
    <w:altName w:val="Times New Roman"/>
    <w:panose1 w:val="02070606080606020203"/>
    <w:charset w:val="00"/>
    <w:family w:val="roman"/>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BA"/>
    <w:family w:val="swiss"/>
    <w:pitch w:val="variable"/>
    <w:sig w:usb0="E0002AFF" w:usb1="C0007843"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yriadPro-Cond">
    <w:altName w:val="Arial"/>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0E1" w:rsidRDefault="004E60E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inorEastAsia" w:hAnsiTheme="minorHAnsi" w:cstheme="minorBidi"/>
        <w:bCs w:val="0"/>
        <w:kern w:val="0"/>
        <w:lang w:eastAsia="et-EE" w:bidi="ar-SA"/>
      </w:rPr>
      <w:id w:val="-1758436841"/>
      <w:docPartObj>
        <w:docPartGallery w:val="Page Numbers (Bottom of Page)"/>
        <w:docPartUnique/>
      </w:docPartObj>
    </w:sdtPr>
    <w:sdtEndPr/>
    <w:sdtContent>
      <w:p w:rsidR="00A514C0" w:rsidRPr="000B43F7" w:rsidRDefault="00A514C0" w:rsidP="00937973">
        <w:pPr>
          <w:pStyle w:val="AK"/>
        </w:pPr>
        <w:r w:rsidRPr="000B43F7">
          <w:t>Eesti teraviljasektori arengukava aastateks 2014–2020</w:t>
        </w:r>
        <w:r>
          <w:t xml:space="preserve"> </w:t>
        </w:r>
      </w:p>
      <w:p w:rsidR="00A514C0" w:rsidRDefault="00C80FD9">
        <w:pPr>
          <w:pStyle w:val="Footer"/>
          <w:jc w:val="right"/>
        </w:pPr>
      </w:p>
    </w:sdtContent>
  </w:sdt>
  <w:p w:rsidR="00A514C0" w:rsidRDefault="00A514C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4C0" w:rsidRDefault="00A514C0">
    <w:pPr>
      <w:pStyle w:val="Footer"/>
      <w:jc w:val="right"/>
    </w:pPr>
  </w:p>
  <w:p w:rsidR="00A514C0" w:rsidRDefault="00A514C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inorEastAsia" w:hAnsiTheme="minorHAnsi" w:cstheme="minorBidi"/>
        <w:bCs w:val="0"/>
        <w:kern w:val="0"/>
        <w:lang w:eastAsia="et-EE" w:bidi="ar-SA"/>
      </w:rPr>
      <w:id w:val="1761955889"/>
      <w:docPartObj>
        <w:docPartGallery w:val="Page Numbers (Bottom of Page)"/>
        <w:docPartUnique/>
      </w:docPartObj>
    </w:sdtPr>
    <w:sdtEndPr/>
    <w:sdtContent>
      <w:p w:rsidR="00A514C0" w:rsidRPr="000B43F7" w:rsidRDefault="00A514C0" w:rsidP="00937973">
        <w:pPr>
          <w:pStyle w:val="AK"/>
        </w:pPr>
        <w:r w:rsidRPr="000B43F7">
          <w:t>Eesti teraviljasektori arengukava aastateks 2014–2020</w:t>
        </w:r>
        <w:r>
          <w:t xml:space="preserve"> rakendusplaan</w:t>
        </w:r>
      </w:p>
      <w:p w:rsidR="00A514C0" w:rsidRDefault="00586824" w:rsidP="00586824">
        <w:pPr>
          <w:pStyle w:val="Footer"/>
          <w:tabs>
            <w:tab w:val="left" w:pos="2775"/>
            <w:tab w:val="right" w:pos="9638"/>
          </w:tabs>
        </w:pPr>
        <w:r>
          <w:tab/>
        </w:r>
        <w:r>
          <w:tab/>
        </w:r>
        <w:r>
          <w:tab/>
        </w:r>
        <w:r>
          <w:tab/>
        </w:r>
      </w:p>
    </w:sdtContent>
  </w:sdt>
  <w:p w:rsidR="00A514C0" w:rsidRDefault="00A514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0FD9" w:rsidRDefault="00C80FD9" w:rsidP="0092187C">
      <w:r>
        <w:separator/>
      </w:r>
    </w:p>
    <w:p w:rsidR="00C80FD9" w:rsidRDefault="00C80FD9"/>
  </w:footnote>
  <w:footnote w:type="continuationSeparator" w:id="0">
    <w:p w:rsidR="00C80FD9" w:rsidRDefault="00C80FD9" w:rsidP="0092187C">
      <w:r>
        <w:continuationSeparator/>
      </w:r>
    </w:p>
    <w:p w:rsidR="00C80FD9" w:rsidRDefault="00C80FD9"/>
  </w:footnote>
  <w:footnote w:type="continuationNotice" w:id="1">
    <w:p w:rsidR="00C80FD9" w:rsidRDefault="00C80FD9"/>
  </w:footnote>
  <w:footnote w:id="2">
    <w:p w:rsidR="00A514C0" w:rsidRPr="00436684" w:rsidRDefault="00A514C0">
      <w:pPr>
        <w:pStyle w:val="FootnoteText"/>
        <w:rPr>
          <w:lang w:val="et-EE"/>
        </w:rPr>
      </w:pPr>
      <w:r>
        <w:rPr>
          <w:rStyle w:val="FootnoteReference"/>
        </w:rPr>
        <w:footnoteRef/>
      </w:r>
      <w:r w:rsidRPr="00FB2074">
        <w:rPr>
          <w:lang w:val="fi-FI"/>
        </w:rPr>
        <w:t xml:space="preserve"> </w:t>
      </w:r>
      <w:r>
        <w:rPr>
          <w:lang w:val="et-EE"/>
        </w:rPr>
        <w:t xml:space="preserve">Vastavalt </w:t>
      </w:r>
      <w:r w:rsidRPr="00436684">
        <w:rPr>
          <w:lang w:val="et-EE"/>
        </w:rPr>
        <w:t>Eesti mahepõllumaja</w:t>
      </w:r>
      <w:r>
        <w:rPr>
          <w:lang w:val="et-EE"/>
        </w:rPr>
        <w:t>nduse arengukavale aastateks 2014–</w:t>
      </w:r>
      <w:r w:rsidRPr="00436684">
        <w:rPr>
          <w:lang w:val="et-EE"/>
        </w:rPr>
        <w:t>2020</w:t>
      </w:r>
      <w:r>
        <w:rPr>
          <w:lang w:val="et-EE"/>
        </w:rPr>
        <w:t>.</w:t>
      </w:r>
    </w:p>
  </w:footnote>
  <w:footnote w:id="3">
    <w:p w:rsidR="00A514C0" w:rsidRPr="004C2338" w:rsidRDefault="00A514C0">
      <w:pPr>
        <w:pStyle w:val="FootnoteText"/>
        <w:rPr>
          <w:lang w:val="et-EE"/>
        </w:rPr>
      </w:pPr>
      <w:r>
        <w:rPr>
          <w:rStyle w:val="FootnoteReference"/>
        </w:rPr>
        <w:footnoteRef/>
      </w:r>
      <w:r w:rsidRPr="00321EB3">
        <w:rPr>
          <w:lang w:val="et-EE"/>
        </w:rPr>
        <w:t xml:space="preserve"> </w:t>
      </w:r>
      <w:r>
        <w:rPr>
          <w:lang w:val="et-EE"/>
        </w:rPr>
        <w:t>Mõõdikute 7 ja 8 puhul on algtaseme arvutamisel arvestatud ajavahemikku 2008–2012.</w:t>
      </w:r>
    </w:p>
  </w:footnote>
  <w:footnote w:id="4">
    <w:p w:rsidR="00A514C0" w:rsidRPr="009C6B6B" w:rsidRDefault="00A514C0" w:rsidP="00FA1EC3">
      <w:pPr>
        <w:pStyle w:val="FootnoteText"/>
        <w:rPr>
          <w:lang w:val="et-EE"/>
        </w:rPr>
      </w:pPr>
      <w:r>
        <w:rPr>
          <w:rStyle w:val="FootnoteReference"/>
        </w:rPr>
        <w:footnoteRef/>
      </w:r>
      <w:r w:rsidRPr="00321EB3">
        <w:rPr>
          <w:lang w:val="et-EE"/>
        </w:rPr>
        <w:t xml:space="preserve"> T</w:t>
      </w:r>
      <w:r w:rsidRPr="006A18BC">
        <w:rPr>
          <w:lang w:val="et-EE"/>
        </w:rPr>
        <w:t>eraviljast toodetud  tooted on tagasi arvutatud teravilja ekvivalendiks ehk  ümber arvutatud teraks</w:t>
      </w:r>
      <w:r>
        <w:rPr>
          <w:lang w:val="et-EE"/>
        </w:rPr>
        <w:t>.</w:t>
      </w:r>
    </w:p>
  </w:footnote>
  <w:footnote w:id="5">
    <w:p w:rsidR="00A514C0" w:rsidRPr="0048496E" w:rsidRDefault="00A514C0">
      <w:pPr>
        <w:pStyle w:val="FootnoteText"/>
        <w:rPr>
          <w:lang w:val="et-EE"/>
        </w:rPr>
      </w:pPr>
      <w:r>
        <w:rPr>
          <w:rStyle w:val="FootnoteReference"/>
        </w:rPr>
        <w:footnoteRef/>
      </w:r>
      <w:r w:rsidRPr="0048496E">
        <w:rPr>
          <w:lang w:val="et-EE"/>
        </w:rPr>
        <w:t xml:space="preserve"> Positiivse ettevõtjatuluga </w:t>
      </w:r>
      <w:r>
        <w:rPr>
          <w:lang w:val="et-EE"/>
        </w:rPr>
        <w:t xml:space="preserve">ettevõtete </w:t>
      </w:r>
      <w:r w:rsidRPr="0048496E">
        <w:rPr>
          <w:lang w:val="et-EE"/>
        </w:rPr>
        <w:t xml:space="preserve">osatähtsus </w:t>
      </w:r>
      <w:r>
        <w:rPr>
          <w:lang w:val="et-EE"/>
        </w:rPr>
        <w:t>teravilja- ja rapsitootjate arvust</w:t>
      </w:r>
      <w:r w:rsidRPr="0048496E">
        <w:rPr>
          <w:lang w:val="et-EE"/>
        </w:rPr>
        <w:t xml:space="preserve"> </w:t>
      </w:r>
      <w:r>
        <w:rPr>
          <w:lang w:val="et-EE"/>
        </w:rPr>
        <w:t>(</w:t>
      </w:r>
      <w:r w:rsidRPr="0048496E">
        <w:rPr>
          <w:lang w:val="et-EE"/>
        </w:rPr>
        <w:t>FADN valimis</w:t>
      </w:r>
      <w:r>
        <w:rPr>
          <w:lang w:val="et-EE"/>
        </w:rPr>
        <w:t>).</w:t>
      </w:r>
    </w:p>
  </w:footnote>
  <w:footnote w:id="6">
    <w:p w:rsidR="00A514C0" w:rsidRPr="0048496E" w:rsidRDefault="00A514C0">
      <w:pPr>
        <w:pStyle w:val="FootnoteText"/>
        <w:rPr>
          <w:lang w:val="et-EE"/>
        </w:rPr>
      </w:pPr>
      <w:r>
        <w:rPr>
          <w:rStyle w:val="FootnoteReference"/>
        </w:rPr>
        <w:footnoteRef/>
      </w:r>
      <w:r w:rsidRPr="0048496E">
        <w:rPr>
          <w:lang w:val="et-EE"/>
        </w:rPr>
        <w:t xml:space="preserve"> </w:t>
      </w:r>
      <w:r>
        <w:rPr>
          <w:lang w:val="et-EE"/>
        </w:rPr>
        <w:t>Jätkusuutlike (</w:t>
      </w:r>
      <w:r w:rsidRPr="0048496E">
        <w:rPr>
          <w:lang w:val="et-EE"/>
        </w:rPr>
        <w:t xml:space="preserve">netolisandväärtus tööjõu aastaühiku kohta rohkem kui 15000 </w:t>
      </w:r>
      <w:r>
        <w:rPr>
          <w:lang w:val="et-EE"/>
        </w:rPr>
        <w:t>eurot</w:t>
      </w:r>
      <w:r w:rsidRPr="0048496E">
        <w:rPr>
          <w:lang w:val="et-EE"/>
        </w:rPr>
        <w:t xml:space="preserve"> aastas) ettevõtete osatähtsus teravilja- ja rapsitootjate arvust (FADN valimis)</w:t>
      </w:r>
      <w:r>
        <w:rPr>
          <w:lang w:val="et-EE"/>
        </w:rPr>
        <w:t>.</w:t>
      </w:r>
    </w:p>
  </w:footnote>
  <w:footnote w:id="7">
    <w:p w:rsidR="00A514C0" w:rsidRPr="009E39DD" w:rsidRDefault="00A514C0" w:rsidP="00A16A88">
      <w:pPr>
        <w:pStyle w:val="FootnoteText"/>
        <w:rPr>
          <w:lang w:val="et-EE"/>
        </w:rPr>
      </w:pPr>
      <w:r>
        <w:rPr>
          <w:rStyle w:val="FootnoteReference"/>
        </w:rPr>
        <w:footnoteRef/>
      </w:r>
      <w:r w:rsidRPr="00724E83">
        <w:rPr>
          <w:lang w:val="et-EE"/>
        </w:rPr>
        <w:t xml:space="preserve"> </w:t>
      </w:r>
      <w:r w:rsidRPr="009E39DD">
        <w:rPr>
          <w:lang w:val="et-EE"/>
        </w:rPr>
        <w:t>Põllumajanduslik majapidamine on ühtse majand</w:t>
      </w:r>
      <w:r>
        <w:rPr>
          <w:lang w:val="et-EE"/>
        </w:rPr>
        <w:t xml:space="preserve">usliku ja tehnilise juhtimisega </w:t>
      </w:r>
      <w:r w:rsidRPr="009E39DD">
        <w:rPr>
          <w:lang w:val="et-EE"/>
        </w:rPr>
        <w:t>tootmisüksus, kus toodetakse põllumajandussaadusi või säilitatakse maad heades</w:t>
      </w:r>
      <w:r>
        <w:rPr>
          <w:lang w:val="et-EE"/>
        </w:rPr>
        <w:t xml:space="preserve"> </w:t>
      </w:r>
      <w:r w:rsidRPr="009E39DD">
        <w:rPr>
          <w:lang w:val="et-EE"/>
        </w:rPr>
        <w:t>põllumajandus- ja keskkonnatingimustes ja:</w:t>
      </w:r>
    </w:p>
    <w:p w:rsidR="00A514C0" w:rsidRPr="009E39DD" w:rsidRDefault="00A514C0" w:rsidP="00A16A88">
      <w:pPr>
        <w:pStyle w:val="FootnoteText"/>
        <w:rPr>
          <w:lang w:val="et-EE"/>
        </w:rPr>
      </w:pPr>
      <w:r w:rsidRPr="009E39DD">
        <w:rPr>
          <w:lang w:val="et-EE"/>
        </w:rPr>
        <w:t>- kus on vähemalt üks hektar kasutatavat põllumajandusmaad või</w:t>
      </w:r>
    </w:p>
    <w:p w:rsidR="00A514C0" w:rsidRPr="009E39DD" w:rsidRDefault="00A514C0" w:rsidP="00A16A88">
      <w:pPr>
        <w:pStyle w:val="FootnoteText"/>
        <w:rPr>
          <w:lang w:val="et-EE"/>
        </w:rPr>
      </w:pPr>
      <w:r w:rsidRPr="009E39DD">
        <w:rPr>
          <w:lang w:val="et-EE"/>
        </w:rPr>
        <w:t>- kus on vähem kui üks hektar kasutatavat põll</w:t>
      </w:r>
      <w:r>
        <w:rPr>
          <w:lang w:val="et-EE"/>
        </w:rPr>
        <w:t xml:space="preserve">umajandusmaad ja kus toodetakse </w:t>
      </w:r>
      <w:r w:rsidRPr="009E39DD">
        <w:rPr>
          <w:lang w:val="et-EE"/>
        </w:rPr>
        <w:t>põllumajandussaadusi peamiselt müügiks</w:t>
      </w:r>
    </w:p>
    <w:p w:rsidR="00A514C0" w:rsidRPr="009E39DD" w:rsidRDefault="00A514C0" w:rsidP="00A16A88">
      <w:pPr>
        <w:pStyle w:val="FootnoteText"/>
        <w:rPr>
          <w:lang w:val="et-EE"/>
        </w:rPr>
      </w:pPr>
      <w:r w:rsidRPr="009E39DD">
        <w:rPr>
          <w:lang w:val="et-EE"/>
        </w:rPr>
        <w:t>- või mille majanduslik suurus on üks Euroopa su</w:t>
      </w:r>
      <w:r>
        <w:rPr>
          <w:lang w:val="et-EE"/>
        </w:rPr>
        <w:t xml:space="preserve">urusühik ehk ESÜ (ESU- </w:t>
      </w:r>
      <w:proofErr w:type="spellStart"/>
      <w:r>
        <w:rPr>
          <w:lang w:val="et-EE"/>
        </w:rPr>
        <w:t>European</w:t>
      </w:r>
      <w:proofErr w:type="spellEnd"/>
      <w:r>
        <w:rPr>
          <w:lang w:val="et-EE"/>
        </w:rPr>
        <w:t xml:space="preserve"> </w:t>
      </w:r>
      <w:proofErr w:type="spellStart"/>
      <w:r w:rsidRPr="009E39DD">
        <w:rPr>
          <w:lang w:val="et-EE"/>
        </w:rPr>
        <w:t>Size</w:t>
      </w:r>
      <w:proofErr w:type="spellEnd"/>
      <w:r w:rsidRPr="009E39DD">
        <w:rPr>
          <w:lang w:val="et-EE"/>
        </w:rPr>
        <w:t xml:space="preserve"> </w:t>
      </w:r>
      <w:proofErr w:type="spellStart"/>
      <w:r w:rsidRPr="009E39DD">
        <w:rPr>
          <w:lang w:val="et-EE"/>
        </w:rPr>
        <w:t>Unit</w:t>
      </w:r>
      <w:proofErr w:type="spellEnd"/>
      <w:r w:rsidRPr="009E39DD">
        <w:rPr>
          <w:lang w:val="et-EE"/>
        </w:rPr>
        <w:t>) või rohkem.</w:t>
      </w:r>
    </w:p>
    <w:p w:rsidR="00A514C0" w:rsidRPr="00724E83" w:rsidRDefault="00A514C0" w:rsidP="00A16A88">
      <w:pPr>
        <w:pStyle w:val="FootnoteText"/>
        <w:rPr>
          <w:lang w:val="et-EE"/>
        </w:rPr>
      </w:pPr>
      <w:r w:rsidRPr="009E39DD">
        <w:rPr>
          <w:lang w:val="et-EE"/>
        </w:rPr>
        <w:t>ESÜ on võetud kasutusele majapidamise majandusliku suuruse mõõtmiseks, et oleks</w:t>
      </w:r>
      <w:r>
        <w:rPr>
          <w:lang w:val="et-EE"/>
        </w:rPr>
        <w:t xml:space="preserve"> </w:t>
      </w:r>
      <w:r w:rsidRPr="009E39DD">
        <w:rPr>
          <w:lang w:val="et-EE"/>
        </w:rPr>
        <w:t>võimalik erinevaid majapidamisi ühise skaala põhjal suurusgruppidesse jaotada. ESÜ</w:t>
      </w:r>
      <w:r>
        <w:rPr>
          <w:lang w:val="et-EE"/>
        </w:rPr>
        <w:t xml:space="preserve"> </w:t>
      </w:r>
      <w:r w:rsidRPr="009E39DD">
        <w:rPr>
          <w:lang w:val="et-EE"/>
        </w:rPr>
        <w:t>vastab standardkogutulu väärtusele 1200 eurot</w:t>
      </w:r>
      <w:r>
        <w:rPr>
          <w:lang w:val="et-EE"/>
        </w:rPr>
        <w:t>.</w:t>
      </w:r>
    </w:p>
  </w:footnote>
  <w:footnote w:id="8">
    <w:p w:rsidR="00A514C0" w:rsidRPr="005134C3" w:rsidRDefault="00A514C0" w:rsidP="00793B1C">
      <w:pPr>
        <w:pStyle w:val="FootnoteText"/>
        <w:rPr>
          <w:lang w:val="et-EE"/>
        </w:rPr>
      </w:pPr>
      <w:r>
        <w:rPr>
          <w:rStyle w:val="FootnoteReference"/>
        </w:rPr>
        <w:footnoteRef/>
      </w:r>
      <w:r w:rsidRPr="00724E83">
        <w:rPr>
          <w:lang w:val="et-EE"/>
        </w:rPr>
        <w:t xml:space="preserve"> </w:t>
      </w:r>
      <w:r w:rsidRPr="005134C3">
        <w:rPr>
          <w:lang w:val="et-EE"/>
        </w:rPr>
        <w:t>Standardtoodang on</w:t>
      </w:r>
      <w:r>
        <w:rPr>
          <w:lang w:val="et-EE"/>
        </w:rPr>
        <w:t xml:space="preserve"> põllumajandustoodangu rahaline </w:t>
      </w:r>
      <w:r w:rsidRPr="005134C3">
        <w:rPr>
          <w:lang w:val="et-EE"/>
        </w:rPr>
        <w:t>väärtus põllumajandustootja hinnaga, mis vastab keskmisele olukorrale iga põllumajandusliku</w:t>
      </w:r>
      <w:r>
        <w:rPr>
          <w:lang w:val="et-EE"/>
        </w:rPr>
        <w:t xml:space="preserve"> </w:t>
      </w:r>
      <w:r w:rsidRPr="005134C3">
        <w:rPr>
          <w:lang w:val="et-EE"/>
        </w:rPr>
        <w:t>tege</w:t>
      </w:r>
      <w:r>
        <w:rPr>
          <w:lang w:val="et-EE"/>
        </w:rPr>
        <w:t xml:space="preserve">vusala puhul ja mis arvutatakse </w:t>
      </w:r>
      <w:r w:rsidRPr="005134C3">
        <w:rPr>
          <w:lang w:val="et-EE"/>
        </w:rPr>
        <w:t>põllumajanduskultuuride kasvupinnast, loomade arvust ja</w:t>
      </w:r>
      <w:r>
        <w:rPr>
          <w:lang w:val="et-EE"/>
        </w:rPr>
        <w:t xml:space="preserve"> </w:t>
      </w:r>
      <w:r w:rsidRPr="005134C3">
        <w:rPr>
          <w:lang w:val="et-EE"/>
        </w:rPr>
        <w:t>standardtoodangu koefitsientidest lähtudes.</w:t>
      </w:r>
    </w:p>
  </w:footnote>
  <w:footnote w:id="9">
    <w:p w:rsidR="00A514C0" w:rsidRPr="00DF3694" w:rsidRDefault="00A514C0" w:rsidP="00793B1C">
      <w:pPr>
        <w:pStyle w:val="FootnoteText"/>
        <w:rPr>
          <w:lang w:val="et-EE"/>
        </w:rPr>
      </w:pPr>
      <w:r w:rsidRPr="00DF3694">
        <w:rPr>
          <w:rStyle w:val="FootnoteReference"/>
          <w:lang w:val="et-EE"/>
        </w:rPr>
        <w:footnoteRef/>
      </w:r>
      <w:r w:rsidRPr="00DF3694">
        <w:rPr>
          <w:lang w:val="et-EE"/>
        </w:rPr>
        <w:t xml:space="preserve"> Valdvee, E., Klaus, A. 2010 Põllumajandusloendus. Statistikaamet, Tallinn 2012</w:t>
      </w:r>
      <w:r>
        <w:rPr>
          <w:lang w:val="et-EE"/>
        </w:rPr>
        <w:t xml:space="preserve">. </w:t>
      </w:r>
      <w:r w:rsidRPr="00436B11">
        <w:rPr>
          <w:lang w:val="et-EE"/>
        </w:rPr>
        <w:t>http://www.stat.ee/publication-download-pdf?publication_id=29924</w:t>
      </w:r>
    </w:p>
  </w:footnote>
  <w:footnote w:id="10">
    <w:p w:rsidR="00A514C0" w:rsidRPr="00CA642E" w:rsidRDefault="00A514C0">
      <w:pPr>
        <w:pStyle w:val="FootnoteText"/>
        <w:rPr>
          <w:lang w:val="et-EE"/>
        </w:rPr>
      </w:pPr>
      <w:r>
        <w:rPr>
          <w:rStyle w:val="FootnoteReference"/>
        </w:rPr>
        <w:footnoteRef/>
      </w:r>
      <w:r w:rsidRPr="00CA642E">
        <w:rPr>
          <w:lang w:val="et-EE"/>
        </w:rPr>
        <w:t xml:space="preserve"> </w:t>
      </w:r>
      <w:r>
        <w:rPr>
          <w:lang w:val="et-EE"/>
        </w:rPr>
        <w:t>P</w:t>
      </w:r>
      <w:r w:rsidRPr="00CA642E">
        <w:rPr>
          <w:rFonts w:hint="eastAsia"/>
          <w:lang w:val="et-EE"/>
        </w:rPr>
        <w:t>õ</w:t>
      </w:r>
      <w:r w:rsidRPr="00CA642E">
        <w:rPr>
          <w:lang w:val="et-EE"/>
        </w:rPr>
        <w:t>llumajandussaaduste tootmiseks kasutatav v</w:t>
      </w:r>
      <w:r w:rsidRPr="00CA642E">
        <w:rPr>
          <w:rFonts w:hint="eastAsia"/>
          <w:lang w:val="et-EE"/>
        </w:rPr>
        <w:t>õ</w:t>
      </w:r>
      <w:r w:rsidRPr="00CA642E">
        <w:rPr>
          <w:lang w:val="et-EE"/>
        </w:rPr>
        <w:t>i heades p</w:t>
      </w:r>
      <w:r w:rsidRPr="00CA642E">
        <w:rPr>
          <w:rFonts w:hint="eastAsia"/>
          <w:lang w:val="et-EE"/>
        </w:rPr>
        <w:t>õ</w:t>
      </w:r>
      <w:r w:rsidRPr="00CA642E">
        <w:rPr>
          <w:lang w:val="et-EE"/>
        </w:rPr>
        <w:t>llumajandus- ja keskkonnatingimustes s</w:t>
      </w:r>
      <w:r w:rsidRPr="00CA642E">
        <w:rPr>
          <w:rFonts w:hint="eastAsia"/>
          <w:lang w:val="et-EE"/>
        </w:rPr>
        <w:t>ä</w:t>
      </w:r>
      <w:r w:rsidRPr="00CA642E">
        <w:rPr>
          <w:lang w:val="et-EE"/>
        </w:rPr>
        <w:t>ilitatav maa (sh p</w:t>
      </w:r>
      <w:r w:rsidRPr="00CA642E">
        <w:rPr>
          <w:rFonts w:hint="eastAsia"/>
          <w:lang w:val="et-EE"/>
        </w:rPr>
        <w:t>õ</w:t>
      </w:r>
      <w:r w:rsidRPr="00CA642E">
        <w:rPr>
          <w:lang w:val="et-EE"/>
        </w:rPr>
        <w:t>llumaa, p</w:t>
      </w:r>
      <w:r w:rsidRPr="00CA642E">
        <w:rPr>
          <w:rFonts w:hint="eastAsia"/>
          <w:lang w:val="et-EE"/>
        </w:rPr>
        <w:t>ü</w:t>
      </w:r>
      <w:r w:rsidRPr="00CA642E">
        <w:rPr>
          <w:lang w:val="et-EE"/>
        </w:rPr>
        <w:t>sirohumaa, viljapuu- ja marjaaiad, puukoolid, koduaiad).</w:t>
      </w:r>
    </w:p>
  </w:footnote>
  <w:footnote w:id="11">
    <w:p w:rsidR="00A514C0" w:rsidRPr="004C2338" w:rsidRDefault="00A514C0">
      <w:pPr>
        <w:pStyle w:val="FootnoteText"/>
        <w:rPr>
          <w:lang w:val="et-EE"/>
        </w:rPr>
      </w:pPr>
      <w:r>
        <w:rPr>
          <w:rStyle w:val="FootnoteReference"/>
        </w:rPr>
        <w:footnoteRef/>
      </w:r>
      <w:r w:rsidRPr="004C2338">
        <w:rPr>
          <w:lang w:val="et-EE"/>
        </w:rPr>
        <w:t xml:space="preserve"> Viljelusv</w:t>
      </w:r>
      <w:r w:rsidRPr="004C2338">
        <w:rPr>
          <w:rFonts w:hint="eastAsia"/>
          <w:lang w:val="et-EE"/>
        </w:rPr>
        <w:t>õ</w:t>
      </w:r>
      <w:r w:rsidRPr="004C2338">
        <w:rPr>
          <w:lang w:val="et-EE"/>
        </w:rPr>
        <w:t>istlus on taimekasvatuse parimate kogemuste vahetamise vorm, mille eesm</w:t>
      </w:r>
      <w:r w:rsidRPr="004C2338">
        <w:rPr>
          <w:rFonts w:hint="eastAsia"/>
          <w:lang w:val="et-EE"/>
        </w:rPr>
        <w:t>ä</w:t>
      </w:r>
      <w:r w:rsidRPr="004C2338">
        <w:rPr>
          <w:lang w:val="et-EE"/>
        </w:rPr>
        <w:t>rgiks on innustada p</w:t>
      </w:r>
      <w:r w:rsidRPr="004C2338">
        <w:rPr>
          <w:rFonts w:hint="eastAsia"/>
          <w:lang w:val="et-EE"/>
        </w:rPr>
        <w:t>õ</w:t>
      </w:r>
      <w:r w:rsidRPr="004C2338">
        <w:rPr>
          <w:lang w:val="et-EE"/>
        </w:rPr>
        <w:t>llumehi katsetama uusi viljelustehnoloogiaid, sorte ja tooteid</w:t>
      </w:r>
      <w:r>
        <w:rPr>
          <w:lang w:val="et-EE"/>
        </w:rPr>
        <w:t xml:space="preserve">. </w:t>
      </w:r>
      <w:r w:rsidRPr="006B2B74">
        <w:rPr>
          <w:lang w:val="et-EE"/>
        </w:rPr>
        <w:t>http://www.viljelusvoistlus.ee/index.php?page=145</w:t>
      </w:r>
    </w:p>
  </w:footnote>
  <w:footnote w:id="12">
    <w:p w:rsidR="00A514C0" w:rsidRPr="00FB2074" w:rsidRDefault="00A514C0" w:rsidP="00235652">
      <w:pPr>
        <w:pStyle w:val="FootnoteText"/>
        <w:rPr>
          <w:lang w:val="fi-FI"/>
        </w:rPr>
      </w:pPr>
      <w:r>
        <w:rPr>
          <w:rStyle w:val="FootnoteReference"/>
        </w:rPr>
        <w:footnoteRef/>
      </w:r>
      <w:r w:rsidRPr="00067B52">
        <w:rPr>
          <w:lang w:val="fi-FI"/>
        </w:rPr>
        <w:t xml:space="preserve"> </w:t>
      </w:r>
      <w:r w:rsidRPr="00235652">
        <w:rPr>
          <w:lang w:val="et-EE"/>
        </w:rPr>
        <w:t>Integreeritud taimekaitse tuntus, 2009.</w:t>
      </w:r>
      <w:r w:rsidRPr="00FB2074">
        <w:rPr>
          <w:lang w:val="fi-FI"/>
        </w:rPr>
        <w:t xml:space="preserve"> </w:t>
      </w:r>
      <w:r w:rsidR="00235652" w:rsidRPr="00FB2074">
        <w:rPr>
          <w:lang w:val="fi-FI"/>
        </w:rPr>
        <w:t xml:space="preserve"> </w:t>
      </w:r>
      <w:r w:rsidRPr="00FB2074">
        <w:rPr>
          <w:lang w:val="fi-FI"/>
        </w:rPr>
        <w:t>http://www.agri.ee/public/juurkataloog/TAIMETERVIS/taimekaitse/Integreeritud_ja_I-taimekaitse_uuringu_tulemused.pdf</w:t>
      </w:r>
    </w:p>
  </w:footnote>
  <w:footnote w:id="13">
    <w:p w:rsidR="00A514C0" w:rsidRPr="0003425A" w:rsidRDefault="00A514C0" w:rsidP="006E7754">
      <w:pPr>
        <w:pStyle w:val="FootnoteText"/>
        <w:rPr>
          <w:noProof/>
          <w:lang w:val="et-EE"/>
        </w:rPr>
      </w:pPr>
      <w:r w:rsidRPr="007D5C38">
        <w:rPr>
          <w:rStyle w:val="FootnoteReference"/>
          <w:noProof/>
          <w:lang w:val="et-EE"/>
        </w:rPr>
        <w:footnoteRef/>
      </w:r>
      <w:r w:rsidRPr="007D5C38">
        <w:rPr>
          <w:noProof/>
          <w:lang w:val="et-EE"/>
        </w:rPr>
        <w:t xml:space="preserve"> Iglesias, A., Avis, K., Benzie, M., Fisher, P., Harley, M., Hodgson, N., Horrocks, L., Moneo, M., Webb, J.</w:t>
      </w:r>
      <w:r w:rsidRPr="007D5C38">
        <w:rPr>
          <w:rFonts w:ascii="Arial" w:hAnsi="Arial" w:cs="Arial"/>
          <w:noProof/>
          <w:lang w:val="et-EE"/>
        </w:rPr>
        <w:t xml:space="preserve"> </w:t>
      </w:r>
      <w:r w:rsidRPr="007D5C38">
        <w:rPr>
          <w:noProof/>
          <w:lang w:val="et-EE"/>
        </w:rPr>
        <w:t>Adaptation to climate change in</w:t>
      </w:r>
      <w:r>
        <w:rPr>
          <w:noProof/>
          <w:lang w:val="et-EE"/>
        </w:rPr>
        <w:t xml:space="preserve"> the agricultural sector, 2007. </w:t>
      </w:r>
      <w:r w:rsidRPr="007D5C38">
        <w:rPr>
          <w:noProof/>
          <w:lang w:val="et-EE"/>
        </w:rPr>
        <w:t>http://ec.europa.eu/agriculture/analysis/external/climate/final_en.pdf</w:t>
      </w:r>
    </w:p>
  </w:footnote>
  <w:footnote w:id="14">
    <w:p w:rsidR="00A514C0" w:rsidRPr="00DD1BAE" w:rsidRDefault="00A514C0" w:rsidP="006B2E6D">
      <w:pPr>
        <w:jc w:val="both"/>
        <w:rPr>
          <w:noProof/>
        </w:rPr>
      </w:pPr>
      <w:r w:rsidRPr="003F38DB">
        <w:rPr>
          <w:rStyle w:val="FootnoteReference"/>
        </w:rPr>
        <w:footnoteRef/>
      </w:r>
      <w:r w:rsidRPr="00DD1BAE">
        <w:t xml:space="preserve"> </w:t>
      </w:r>
      <w:r w:rsidRPr="003F38DB">
        <w:t>Veeseadus</w:t>
      </w:r>
      <w:r>
        <w:t>. 11.05</w:t>
      </w:r>
      <w:r w:rsidRPr="003F38DB">
        <w:t>.</w:t>
      </w:r>
      <w:r>
        <w:t>199</w:t>
      </w:r>
      <w:r w:rsidRPr="003F38DB">
        <w:t>4 - RT I</w:t>
      </w:r>
      <w:r>
        <w:t xml:space="preserve">, 1994, </w:t>
      </w:r>
      <w:r w:rsidRPr="003F38DB">
        <w:t>4</w:t>
      </w:r>
      <w:r>
        <w:t>0</w:t>
      </w:r>
      <w:r w:rsidRPr="003F38DB">
        <w:t xml:space="preserve">, </w:t>
      </w:r>
      <w:r>
        <w:t>655</w:t>
      </w:r>
      <w:r w:rsidRPr="003F38DB">
        <w:t>.</w:t>
      </w:r>
    </w:p>
  </w:footnote>
  <w:footnote w:id="15">
    <w:p w:rsidR="00A514C0" w:rsidRPr="00DD1BAE" w:rsidRDefault="00A514C0" w:rsidP="006B2E6D">
      <w:pPr>
        <w:pStyle w:val="FootnoteText"/>
        <w:rPr>
          <w:lang w:val="et-EE"/>
        </w:rPr>
      </w:pPr>
      <w:r>
        <w:rPr>
          <w:rStyle w:val="FootnoteReference"/>
        </w:rPr>
        <w:footnoteRef/>
      </w:r>
      <w:r w:rsidRPr="00DD1BAE">
        <w:rPr>
          <w:lang w:val="et-EE"/>
        </w:rPr>
        <w:t xml:space="preserve"> Maaparandusregister</w:t>
      </w:r>
      <w:r>
        <w:rPr>
          <w:lang w:val="et-EE"/>
        </w:rPr>
        <w:t>.</w:t>
      </w:r>
    </w:p>
  </w:footnote>
  <w:footnote w:id="16">
    <w:p w:rsidR="00A514C0" w:rsidRPr="005625EF" w:rsidRDefault="00A514C0" w:rsidP="00470883">
      <w:pPr>
        <w:pStyle w:val="FootnoteText"/>
        <w:rPr>
          <w:lang w:val="et-EE"/>
        </w:rPr>
      </w:pPr>
      <w:r>
        <w:rPr>
          <w:rStyle w:val="FootnoteReference"/>
        </w:rPr>
        <w:footnoteRef/>
      </w:r>
      <w:r w:rsidRPr="005625EF">
        <w:rPr>
          <w:lang w:val="et-EE"/>
        </w:rPr>
        <w:t xml:space="preserve"> Üleminekuperiood on lõppenud, kui mahepõllumajanduse eeskirju on järgitud</w:t>
      </w:r>
      <w:r>
        <w:rPr>
          <w:lang w:val="et-EE"/>
        </w:rPr>
        <w:t xml:space="preserve"> </w:t>
      </w:r>
      <w:r w:rsidRPr="005625EF">
        <w:rPr>
          <w:lang w:val="et-EE"/>
        </w:rPr>
        <w:t>vähemalt 2 aastat enne külvi</w:t>
      </w:r>
      <w:r>
        <w:rPr>
          <w:lang w:val="et-EE"/>
        </w:rPr>
        <w:t>.</w:t>
      </w:r>
    </w:p>
  </w:footnote>
  <w:footnote w:id="17">
    <w:p w:rsidR="00A514C0" w:rsidRPr="00D6513E" w:rsidRDefault="00A514C0" w:rsidP="00497131">
      <w:pPr>
        <w:pStyle w:val="FootnoteText"/>
        <w:rPr>
          <w:lang w:val="et-EE"/>
        </w:rPr>
      </w:pPr>
      <w:r>
        <w:rPr>
          <w:rStyle w:val="FootnoteReference"/>
        </w:rPr>
        <w:footnoteRef/>
      </w:r>
      <w:r w:rsidRPr="00D6513E">
        <w:rPr>
          <w:lang w:val="et-EE"/>
        </w:rPr>
        <w:t xml:space="preserve"> </w:t>
      </w:r>
      <w:r>
        <w:rPr>
          <w:lang w:val="et-EE"/>
        </w:rPr>
        <w:t>„ Eesti elanike toitumisharjumused ja toidukaupade ostueelistused  2011“, EMOR, 2011.</w:t>
      </w:r>
    </w:p>
  </w:footnote>
  <w:footnote w:id="18">
    <w:p w:rsidR="00A514C0" w:rsidRPr="00D45A6D" w:rsidRDefault="00A514C0" w:rsidP="00326789">
      <w:pPr>
        <w:pStyle w:val="FootnoteText"/>
        <w:rPr>
          <w:lang w:val="et-EE"/>
        </w:rPr>
      </w:pPr>
      <w:r>
        <w:rPr>
          <w:rStyle w:val="FootnoteReference"/>
        </w:rPr>
        <w:footnoteRef/>
      </w:r>
      <w:r>
        <w:t xml:space="preserve"> </w:t>
      </w:r>
      <w:proofErr w:type="spellStart"/>
      <w:r w:rsidRPr="00D45A6D">
        <w:t>Zentkova</w:t>
      </w:r>
      <w:proofErr w:type="spellEnd"/>
      <w:r w:rsidRPr="00D45A6D">
        <w:t xml:space="preserve">, I., </w:t>
      </w:r>
      <w:proofErr w:type="spellStart"/>
      <w:r w:rsidRPr="00D45A6D">
        <w:t>Cvengrošova</w:t>
      </w:r>
      <w:proofErr w:type="spellEnd"/>
      <w:r w:rsidRPr="00D45A6D">
        <w:t xml:space="preserve">, E. The utilization of rapeseed for biofuels production in EU. </w:t>
      </w:r>
      <w:proofErr w:type="spellStart"/>
      <w:r w:rsidRPr="00D45A6D">
        <w:t>Visegrad</w:t>
      </w:r>
      <w:proofErr w:type="spellEnd"/>
      <w:r w:rsidRPr="00D45A6D">
        <w:t xml:space="preserve"> Journal on </w:t>
      </w:r>
      <w:proofErr w:type="spellStart"/>
      <w:r w:rsidRPr="00D45A6D">
        <w:t>Bioeconomy</w:t>
      </w:r>
      <w:proofErr w:type="spellEnd"/>
      <w:r w:rsidRPr="00D45A6D">
        <w:t xml:space="preserve"> and Sustainable Development</w:t>
      </w:r>
      <w:r>
        <w:t>, 1/2013.</w:t>
      </w:r>
      <w:r>
        <w:rPr>
          <w:rFonts w:ascii="MyriadPro-Cond" w:hAnsi="MyriadPro-Cond" w:cs="MyriadPro-Cond"/>
          <w:sz w:val="22"/>
          <w:szCs w:val="22"/>
        </w:rPr>
        <w:t xml:space="preserve"> </w:t>
      </w:r>
      <w:r w:rsidRPr="00D45A6D">
        <w:t>http://www.vua.uniag.sk/sites/default/files/Zentkova_11-14.pdf</w:t>
      </w:r>
    </w:p>
  </w:footnote>
  <w:footnote w:id="19">
    <w:p w:rsidR="00A514C0" w:rsidRPr="00E11209" w:rsidRDefault="00A514C0" w:rsidP="0015624E">
      <w:pPr>
        <w:pStyle w:val="FootnoteText"/>
        <w:rPr>
          <w:lang w:val="et-EE"/>
        </w:rPr>
      </w:pPr>
      <w:r>
        <w:rPr>
          <w:rStyle w:val="FootnoteReference"/>
        </w:rPr>
        <w:footnoteRef/>
      </w:r>
      <w:r w:rsidRPr="00E11209">
        <w:rPr>
          <w:lang w:val="et-EE"/>
        </w:rPr>
        <w:t xml:space="preserve"> </w:t>
      </w:r>
      <w:r>
        <w:rPr>
          <w:lang w:val="et-EE"/>
        </w:rPr>
        <w:t>Kombineeritud nomenklatuur 1-24</w:t>
      </w:r>
    </w:p>
  </w:footnote>
  <w:footnote w:id="20">
    <w:p w:rsidR="00A514C0" w:rsidRPr="00F94A78" w:rsidRDefault="00A514C0" w:rsidP="00186EAB">
      <w:pPr>
        <w:pStyle w:val="FootnoteText"/>
        <w:rPr>
          <w:lang w:val="et-EE"/>
        </w:rPr>
      </w:pPr>
      <w:r>
        <w:rPr>
          <w:rStyle w:val="FootnoteReference"/>
        </w:rPr>
        <w:footnoteRef/>
      </w:r>
      <w:r w:rsidRPr="00F94A78">
        <w:rPr>
          <w:lang w:val="et-EE"/>
        </w:rPr>
        <w:t xml:space="preserve"> http://www.agr</w:t>
      </w:r>
      <w:r>
        <w:rPr>
          <w:lang w:val="et-EE"/>
        </w:rPr>
        <w:t xml:space="preserve">i.ee/public/juurkataloog/TEADUS </w:t>
      </w:r>
      <w:r w:rsidRPr="00F94A78">
        <w:rPr>
          <w:lang w:val="et-EE"/>
        </w:rPr>
        <w:t>ARENDUS/T66jou_vajaduse_uuring_sektoris_2010.PDF</w:t>
      </w:r>
    </w:p>
  </w:footnote>
  <w:footnote w:id="21">
    <w:p w:rsidR="00A514C0" w:rsidRPr="00EA22FA" w:rsidRDefault="00A514C0" w:rsidP="00186EAB">
      <w:pPr>
        <w:pStyle w:val="FootnoteText"/>
        <w:rPr>
          <w:lang w:val="et-EE"/>
        </w:rPr>
      </w:pPr>
      <w:r>
        <w:rPr>
          <w:rStyle w:val="FootnoteReference"/>
        </w:rPr>
        <w:footnoteRef/>
      </w:r>
      <w:r w:rsidRPr="00EA22FA">
        <w:rPr>
          <w:lang w:val="et-EE"/>
        </w:rPr>
        <w:t xml:space="preserve"> </w:t>
      </w:r>
      <w:r>
        <w:rPr>
          <w:noProof/>
          <w:lang w:val="et-EE"/>
        </w:rPr>
        <w:t>Sihtevalveerimine</w:t>
      </w:r>
      <w:r>
        <w:rPr>
          <w:lang w:val="et-EE"/>
        </w:rPr>
        <w:t xml:space="preserve"> - </w:t>
      </w:r>
      <w:r w:rsidRPr="00EA22FA">
        <w:rPr>
          <w:lang w:val="et-EE"/>
        </w:rPr>
        <w:t>teadus- ja arendustegevuse välishindamine, mida korraldatakse teadus- ja arendustegevuse strateegiliste arengukavade või muude teaduspoliitiliste otsuste ja meetmete ettevalmistamiseks või nende mõjude ning rakendamise hindamiseks ja analüüsimiseks.</w:t>
      </w:r>
      <w:r>
        <w:rPr>
          <w:lang w:val="et-EE"/>
        </w:rPr>
        <w:t xml:space="preserve"> </w:t>
      </w:r>
      <w:r w:rsidRPr="00EA22FA">
        <w:rPr>
          <w:lang w:val="et-EE"/>
        </w:rPr>
        <w:t>http://www2.archimedes.ee/teadus/index.php?leht=375</w:t>
      </w:r>
    </w:p>
  </w:footnote>
  <w:footnote w:id="22">
    <w:p w:rsidR="00A514C0" w:rsidRPr="00DE2EBD" w:rsidRDefault="00A514C0" w:rsidP="000D17E8">
      <w:pPr>
        <w:pStyle w:val="FootnoteText"/>
        <w:rPr>
          <w:lang w:val="et-EE"/>
        </w:rPr>
      </w:pPr>
      <w:r>
        <w:rPr>
          <w:rStyle w:val="FootnoteReference"/>
        </w:rPr>
        <w:footnoteRef/>
      </w:r>
      <w:r w:rsidRPr="00DE2EBD">
        <w:rPr>
          <w:lang w:val="et-EE"/>
        </w:rPr>
        <w:t xml:space="preserve"> </w:t>
      </w:r>
      <w:r w:rsidRPr="00F86455">
        <w:rPr>
          <w:lang w:val="et-EE"/>
        </w:rPr>
        <w:t>Põllumajandussektori majandustulemusi hinnatakse põllumajanduse majandusarvestuse (</w:t>
      </w:r>
      <w:r w:rsidRPr="003E611E">
        <w:rPr>
          <w:rStyle w:val="Emphasis"/>
          <w:color w:val="000000" w:themeColor="text1"/>
          <w:lang w:val="et-EE"/>
        </w:rPr>
        <w:t>EAA – Economic Accounts for Agriculture)</w:t>
      </w:r>
      <w:r w:rsidRPr="003E611E">
        <w:rPr>
          <w:color w:val="000000" w:themeColor="text1"/>
          <w:lang w:val="et-EE"/>
        </w:rPr>
        <w:t xml:space="preserve"> metoodikaga, mis on kehtestatud Nõukogu määrusega (EÜ) </w:t>
      </w:r>
      <w:r w:rsidRPr="00F86455">
        <w:rPr>
          <w:lang w:val="et-EE"/>
        </w:rPr>
        <w:t>nr 138/2004.</w:t>
      </w:r>
    </w:p>
  </w:footnote>
  <w:footnote w:id="23">
    <w:p w:rsidR="00A514C0" w:rsidRPr="009807D1" w:rsidRDefault="00A514C0" w:rsidP="00D25510">
      <w:pPr>
        <w:pStyle w:val="FootnoteText"/>
        <w:rPr>
          <w:lang w:val="et-EE"/>
        </w:rPr>
      </w:pPr>
      <w:r>
        <w:rPr>
          <w:rStyle w:val="FootnoteReference"/>
        </w:rPr>
        <w:footnoteRef/>
      </w:r>
      <w:r w:rsidRPr="009807D1">
        <w:rPr>
          <w:lang w:val="et-EE"/>
        </w:rPr>
        <w:t xml:space="preserve"> Faktortulu - </w:t>
      </w:r>
      <w:r>
        <w:rPr>
          <w:lang w:val="et-EE"/>
        </w:rPr>
        <w:t xml:space="preserve">tootmisteguritulu e. netolisandväärtus faktorhinnas - </w:t>
      </w:r>
      <w:r w:rsidRPr="007D1BCF">
        <w:rPr>
          <w:lang w:val="et-EE"/>
        </w:rPr>
        <w:t>netolisandväärtus faktorhinnas koos tootmistoetustega ja ilma muude maksudeta</w:t>
      </w:r>
      <w:r w:rsidR="00235652">
        <w:rPr>
          <w:lang w:val="et-EE"/>
        </w:rPr>
        <w:t>.</w:t>
      </w:r>
    </w:p>
  </w:footnote>
  <w:footnote w:id="24">
    <w:p w:rsidR="00A514C0" w:rsidRPr="00B234C7" w:rsidRDefault="00A514C0" w:rsidP="00D25510">
      <w:pPr>
        <w:pStyle w:val="FootnoteText"/>
      </w:pPr>
      <w:r>
        <w:rPr>
          <w:rStyle w:val="FootnoteReference"/>
        </w:rPr>
        <w:footnoteRef/>
      </w:r>
      <w:r>
        <w:t xml:space="preserve"> </w:t>
      </w:r>
      <w:proofErr w:type="spellStart"/>
      <w:r w:rsidRPr="00CA4527">
        <w:rPr>
          <w:bCs/>
        </w:rPr>
        <w:t>Põllumajandusliku</w:t>
      </w:r>
      <w:proofErr w:type="spellEnd"/>
      <w:r w:rsidRPr="00CA4527">
        <w:rPr>
          <w:bCs/>
        </w:rPr>
        <w:t xml:space="preserve"> </w:t>
      </w:r>
      <w:proofErr w:type="spellStart"/>
      <w:r w:rsidRPr="00CA4527">
        <w:rPr>
          <w:bCs/>
        </w:rPr>
        <w:t>raamatupidamise</w:t>
      </w:r>
      <w:proofErr w:type="spellEnd"/>
      <w:r w:rsidRPr="00CA4527">
        <w:rPr>
          <w:bCs/>
        </w:rPr>
        <w:t xml:space="preserve"> </w:t>
      </w:r>
      <w:proofErr w:type="spellStart"/>
      <w:r w:rsidRPr="00CA4527">
        <w:rPr>
          <w:bCs/>
        </w:rPr>
        <w:t>andmebaas</w:t>
      </w:r>
      <w:proofErr w:type="spellEnd"/>
      <w:r w:rsidRPr="00CA4527">
        <w:t xml:space="preserve"> </w:t>
      </w:r>
      <w:r w:rsidRPr="00CA4527">
        <w:rPr>
          <w:bCs/>
        </w:rPr>
        <w:t>(</w:t>
      </w:r>
      <w:r w:rsidRPr="00CA4527">
        <w:rPr>
          <w:bCs/>
          <w:i/>
          <w:iCs/>
        </w:rPr>
        <w:t>Farm Accountancy Data Network - FADN</w:t>
      </w:r>
      <w:r w:rsidRPr="00CA4527">
        <w:rPr>
          <w:bCs/>
        </w:rPr>
        <w:t>)</w:t>
      </w:r>
      <w:r w:rsidR="00235652">
        <w:rPr>
          <w:bCs/>
        </w:rPr>
        <w:t>.</w:t>
      </w:r>
    </w:p>
  </w:footnote>
  <w:footnote w:id="25">
    <w:p w:rsidR="00A514C0" w:rsidRPr="00DF41FA" w:rsidRDefault="00A514C0" w:rsidP="001B4627">
      <w:pPr>
        <w:pStyle w:val="FootnoteText"/>
        <w:rPr>
          <w:lang w:val="et-EE"/>
        </w:rPr>
      </w:pPr>
      <w:r>
        <w:rPr>
          <w:rStyle w:val="FootnoteReference"/>
        </w:rPr>
        <w:footnoteRef/>
      </w:r>
      <w:r w:rsidRPr="00FB2074">
        <w:rPr>
          <w:lang w:val="fi-FI"/>
        </w:rPr>
        <w:t xml:space="preserve"> </w:t>
      </w:r>
      <w:r w:rsidRPr="00DF41FA">
        <w:rPr>
          <w:lang w:val="et-EE"/>
        </w:rPr>
        <w:t>Kattetulu arvestused taime- ja loomak</w:t>
      </w:r>
      <w:r>
        <w:rPr>
          <w:lang w:val="et-EE"/>
        </w:rPr>
        <w:t>a</w:t>
      </w:r>
      <w:r w:rsidRPr="00DF41FA">
        <w:rPr>
          <w:lang w:val="et-EE"/>
        </w:rPr>
        <w:t>svatuses</w:t>
      </w:r>
      <w:r w:rsidR="00235652">
        <w:rPr>
          <w:lang w:val="et-EE"/>
        </w:rPr>
        <w:t>.</w:t>
      </w:r>
    </w:p>
  </w:footnote>
  <w:footnote w:id="26">
    <w:p w:rsidR="00A514C0" w:rsidRPr="002067B2" w:rsidRDefault="00A514C0" w:rsidP="001B4627">
      <w:pPr>
        <w:pStyle w:val="FootnoteText"/>
        <w:rPr>
          <w:lang w:val="et-EE"/>
        </w:rPr>
      </w:pPr>
      <w:r w:rsidRPr="00DF41FA">
        <w:rPr>
          <w:rStyle w:val="FootnoteReference"/>
          <w:lang w:val="et-EE"/>
        </w:rPr>
        <w:footnoteRef/>
      </w:r>
      <w:r w:rsidRPr="00DF41FA">
        <w:rPr>
          <w:lang w:val="et-EE"/>
        </w:rPr>
        <w:t xml:space="preserve"> Kattetulu arvestuses muutuvkulude ja masinatööde maksumuse summa</w:t>
      </w:r>
      <w:r w:rsidR="00235652">
        <w:rPr>
          <w:lang w:val="et-EE"/>
        </w:rPr>
        <w:t>.</w:t>
      </w:r>
    </w:p>
  </w:footnote>
  <w:footnote w:id="27">
    <w:p w:rsidR="00A514C0" w:rsidRPr="007D5C38" w:rsidRDefault="00A514C0" w:rsidP="00125228">
      <w:pPr>
        <w:pStyle w:val="FootnoteText"/>
        <w:rPr>
          <w:noProof/>
          <w:lang w:val="et-EE"/>
        </w:rPr>
      </w:pPr>
      <w:r w:rsidRPr="007D5C38">
        <w:rPr>
          <w:rStyle w:val="FootnoteReference"/>
          <w:noProof/>
          <w:lang w:val="et-EE"/>
        </w:rPr>
        <w:footnoteRef/>
      </w:r>
      <w:r w:rsidRPr="007D5C38">
        <w:rPr>
          <w:noProof/>
          <w:lang w:val="et-EE"/>
        </w:rPr>
        <w:t xml:space="preserve"> Kattetulu arvestuses on hektarilt saadava</w:t>
      </w:r>
      <w:r w:rsidRPr="007D5C38">
        <w:rPr>
          <w:rFonts w:cs="Arial"/>
          <w:noProof/>
          <w:lang w:val="et-EE"/>
        </w:rPr>
        <w:t xml:space="preserve"> tulu hulka arvestatud nii põhu kui tera realiseerimishind ning  2005. a ÜPT ja põllukultuuride kasvatamise täiendava otsetoetuse maksed (kokku 65,2 €/ha) ja 2012.  a ÜPT maksed (100,48 €/ha)</w:t>
      </w:r>
      <w:r w:rsidR="00235652">
        <w:rPr>
          <w:rFonts w:cs="Arial"/>
          <w:noProof/>
          <w:lang w:val="et-EE"/>
        </w:rPr>
        <w:t>.</w:t>
      </w:r>
    </w:p>
  </w:footnote>
  <w:footnote w:id="28">
    <w:p w:rsidR="00A514C0" w:rsidRPr="007D5C38" w:rsidRDefault="00A514C0" w:rsidP="001B4627">
      <w:pPr>
        <w:pStyle w:val="FootnoteText"/>
        <w:rPr>
          <w:noProof/>
          <w:lang w:val="et-EE"/>
        </w:rPr>
      </w:pPr>
      <w:r w:rsidRPr="007D5C38">
        <w:rPr>
          <w:rStyle w:val="FootnoteReference"/>
          <w:noProof/>
          <w:lang w:val="et-EE"/>
        </w:rPr>
        <w:footnoteRef/>
      </w:r>
      <w:r w:rsidRPr="007D5C38">
        <w:rPr>
          <w:noProof/>
          <w:lang w:val="et-EE"/>
        </w:rPr>
        <w:t xml:space="preserve"> http://www.maainfo.ee/data/try</w:t>
      </w:r>
      <w:r w:rsidR="00235652">
        <w:rPr>
          <w:noProof/>
          <w:lang w:val="et-EE"/>
        </w:rPr>
        <w:t>kis/kattetulu/KATTETULU2012.pdf</w:t>
      </w:r>
    </w:p>
  </w:footnote>
  <w:footnote w:id="29">
    <w:p w:rsidR="00A514C0" w:rsidRPr="004E5354" w:rsidRDefault="00A514C0" w:rsidP="00D25510">
      <w:pPr>
        <w:pStyle w:val="FootnoteText"/>
        <w:rPr>
          <w:lang w:val="et-EE"/>
        </w:rPr>
      </w:pPr>
      <w:r>
        <w:rPr>
          <w:rStyle w:val="FootnoteReference"/>
        </w:rPr>
        <w:footnoteRef/>
      </w:r>
      <w:r w:rsidRPr="004E5354">
        <w:rPr>
          <w:lang w:val="et-EE"/>
        </w:rPr>
        <w:t xml:space="preserve"> </w:t>
      </w:r>
      <w:r w:rsidRPr="000B49FD">
        <w:rPr>
          <w:lang w:val="et-EE"/>
        </w:rPr>
        <w:t>http://epp.eurostat.ec.europa.eu/portal/page/portal/agriculture/data/database</w:t>
      </w:r>
    </w:p>
  </w:footnote>
  <w:footnote w:id="30">
    <w:p w:rsidR="00A514C0" w:rsidRDefault="00A514C0" w:rsidP="005B6C4E">
      <w:pPr>
        <w:adjustRightInd w:val="0"/>
        <w:rPr>
          <w:rStyle w:val="Strong"/>
          <w:b w:val="0"/>
        </w:rPr>
      </w:pPr>
      <w:r>
        <w:rPr>
          <w:rStyle w:val="FootnoteReference"/>
        </w:rPr>
        <w:footnoteRef/>
      </w:r>
      <w:r>
        <w:t xml:space="preserve"> </w:t>
      </w:r>
      <w:r w:rsidRPr="002D3AA1">
        <w:rPr>
          <w:lang w:eastAsia="en-GB"/>
        </w:rPr>
        <w:t>Majandustegevuse tootlikkuse näitajana võib kasutada alushindades brutosummas kogulisandväärtust või netosummas netolisandväärtust, st enne või pärast põhikapitali kulumi mahaarvamist. Põllumajanduslike majapidamiste võrdluse arvestamisel kasutatakse netolisandväärtust faktorhinnas (tootmisteguritulu), mis saadakse lahutades alushindades netolisandväärtusest muud tootmismaksud ja lisades tootmistoetused.</w:t>
      </w:r>
      <w:r w:rsidRPr="008D3FEC">
        <w:rPr>
          <w:rStyle w:val="Strong"/>
          <w:b w:val="0"/>
        </w:rPr>
        <w:t xml:space="preserve"> </w:t>
      </w:r>
    </w:p>
    <w:p w:rsidR="00A514C0" w:rsidRPr="005A2E02" w:rsidRDefault="00A514C0">
      <w:pPr>
        <w:pStyle w:val="FootnoteText"/>
        <w:rPr>
          <w:lang w:val="et-EE"/>
        </w:rPr>
      </w:pPr>
    </w:p>
  </w:footnote>
  <w:footnote w:id="31">
    <w:p w:rsidR="00A514C0" w:rsidRPr="008A6A4F" w:rsidRDefault="00A514C0" w:rsidP="008A6A4F">
      <w:pPr>
        <w:pStyle w:val="FootnoteText"/>
        <w:rPr>
          <w:lang w:val="et-EE"/>
        </w:rPr>
      </w:pPr>
      <w:r>
        <w:rPr>
          <w:rStyle w:val="FootnoteReference"/>
        </w:rPr>
        <w:footnoteRef/>
      </w:r>
      <w:r w:rsidRPr="008A6A4F">
        <w:rPr>
          <w:lang w:val="et-EE"/>
        </w:rPr>
        <w:t xml:space="preserve"> Loetellu kuuluvad nii trükised kui võrguväljaanded</w:t>
      </w:r>
    </w:p>
  </w:footnote>
  <w:footnote w:id="32">
    <w:p w:rsidR="00A514C0" w:rsidRPr="00AC3D5D" w:rsidRDefault="00A514C0" w:rsidP="00263C4D">
      <w:pPr>
        <w:pStyle w:val="FootnoteText"/>
        <w:rPr>
          <w:lang w:val="et-EE"/>
        </w:rPr>
      </w:pPr>
      <w:r>
        <w:rPr>
          <w:rStyle w:val="FootnoteReference"/>
        </w:rPr>
        <w:footnoteRef/>
      </w:r>
      <w:r w:rsidRPr="00FB2074">
        <w:rPr>
          <w:lang w:val="fi-FI"/>
        </w:rPr>
        <w:t xml:space="preserve"> </w:t>
      </w:r>
      <w:r>
        <w:rPr>
          <w:lang w:val="et-EE"/>
        </w:rPr>
        <w:t>Mõõdikute 7 ja 8 puhul on algtaseme arvestamiseks võetud aastate 2008</w:t>
      </w:r>
      <w:r w:rsidRPr="00FB2074">
        <w:rPr>
          <w:lang w:val="fi-FI"/>
        </w:rPr>
        <w:t>–</w:t>
      </w:r>
      <w:r>
        <w:rPr>
          <w:lang w:val="et-EE"/>
        </w:rPr>
        <w:t>2012 keskmine näitaja</w:t>
      </w:r>
    </w:p>
  </w:footnote>
  <w:footnote w:id="33">
    <w:p w:rsidR="00A514C0" w:rsidRPr="00847393" w:rsidRDefault="00A514C0" w:rsidP="00263C4D">
      <w:pPr>
        <w:pStyle w:val="FootnoteText"/>
        <w:rPr>
          <w:lang w:val="et-EE"/>
        </w:rPr>
      </w:pPr>
      <w:r>
        <w:rPr>
          <w:rStyle w:val="FootnoteReference"/>
        </w:rPr>
        <w:footnoteRef/>
      </w:r>
      <w:r w:rsidRPr="00FB2074">
        <w:rPr>
          <w:lang w:val="et-EE"/>
        </w:rPr>
        <w:t xml:space="preserve"> </w:t>
      </w:r>
      <w:r w:rsidRPr="00847393">
        <w:rPr>
          <w:lang w:val="et-EE"/>
        </w:rPr>
        <w:t>Teraviljast toodetud  tooted on tagasi arvutatud teravilja ekvivalendiks ehk  ümber arvutatud teraks.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0E1" w:rsidRDefault="004E60E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9289192"/>
      <w:docPartObj>
        <w:docPartGallery w:val="Page Numbers (Top of Page)"/>
        <w:docPartUnique/>
      </w:docPartObj>
    </w:sdtPr>
    <w:sdtEndPr/>
    <w:sdtContent>
      <w:p w:rsidR="00A514C0" w:rsidRDefault="00A514C0">
        <w:pPr>
          <w:pStyle w:val="Header"/>
          <w:jc w:val="center"/>
        </w:pPr>
        <w:r>
          <w:fldChar w:fldCharType="begin"/>
        </w:r>
        <w:r>
          <w:instrText>PAGE   \* MERGEFORMAT</w:instrText>
        </w:r>
        <w:r>
          <w:fldChar w:fldCharType="separate"/>
        </w:r>
        <w:r w:rsidR="004E60E1">
          <w:rPr>
            <w:noProof/>
          </w:rPr>
          <w:t>71</w:t>
        </w:r>
        <w:r>
          <w:fldChar w:fldCharType="end"/>
        </w:r>
      </w:p>
    </w:sdtContent>
  </w:sdt>
  <w:p w:rsidR="00A514C0" w:rsidRDefault="00A514C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0E1" w:rsidRDefault="004E60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27F31"/>
    <w:multiLevelType w:val="hybridMultilevel"/>
    <w:tmpl w:val="9E26B5E6"/>
    <w:lvl w:ilvl="0" w:tplc="04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nsid w:val="02231F46"/>
    <w:multiLevelType w:val="hybridMultilevel"/>
    <w:tmpl w:val="ECF0521C"/>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nsid w:val="02A9356C"/>
    <w:multiLevelType w:val="hybridMultilevel"/>
    <w:tmpl w:val="386AA7D8"/>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nsid w:val="02AD5A0C"/>
    <w:multiLevelType w:val="hybridMultilevel"/>
    <w:tmpl w:val="9910A0E6"/>
    <w:lvl w:ilvl="0" w:tplc="04250015">
      <w:start w:val="1"/>
      <w:numFmt w:val="upperLetter"/>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nsid w:val="050710C3"/>
    <w:multiLevelType w:val="hybridMultilevel"/>
    <w:tmpl w:val="A8565462"/>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nsid w:val="085851AA"/>
    <w:multiLevelType w:val="hybridMultilevel"/>
    <w:tmpl w:val="5E5679F0"/>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nsid w:val="09B40131"/>
    <w:multiLevelType w:val="hybridMultilevel"/>
    <w:tmpl w:val="EB281EA6"/>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nsid w:val="0AB739DF"/>
    <w:multiLevelType w:val="hybridMultilevel"/>
    <w:tmpl w:val="A6B88E54"/>
    <w:lvl w:ilvl="0" w:tplc="04250019">
      <w:start w:val="1"/>
      <w:numFmt w:val="lowerLetter"/>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nsid w:val="0B66797B"/>
    <w:multiLevelType w:val="hybridMultilevel"/>
    <w:tmpl w:val="6EA41172"/>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nsid w:val="0F7522C0"/>
    <w:multiLevelType w:val="hybridMultilevel"/>
    <w:tmpl w:val="C4C8D7B0"/>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nsid w:val="18F77874"/>
    <w:multiLevelType w:val="hybridMultilevel"/>
    <w:tmpl w:val="56882FC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nsid w:val="215735E7"/>
    <w:multiLevelType w:val="multilevel"/>
    <w:tmpl w:val="C5643D70"/>
    <w:lvl w:ilvl="0">
      <w:start w:val="1"/>
      <w:numFmt w:val="decimal"/>
      <w:lvlText w:val="%1"/>
      <w:lvlJc w:val="left"/>
      <w:pPr>
        <w:ind w:left="432" w:hanging="432"/>
      </w:pPr>
    </w:lvl>
    <w:lvl w:ilvl="1">
      <w:start w:val="1"/>
      <w:numFmt w:val="decimal"/>
      <w:lvlText w:val="%1.%2"/>
      <w:lvlJc w:val="left"/>
      <w:pPr>
        <w:ind w:left="3128" w:hanging="576"/>
      </w:pPr>
    </w:lvl>
    <w:lvl w:ilvl="2">
      <w:start w:val="1"/>
      <w:numFmt w:val="decimal"/>
      <w:lvlText w:val="%1.%2.%3"/>
      <w:lvlJc w:val="left"/>
      <w:pPr>
        <w:ind w:left="720" w:hanging="720"/>
      </w:pPr>
      <w:rPr>
        <w:u w:val="none"/>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21D81210"/>
    <w:multiLevelType w:val="hybridMultilevel"/>
    <w:tmpl w:val="5A0CFDF2"/>
    <w:lvl w:ilvl="0" w:tplc="0425000D">
      <w:start w:val="1"/>
      <w:numFmt w:val="bullet"/>
      <w:lvlText w:val=""/>
      <w:lvlJc w:val="left"/>
      <w:pPr>
        <w:ind w:left="1065" w:hanging="360"/>
      </w:pPr>
      <w:rPr>
        <w:rFonts w:ascii="Wingdings" w:hAnsi="Wingdings" w:hint="default"/>
      </w:rPr>
    </w:lvl>
    <w:lvl w:ilvl="1" w:tplc="04250003" w:tentative="1">
      <w:start w:val="1"/>
      <w:numFmt w:val="bullet"/>
      <w:lvlText w:val="o"/>
      <w:lvlJc w:val="left"/>
      <w:pPr>
        <w:ind w:left="1785" w:hanging="360"/>
      </w:pPr>
      <w:rPr>
        <w:rFonts w:ascii="Courier New" w:hAnsi="Courier New" w:cs="Courier New" w:hint="default"/>
      </w:rPr>
    </w:lvl>
    <w:lvl w:ilvl="2" w:tplc="04250005" w:tentative="1">
      <w:start w:val="1"/>
      <w:numFmt w:val="bullet"/>
      <w:lvlText w:val=""/>
      <w:lvlJc w:val="left"/>
      <w:pPr>
        <w:ind w:left="2505" w:hanging="360"/>
      </w:pPr>
      <w:rPr>
        <w:rFonts w:ascii="Wingdings" w:hAnsi="Wingdings" w:hint="default"/>
      </w:rPr>
    </w:lvl>
    <w:lvl w:ilvl="3" w:tplc="04250001" w:tentative="1">
      <w:start w:val="1"/>
      <w:numFmt w:val="bullet"/>
      <w:lvlText w:val=""/>
      <w:lvlJc w:val="left"/>
      <w:pPr>
        <w:ind w:left="3225" w:hanging="360"/>
      </w:pPr>
      <w:rPr>
        <w:rFonts w:ascii="Symbol" w:hAnsi="Symbol" w:hint="default"/>
      </w:rPr>
    </w:lvl>
    <w:lvl w:ilvl="4" w:tplc="04250003" w:tentative="1">
      <w:start w:val="1"/>
      <w:numFmt w:val="bullet"/>
      <w:lvlText w:val="o"/>
      <w:lvlJc w:val="left"/>
      <w:pPr>
        <w:ind w:left="3945" w:hanging="360"/>
      </w:pPr>
      <w:rPr>
        <w:rFonts w:ascii="Courier New" w:hAnsi="Courier New" w:cs="Courier New" w:hint="default"/>
      </w:rPr>
    </w:lvl>
    <w:lvl w:ilvl="5" w:tplc="04250005" w:tentative="1">
      <w:start w:val="1"/>
      <w:numFmt w:val="bullet"/>
      <w:lvlText w:val=""/>
      <w:lvlJc w:val="left"/>
      <w:pPr>
        <w:ind w:left="4665" w:hanging="360"/>
      </w:pPr>
      <w:rPr>
        <w:rFonts w:ascii="Wingdings" w:hAnsi="Wingdings" w:hint="default"/>
      </w:rPr>
    </w:lvl>
    <w:lvl w:ilvl="6" w:tplc="04250001" w:tentative="1">
      <w:start w:val="1"/>
      <w:numFmt w:val="bullet"/>
      <w:lvlText w:val=""/>
      <w:lvlJc w:val="left"/>
      <w:pPr>
        <w:ind w:left="5385" w:hanging="360"/>
      </w:pPr>
      <w:rPr>
        <w:rFonts w:ascii="Symbol" w:hAnsi="Symbol" w:hint="default"/>
      </w:rPr>
    </w:lvl>
    <w:lvl w:ilvl="7" w:tplc="04250003" w:tentative="1">
      <w:start w:val="1"/>
      <w:numFmt w:val="bullet"/>
      <w:lvlText w:val="o"/>
      <w:lvlJc w:val="left"/>
      <w:pPr>
        <w:ind w:left="6105" w:hanging="360"/>
      </w:pPr>
      <w:rPr>
        <w:rFonts w:ascii="Courier New" w:hAnsi="Courier New" w:cs="Courier New" w:hint="default"/>
      </w:rPr>
    </w:lvl>
    <w:lvl w:ilvl="8" w:tplc="04250005" w:tentative="1">
      <w:start w:val="1"/>
      <w:numFmt w:val="bullet"/>
      <w:lvlText w:val=""/>
      <w:lvlJc w:val="left"/>
      <w:pPr>
        <w:ind w:left="6825" w:hanging="360"/>
      </w:pPr>
      <w:rPr>
        <w:rFonts w:ascii="Wingdings" w:hAnsi="Wingdings" w:hint="default"/>
      </w:rPr>
    </w:lvl>
  </w:abstractNum>
  <w:abstractNum w:abstractNumId="13">
    <w:nsid w:val="221115A1"/>
    <w:multiLevelType w:val="hybridMultilevel"/>
    <w:tmpl w:val="0130CD86"/>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nsid w:val="237C7F21"/>
    <w:multiLevelType w:val="hybridMultilevel"/>
    <w:tmpl w:val="F55EC4A2"/>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nsid w:val="23831DFC"/>
    <w:multiLevelType w:val="hybridMultilevel"/>
    <w:tmpl w:val="0FE8B98C"/>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nsid w:val="2A2632C7"/>
    <w:multiLevelType w:val="hybridMultilevel"/>
    <w:tmpl w:val="8D102A36"/>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nsid w:val="2A4130AC"/>
    <w:multiLevelType w:val="hybridMultilevel"/>
    <w:tmpl w:val="103ABEB6"/>
    <w:lvl w:ilvl="0" w:tplc="53EE3B16">
      <w:numFmt w:val="bullet"/>
      <w:lvlText w:val="-"/>
      <w:lvlJc w:val="left"/>
      <w:pPr>
        <w:ind w:left="1080" w:hanging="720"/>
      </w:pPr>
      <w:rPr>
        <w:rFonts w:ascii="Times New Roman" w:eastAsiaTheme="minorEastAsia"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nsid w:val="307122EA"/>
    <w:multiLevelType w:val="hybridMultilevel"/>
    <w:tmpl w:val="54DAC49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nsid w:val="3F9D2CC4"/>
    <w:multiLevelType w:val="hybridMultilevel"/>
    <w:tmpl w:val="3426F93A"/>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nsid w:val="44EC46DF"/>
    <w:multiLevelType w:val="hybridMultilevel"/>
    <w:tmpl w:val="54BC1444"/>
    <w:lvl w:ilvl="0" w:tplc="0425000B">
      <w:start w:val="1"/>
      <w:numFmt w:val="bullet"/>
      <w:lvlText w:val=""/>
      <w:lvlJc w:val="left"/>
      <w:pPr>
        <w:ind w:left="360" w:hanging="360"/>
      </w:pPr>
      <w:rPr>
        <w:rFonts w:ascii="Wingdings" w:hAnsi="Wingding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1">
    <w:nsid w:val="46F56136"/>
    <w:multiLevelType w:val="hybridMultilevel"/>
    <w:tmpl w:val="2F961E72"/>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nsid w:val="480237EE"/>
    <w:multiLevelType w:val="hybridMultilevel"/>
    <w:tmpl w:val="BF4E92C4"/>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nsid w:val="48662772"/>
    <w:multiLevelType w:val="hybridMultilevel"/>
    <w:tmpl w:val="E414651A"/>
    <w:lvl w:ilvl="0" w:tplc="04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nsid w:val="4AC2428D"/>
    <w:multiLevelType w:val="multilevel"/>
    <w:tmpl w:val="9A2C2C88"/>
    <w:lvl w:ilvl="0">
      <w:start w:val="1"/>
      <w:numFmt w:val="decimal"/>
      <w:lvlText w:val="%1."/>
      <w:lvlJc w:val="left"/>
      <w:pPr>
        <w:ind w:left="720" w:hanging="360"/>
      </w:pPr>
      <w:rPr>
        <w:b/>
        <w:sz w:val="32"/>
        <w:szCs w:val="32"/>
      </w:rPr>
    </w:lvl>
    <w:lvl w:ilvl="1">
      <w:start w:val="1"/>
      <w:numFmt w:val="decimal"/>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4B096DC9"/>
    <w:multiLevelType w:val="hybridMultilevel"/>
    <w:tmpl w:val="B518F81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6">
    <w:nsid w:val="4B676444"/>
    <w:multiLevelType w:val="hybridMultilevel"/>
    <w:tmpl w:val="81B69642"/>
    <w:lvl w:ilvl="0" w:tplc="0409000F">
      <w:start w:val="1"/>
      <w:numFmt w:val="decimal"/>
      <w:lvlText w:val="%1."/>
      <w:lvlJc w:val="left"/>
      <w:pPr>
        <w:tabs>
          <w:tab w:val="num" w:pos="720"/>
        </w:tabs>
        <w:ind w:left="720" w:hanging="360"/>
      </w:p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27">
    <w:nsid w:val="4C1573FF"/>
    <w:multiLevelType w:val="hybridMultilevel"/>
    <w:tmpl w:val="A1060D22"/>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nsid w:val="4CF227D7"/>
    <w:multiLevelType w:val="hybridMultilevel"/>
    <w:tmpl w:val="398C02D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nsid w:val="4E0D12F2"/>
    <w:multiLevelType w:val="hybridMultilevel"/>
    <w:tmpl w:val="F4363C4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0">
    <w:nsid w:val="4E4E5A3D"/>
    <w:multiLevelType w:val="hybridMultilevel"/>
    <w:tmpl w:val="4CC6DAD0"/>
    <w:lvl w:ilvl="0" w:tplc="04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nsid w:val="58CA7763"/>
    <w:multiLevelType w:val="hybridMultilevel"/>
    <w:tmpl w:val="A72019CA"/>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2">
    <w:nsid w:val="5909648F"/>
    <w:multiLevelType w:val="hybridMultilevel"/>
    <w:tmpl w:val="4028AFA2"/>
    <w:lvl w:ilvl="0" w:tplc="BF28D962">
      <w:start w:val="1"/>
      <w:numFmt w:val="decimal"/>
      <w:lvlText w:val="%1."/>
      <w:lvlJc w:val="left"/>
      <w:pPr>
        <w:ind w:left="720" w:hanging="360"/>
      </w:pPr>
      <w:rPr>
        <w:b/>
      </w:rPr>
    </w:lvl>
    <w:lvl w:ilvl="1" w:tplc="0425000F">
      <w:start w:val="1"/>
      <w:numFmt w:val="decimal"/>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3">
    <w:nsid w:val="5CBE2A21"/>
    <w:multiLevelType w:val="hybridMultilevel"/>
    <w:tmpl w:val="FE6884E6"/>
    <w:lvl w:ilvl="0" w:tplc="0FC43AC4">
      <w:start w:val="1"/>
      <w:numFmt w:val="bullet"/>
      <w:lvlText w:val=""/>
      <w:lvlJc w:val="left"/>
      <w:pPr>
        <w:ind w:left="6120" w:hanging="360"/>
      </w:pPr>
      <w:rPr>
        <w:rFonts w:ascii="Symbol" w:hAnsi="Symbol" w:hint="default"/>
        <w:sz w:val="18"/>
        <w:szCs w:val="18"/>
      </w:rPr>
    </w:lvl>
    <w:lvl w:ilvl="1" w:tplc="04250003" w:tentative="1">
      <w:start w:val="1"/>
      <w:numFmt w:val="bullet"/>
      <w:lvlText w:val="o"/>
      <w:lvlJc w:val="left"/>
      <w:pPr>
        <w:ind w:left="6840" w:hanging="360"/>
      </w:pPr>
      <w:rPr>
        <w:rFonts w:ascii="Courier New" w:hAnsi="Courier New" w:cs="Courier New" w:hint="default"/>
      </w:rPr>
    </w:lvl>
    <w:lvl w:ilvl="2" w:tplc="04250005" w:tentative="1">
      <w:start w:val="1"/>
      <w:numFmt w:val="bullet"/>
      <w:lvlText w:val=""/>
      <w:lvlJc w:val="left"/>
      <w:pPr>
        <w:ind w:left="7560" w:hanging="360"/>
      </w:pPr>
      <w:rPr>
        <w:rFonts w:ascii="Wingdings" w:hAnsi="Wingdings" w:hint="default"/>
      </w:rPr>
    </w:lvl>
    <w:lvl w:ilvl="3" w:tplc="04250001" w:tentative="1">
      <w:start w:val="1"/>
      <w:numFmt w:val="bullet"/>
      <w:lvlText w:val=""/>
      <w:lvlJc w:val="left"/>
      <w:pPr>
        <w:ind w:left="8280" w:hanging="360"/>
      </w:pPr>
      <w:rPr>
        <w:rFonts w:ascii="Symbol" w:hAnsi="Symbol" w:hint="default"/>
      </w:rPr>
    </w:lvl>
    <w:lvl w:ilvl="4" w:tplc="04250003" w:tentative="1">
      <w:start w:val="1"/>
      <w:numFmt w:val="bullet"/>
      <w:lvlText w:val="o"/>
      <w:lvlJc w:val="left"/>
      <w:pPr>
        <w:ind w:left="9000" w:hanging="360"/>
      </w:pPr>
      <w:rPr>
        <w:rFonts w:ascii="Courier New" w:hAnsi="Courier New" w:cs="Courier New" w:hint="default"/>
      </w:rPr>
    </w:lvl>
    <w:lvl w:ilvl="5" w:tplc="04250005" w:tentative="1">
      <w:start w:val="1"/>
      <w:numFmt w:val="bullet"/>
      <w:lvlText w:val=""/>
      <w:lvlJc w:val="left"/>
      <w:pPr>
        <w:ind w:left="9720" w:hanging="360"/>
      </w:pPr>
      <w:rPr>
        <w:rFonts w:ascii="Wingdings" w:hAnsi="Wingdings" w:hint="default"/>
      </w:rPr>
    </w:lvl>
    <w:lvl w:ilvl="6" w:tplc="04250001" w:tentative="1">
      <w:start w:val="1"/>
      <w:numFmt w:val="bullet"/>
      <w:lvlText w:val=""/>
      <w:lvlJc w:val="left"/>
      <w:pPr>
        <w:ind w:left="10440" w:hanging="360"/>
      </w:pPr>
      <w:rPr>
        <w:rFonts w:ascii="Symbol" w:hAnsi="Symbol" w:hint="default"/>
      </w:rPr>
    </w:lvl>
    <w:lvl w:ilvl="7" w:tplc="04250003" w:tentative="1">
      <w:start w:val="1"/>
      <w:numFmt w:val="bullet"/>
      <w:lvlText w:val="o"/>
      <w:lvlJc w:val="left"/>
      <w:pPr>
        <w:ind w:left="11160" w:hanging="360"/>
      </w:pPr>
      <w:rPr>
        <w:rFonts w:ascii="Courier New" w:hAnsi="Courier New" w:cs="Courier New" w:hint="default"/>
      </w:rPr>
    </w:lvl>
    <w:lvl w:ilvl="8" w:tplc="04250005" w:tentative="1">
      <w:start w:val="1"/>
      <w:numFmt w:val="bullet"/>
      <w:lvlText w:val=""/>
      <w:lvlJc w:val="left"/>
      <w:pPr>
        <w:ind w:left="11880" w:hanging="360"/>
      </w:pPr>
      <w:rPr>
        <w:rFonts w:ascii="Wingdings" w:hAnsi="Wingdings" w:hint="default"/>
      </w:rPr>
    </w:lvl>
  </w:abstractNum>
  <w:abstractNum w:abstractNumId="34">
    <w:nsid w:val="60393769"/>
    <w:multiLevelType w:val="hybridMultilevel"/>
    <w:tmpl w:val="FC34E422"/>
    <w:lvl w:ilvl="0" w:tplc="0425000F">
      <w:start w:val="1"/>
      <w:numFmt w:val="decimal"/>
      <w:lvlText w:val="%1."/>
      <w:lvlJc w:val="left"/>
      <w:pPr>
        <w:tabs>
          <w:tab w:val="num" w:pos="720"/>
        </w:tabs>
        <w:ind w:left="720" w:hanging="360"/>
      </w:pPr>
      <w:rPr>
        <w:rFonts w:hint="default"/>
      </w:rPr>
    </w:lvl>
    <w:lvl w:ilvl="1" w:tplc="31C0FA04" w:tentative="1">
      <w:start w:val="1"/>
      <w:numFmt w:val="bullet"/>
      <w:lvlText w:val=""/>
      <w:lvlJc w:val="left"/>
      <w:pPr>
        <w:tabs>
          <w:tab w:val="num" w:pos="1440"/>
        </w:tabs>
        <w:ind w:left="1440" w:hanging="360"/>
      </w:pPr>
      <w:rPr>
        <w:rFonts w:ascii="Wingdings" w:hAnsi="Wingdings" w:hint="default"/>
      </w:rPr>
    </w:lvl>
    <w:lvl w:ilvl="2" w:tplc="254C413C" w:tentative="1">
      <w:start w:val="1"/>
      <w:numFmt w:val="bullet"/>
      <w:lvlText w:val=""/>
      <w:lvlJc w:val="left"/>
      <w:pPr>
        <w:tabs>
          <w:tab w:val="num" w:pos="2160"/>
        </w:tabs>
        <w:ind w:left="2160" w:hanging="360"/>
      </w:pPr>
      <w:rPr>
        <w:rFonts w:ascii="Wingdings" w:hAnsi="Wingdings" w:hint="default"/>
      </w:rPr>
    </w:lvl>
    <w:lvl w:ilvl="3" w:tplc="E8140CD4" w:tentative="1">
      <w:start w:val="1"/>
      <w:numFmt w:val="bullet"/>
      <w:lvlText w:val=""/>
      <w:lvlJc w:val="left"/>
      <w:pPr>
        <w:tabs>
          <w:tab w:val="num" w:pos="2880"/>
        </w:tabs>
        <w:ind w:left="2880" w:hanging="360"/>
      </w:pPr>
      <w:rPr>
        <w:rFonts w:ascii="Wingdings" w:hAnsi="Wingdings" w:hint="default"/>
      </w:rPr>
    </w:lvl>
    <w:lvl w:ilvl="4" w:tplc="7C2286D4" w:tentative="1">
      <w:start w:val="1"/>
      <w:numFmt w:val="bullet"/>
      <w:lvlText w:val=""/>
      <w:lvlJc w:val="left"/>
      <w:pPr>
        <w:tabs>
          <w:tab w:val="num" w:pos="3600"/>
        </w:tabs>
        <w:ind w:left="3600" w:hanging="360"/>
      </w:pPr>
      <w:rPr>
        <w:rFonts w:ascii="Wingdings" w:hAnsi="Wingdings" w:hint="default"/>
      </w:rPr>
    </w:lvl>
    <w:lvl w:ilvl="5" w:tplc="D70C8148" w:tentative="1">
      <w:start w:val="1"/>
      <w:numFmt w:val="bullet"/>
      <w:lvlText w:val=""/>
      <w:lvlJc w:val="left"/>
      <w:pPr>
        <w:tabs>
          <w:tab w:val="num" w:pos="4320"/>
        </w:tabs>
        <w:ind w:left="4320" w:hanging="360"/>
      </w:pPr>
      <w:rPr>
        <w:rFonts w:ascii="Wingdings" w:hAnsi="Wingdings" w:hint="default"/>
      </w:rPr>
    </w:lvl>
    <w:lvl w:ilvl="6" w:tplc="1618ECDC" w:tentative="1">
      <w:start w:val="1"/>
      <w:numFmt w:val="bullet"/>
      <w:lvlText w:val=""/>
      <w:lvlJc w:val="left"/>
      <w:pPr>
        <w:tabs>
          <w:tab w:val="num" w:pos="5040"/>
        </w:tabs>
        <w:ind w:left="5040" w:hanging="360"/>
      </w:pPr>
      <w:rPr>
        <w:rFonts w:ascii="Wingdings" w:hAnsi="Wingdings" w:hint="default"/>
      </w:rPr>
    </w:lvl>
    <w:lvl w:ilvl="7" w:tplc="4BEC0ABE" w:tentative="1">
      <w:start w:val="1"/>
      <w:numFmt w:val="bullet"/>
      <w:lvlText w:val=""/>
      <w:lvlJc w:val="left"/>
      <w:pPr>
        <w:tabs>
          <w:tab w:val="num" w:pos="5760"/>
        </w:tabs>
        <w:ind w:left="5760" w:hanging="360"/>
      </w:pPr>
      <w:rPr>
        <w:rFonts w:ascii="Wingdings" w:hAnsi="Wingdings" w:hint="default"/>
      </w:rPr>
    </w:lvl>
    <w:lvl w:ilvl="8" w:tplc="839CA132" w:tentative="1">
      <w:start w:val="1"/>
      <w:numFmt w:val="bullet"/>
      <w:lvlText w:val=""/>
      <w:lvlJc w:val="left"/>
      <w:pPr>
        <w:tabs>
          <w:tab w:val="num" w:pos="6480"/>
        </w:tabs>
        <w:ind w:left="6480" w:hanging="360"/>
      </w:pPr>
      <w:rPr>
        <w:rFonts w:ascii="Wingdings" w:hAnsi="Wingdings" w:hint="default"/>
      </w:rPr>
    </w:lvl>
  </w:abstractNum>
  <w:abstractNum w:abstractNumId="35">
    <w:nsid w:val="63D40BDD"/>
    <w:multiLevelType w:val="hybridMultilevel"/>
    <w:tmpl w:val="94FC1370"/>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nsid w:val="68C05BEA"/>
    <w:multiLevelType w:val="hybridMultilevel"/>
    <w:tmpl w:val="A3604202"/>
    <w:lvl w:ilvl="0" w:tplc="0425000F">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91C1364"/>
    <w:multiLevelType w:val="hybridMultilevel"/>
    <w:tmpl w:val="3EBC14B2"/>
    <w:lvl w:ilvl="0" w:tplc="0425000D">
      <w:start w:val="1"/>
      <w:numFmt w:val="bullet"/>
      <w:lvlText w:val=""/>
      <w:lvlJc w:val="left"/>
      <w:pPr>
        <w:tabs>
          <w:tab w:val="num" w:pos="780"/>
        </w:tabs>
        <w:ind w:left="780" w:hanging="360"/>
      </w:pPr>
      <w:rPr>
        <w:rFonts w:ascii="Wingdings" w:hAnsi="Wingdings" w:hint="default"/>
      </w:rPr>
    </w:lvl>
    <w:lvl w:ilvl="1" w:tplc="04250003" w:tentative="1">
      <w:start w:val="1"/>
      <w:numFmt w:val="bullet"/>
      <w:lvlText w:val="o"/>
      <w:lvlJc w:val="left"/>
      <w:pPr>
        <w:tabs>
          <w:tab w:val="num" w:pos="1500"/>
        </w:tabs>
        <w:ind w:left="1500" w:hanging="360"/>
      </w:pPr>
      <w:rPr>
        <w:rFonts w:ascii="Courier New" w:hAnsi="Courier New" w:cs="Courier New" w:hint="default"/>
      </w:rPr>
    </w:lvl>
    <w:lvl w:ilvl="2" w:tplc="04250005" w:tentative="1">
      <w:start w:val="1"/>
      <w:numFmt w:val="bullet"/>
      <w:lvlText w:val=""/>
      <w:lvlJc w:val="left"/>
      <w:pPr>
        <w:tabs>
          <w:tab w:val="num" w:pos="2220"/>
        </w:tabs>
        <w:ind w:left="2220" w:hanging="360"/>
      </w:pPr>
      <w:rPr>
        <w:rFonts w:ascii="Wingdings" w:hAnsi="Wingdings" w:hint="default"/>
      </w:rPr>
    </w:lvl>
    <w:lvl w:ilvl="3" w:tplc="04250001" w:tentative="1">
      <w:start w:val="1"/>
      <w:numFmt w:val="bullet"/>
      <w:lvlText w:val=""/>
      <w:lvlJc w:val="left"/>
      <w:pPr>
        <w:tabs>
          <w:tab w:val="num" w:pos="2940"/>
        </w:tabs>
        <w:ind w:left="2940" w:hanging="360"/>
      </w:pPr>
      <w:rPr>
        <w:rFonts w:ascii="Symbol" w:hAnsi="Symbol" w:hint="default"/>
      </w:rPr>
    </w:lvl>
    <w:lvl w:ilvl="4" w:tplc="04250003" w:tentative="1">
      <w:start w:val="1"/>
      <w:numFmt w:val="bullet"/>
      <w:lvlText w:val="o"/>
      <w:lvlJc w:val="left"/>
      <w:pPr>
        <w:tabs>
          <w:tab w:val="num" w:pos="3660"/>
        </w:tabs>
        <w:ind w:left="3660" w:hanging="360"/>
      </w:pPr>
      <w:rPr>
        <w:rFonts w:ascii="Courier New" w:hAnsi="Courier New" w:cs="Courier New" w:hint="default"/>
      </w:rPr>
    </w:lvl>
    <w:lvl w:ilvl="5" w:tplc="04250005" w:tentative="1">
      <w:start w:val="1"/>
      <w:numFmt w:val="bullet"/>
      <w:lvlText w:val=""/>
      <w:lvlJc w:val="left"/>
      <w:pPr>
        <w:tabs>
          <w:tab w:val="num" w:pos="4380"/>
        </w:tabs>
        <w:ind w:left="4380" w:hanging="360"/>
      </w:pPr>
      <w:rPr>
        <w:rFonts w:ascii="Wingdings" w:hAnsi="Wingdings" w:hint="default"/>
      </w:rPr>
    </w:lvl>
    <w:lvl w:ilvl="6" w:tplc="04250001" w:tentative="1">
      <w:start w:val="1"/>
      <w:numFmt w:val="bullet"/>
      <w:lvlText w:val=""/>
      <w:lvlJc w:val="left"/>
      <w:pPr>
        <w:tabs>
          <w:tab w:val="num" w:pos="5100"/>
        </w:tabs>
        <w:ind w:left="5100" w:hanging="360"/>
      </w:pPr>
      <w:rPr>
        <w:rFonts w:ascii="Symbol" w:hAnsi="Symbol" w:hint="default"/>
      </w:rPr>
    </w:lvl>
    <w:lvl w:ilvl="7" w:tplc="04250003" w:tentative="1">
      <w:start w:val="1"/>
      <w:numFmt w:val="bullet"/>
      <w:lvlText w:val="o"/>
      <w:lvlJc w:val="left"/>
      <w:pPr>
        <w:tabs>
          <w:tab w:val="num" w:pos="5820"/>
        </w:tabs>
        <w:ind w:left="5820" w:hanging="360"/>
      </w:pPr>
      <w:rPr>
        <w:rFonts w:ascii="Courier New" w:hAnsi="Courier New" w:cs="Courier New" w:hint="default"/>
      </w:rPr>
    </w:lvl>
    <w:lvl w:ilvl="8" w:tplc="04250005" w:tentative="1">
      <w:start w:val="1"/>
      <w:numFmt w:val="bullet"/>
      <w:lvlText w:val=""/>
      <w:lvlJc w:val="left"/>
      <w:pPr>
        <w:tabs>
          <w:tab w:val="num" w:pos="6540"/>
        </w:tabs>
        <w:ind w:left="6540" w:hanging="360"/>
      </w:pPr>
      <w:rPr>
        <w:rFonts w:ascii="Wingdings" w:hAnsi="Wingdings" w:hint="default"/>
      </w:rPr>
    </w:lvl>
  </w:abstractNum>
  <w:abstractNum w:abstractNumId="38">
    <w:nsid w:val="6D331526"/>
    <w:multiLevelType w:val="hybridMultilevel"/>
    <w:tmpl w:val="028857BC"/>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nsid w:val="6DCB43F8"/>
    <w:multiLevelType w:val="multilevel"/>
    <w:tmpl w:val="6BF0605E"/>
    <w:lvl w:ilvl="0">
      <w:start w:val="1"/>
      <w:numFmt w:val="decimal"/>
      <w:lvlText w:val="%1."/>
      <w:lvlJc w:val="left"/>
      <w:pPr>
        <w:ind w:left="720"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0">
    <w:nsid w:val="6DF058BF"/>
    <w:multiLevelType w:val="hybridMultilevel"/>
    <w:tmpl w:val="A3604202"/>
    <w:lvl w:ilvl="0" w:tplc="0425000F">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7537D96"/>
    <w:multiLevelType w:val="hybridMultilevel"/>
    <w:tmpl w:val="7808359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2">
    <w:nsid w:val="789D02C3"/>
    <w:multiLevelType w:val="hybridMultilevel"/>
    <w:tmpl w:val="59AC877E"/>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3">
    <w:nsid w:val="7AC76EBB"/>
    <w:multiLevelType w:val="hybridMultilevel"/>
    <w:tmpl w:val="B22E3EC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4">
    <w:nsid w:val="7BEA1382"/>
    <w:multiLevelType w:val="hybridMultilevel"/>
    <w:tmpl w:val="06BE285A"/>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5">
    <w:nsid w:val="7F4D112B"/>
    <w:multiLevelType w:val="hybridMultilevel"/>
    <w:tmpl w:val="2CAE57C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11"/>
  </w:num>
  <w:num w:numId="2">
    <w:abstractNumId w:val="10"/>
  </w:num>
  <w:num w:numId="3">
    <w:abstractNumId w:val="40"/>
  </w:num>
  <w:num w:numId="4">
    <w:abstractNumId w:val="18"/>
  </w:num>
  <w:num w:numId="5">
    <w:abstractNumId w:val="34"/>
  </w:num>
  <w:num w:numId="6">
    <w:abstractNumId w:val="36"/>
  </w:num>
  <w:num w:numId="7">
    <w:abstractNumId w:val="37"/>
  </w:num>
  <w:num w:numId="8">
    <w:abstractNumId w:val="32"/>
  </w:num>
  <w:num w:numId="9">
    <w:abstractNumId w:val="6"/>
  </w:num>
  <w:num w:numId="10">
    <w:abstractNumId w:val="1"/>
  </w:num>
  <w:num w:numId="11">
    <w:abstractNumId w:val="9"/>
  </w:num>
  <w:num w:numId="12">
    <w:abstractNumId w:val="44"/>
  </w:num>
  <w:num w:numId="13">
    <w:abstractNumId w:val="20"/>
  </w:num>
  <w:num w:numId="14">
    <w:abstractNumId w:val="28"/>
  </w:num>
  <w:num w:numId="15">
    <w:abstractNumId w:val="19"/>
  </w:num>
  <w:num w:numId="16">
    <w:abstractNumId w:val="12"/>
  </w:num>
  <w:num w:numId="17">
    <w:abstractNumId w:val="16"/>
  </w:num>
  <w:num w:numId="18">
    <w:abstractNumId w:val="38"/>
  </w:num>
  <w:num w:numId="19">
    <w:abstractNumId w:val="2"/>
  </w:num>
  <w:num w:numId="20">
    <w:abstractNumId w:val="35"/>
  </w:num>
  <w:num w:numId="21">
    <w:abstractNumId w:val="27"/>
  </w:num>
  <w:num w:numId="22">
    <w:abstractNumId w:val="22"/>
  </w:num>
  <w:num w:numId="23">
    <w:abstractNumId w:val="26"/>
  </w:num>
  <w:num w:numId="24">
    <w:abstractNumId w:val="15"/>
  </w:num>
  <w:num w:numId="25">
    <w:abstractNumId w:val="42"/>
  </w:num>
  <w:num w:numId="26">
    <w:abstractNumId w:val="21"/>
  </w:num>
  <w:num w:numId="27">
    <w:abstractNumId w:val="45"/>
  </w:num>
  <w:num w:numId="28">
    <w:abstractNumId w:val="23"/>
  </w:num>
  <w:num w:numId="29">
    <w:abstractNumId w:val="0"/>
  </w:num>
  <w:num w:numId="30">
    <w:abstractNumId w:val="41"/>
  </w:num>
  <w:num w:numId="31">
    <w:abstractNumId w:val="30"/>
  </w:num>
  <w:num w:numId="32">
    <w:abstractNumId w:val="4"/>
  </w:num>
  <w:num w:numId="33">
    <w:abstractNumId w:val="14"/>
  </w:num>
  <w:num w:numId="34">
    <w:abstractNumId w:val="13"/>
  </w:num>
  <w:num w:numId="35">
    <w:abstractNumId w:val="39"/>
  </w:num>
  <w:num w:numId="36">
    <w:abstractNumId w:val="43"/>
  </w:num>
  <w:num w:numId="37">
    <w:abstractNumId w:val="25"/>
  </w:num>
  <w:num w:numId="38">
    <w:abstractNumId w:val="29"/>
  </w:num>
  <w:num w:numId="39">
    <w:abstractNumId w:val="33"/>
  </w:num>
  <w:num w:numId="40">
    <w:abstractNumId w:val="5"/>
  </w:num>
  <w:num w:numId="41">
    <w:abstractNumId w:val="7"/>
  </w:num>
  <w:num w:numId="42">
    <w:abstractNumId w:val="3"/>
  </w:num>
  <w:num w:numId="43">
    <w:abstractNumId w:val="31"/>
  </w:num>
  <w:num w:numId="44">
    <w:abstractNumId w:val="24"/>
  </w:num>
  <w:num w:numId="45">
    <w:abstractNumId w:val="8"/>
  </w:num>
  <w:num w:numId="46">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DC0"/>
    <w:rsid w:val="00000B26"/>
    <w:rsid w:val="0000265E"/>
    <w:rsid w:val="00003821"/>
    <w:rsid w:val="00003E10"/>
    <w:rsid w:val="00005314"/>
    <w:rsid w:val="0000615F"/>
    <w:rsid w:val="000063AE"/>
    <w:rsid w:val="00007B48"/>
    <w:rsid w:val="00007DC5"/>
    <w:rsid w:val="00010173"/>
    <w:rsid w:val="000115A1"/>
    <w:rsid w:val="00012103"/>
    <w:rsid w:val="00013448"/>
    <w:rsid w:val="00013944"/>
    <w:rsid w:val="0001404A"/>
    <w:rsid w:val="0001408D"/>
    <w:rsid w:val="000143AB"/>
    <w:rsid w:val="000143F5"/>
    <w:rsid w:val="00014A77"/>
    <w:rsid w:val="000155E7"/>
    <w:rsid w:val="0001612B"/>
    <w:rsid w:val="00016CE8"/>
    <w:rsid w:val="00017AE9"/>
    <w:rsid w:val="00017F25"/>
    <w:rsid w:val="00022540"/>
    <w:rsid w:val="00022608"/>
    <w:rsid w:val="000226D7"/>
    <w:rsid w:val="00022E50"/>
    <w:rsid w:val="000234B3"/>
    <w:rsid w:val="00023863"/>
    <w:rsid w:val="0002425D"/>
    <w:rsid w:val="00024B93"/>
    <w:rsid w:val="00026E85"/>
    <w:rsid w:val="0002766A"/>
    <w:rsid w:val="00027D37"/>
    <w:rsid w:val="00030493"/>
    <w:rsid w:val="0003056A"/>
    <w:rsid w:val="00031A11"/>
    <w:rsid w:val="000327DE"/>
    <w:rsid w:val="00032A66"/>
    <w:rsid w:val="00032ABB"/>
    <w:rsid w:val="00032E08"/>
    <w:rsid w:val="000336D8"/>
    <w:rsid w:val="00033DF4"/>
    <w:rsid w:val="0003425A"/>
    <w:rsid w:val="00034268"/>
    <w:rsid w:val="000344BA"/>
    <w:rsid w:val="000360FD"/>
    <w:rsid w:val="00037801"/>
    <w:rsid w:val="0003787C"/>
    <w:rsid w:val="00037EC3"/>
    <w:rsid w:val="0004029C"/>
    <w:rsid w:val="000410BC"/>
    <w:rsid w:val="000413BA"/>
    <w:rsid w:val="000423EA"/>
    <w:rsid w:val="0004309C"/>
    <w:rsid w:val="00044453"/>
    <w:rsid w:val="00044EF0"/>
    <w:rsid w:val="000459ED"/>
    <w:rsid w:val="00046414"/>
    <w:rsid w:val="00047015"/>
    <w:rsid w:val="00047B98"/>
    <w:rsid w:val="00050464"/>
    <w:rsid w:val="00050BA2"/>
    <w:rsid w:val="00050ED2"/>
    <w:rsid w:val="0005109C"/>
    <w:rsid w:val="000511EB"/>
    <w:rsid w:val="00052532"/>
    <w:rsid w:val="00052877"/>
    <w:rsid w:val="0005347E"/>
    <w:rsid w:val="00053634"/>
    <w:rsid w:val="00054207"/>
    <w:rsid w:val="00054530"/>
    <w:rsid w:val="00055224"/>
    <w:rsid w:val="00055958"/>
    <w:rsid w:val="00055BA9"/>
    <w:rsid w:val="0005684D"/>
    <w:rsid w:val="00056E0D"/>
    <w:rsid w:val="0005707A"/>
    <w:rsid w:val="0005791B"/>
    <w:rsid w:val="00057E62"/>
    <w:rsid w:val="00057F10"/>
    <w:rsid w:val="00060138"/>
    <w:rsid w:val="000602B5"/>
    <w:rsid w:val="00060C3A"/>
    <w:rsid w:val="00060F26"/>
    <w:rsid w:val="0006100A"/>
    <w:rsid w:val="000626ED"/>
    <w:rsid w:val="00062BAE"/>
    <w:rsid w:val="00063417"/>
    <w:rsid w:val="0006403B"/>
    <w:rsid w:val="0006666E"/>
    <w:rsid w:val="00066BCC"/>
    <w:rsid w:val="00066C3B"/>
    <w:rsid w:val="000675D3"/>
    <w:rsid w:val="00067CAA"/>
    <w:rsid w:val="00070DB8"/>
    <w:rsid w:val="00071317"/>
    <w:rsid w:val="000714C9"/>
    <w:rsid w:val="00071F23"/>
    <w:rsid w:val="0007244A"/>
    <w:rsid w:val="000742E7"/>
    <w:rsid w:val="00075328"/>
    <w:rsid w:val="00075388"/>
    <w:rsid w:val="00075549"/>
    <w:rsid w:val="000756E9"/>
    <w:rsid w:val="000766F1"/>
    <w:rsid w:val="00076AF7"/>
    <w:rsid w:val="0008017B"/>
    <w:rsid w:val="00080BD5"/>
    <w:rsid w:val="00080E1F"/>
    <w:rsid w:val="0008107F"/>
    <w:rsid w:val="00082AAE"/>
    <w:rsid w:val="00083A1B"/>
    <w:rsid w:val="00083CED"/>
    <w:rsid w:val="00084224"/>
    <w:rsid w:val="00086451"/>
    <w:rsid w:val="0008731B"/>
    <w:rsid w:val="000877B7"/>
    <w:rsid w:val="000878BB"/>
    <w:rsid w:val="000900A7"/>
    <w:rsid w:val="0009084D"/>
    <w:rsid w:val="00090B0F"/>
    <w:rsid w:val="00090FA5"/>
    <w:rsid w:val="0009155D"/>
    <w:rsid w:val="000919B9"/>
    <w:rsid w:val="00091D58"/>
    <w:rsid w:val="00092E2A"/>
    <w:rsid w:val="00093BDF"/>
    <w:rsid w:val="000941D5"/>
    <w:rsid w:val="000944A1"/>
    <w:rsid w:val="00094858"/>
    <w:rsid w:val="000948ED"/>
    <w:rsid w:val="00096895"/>
    <w:rsid w:val="000977E1"/>
    <w:rsid w:val="000A060A"/>
    <w:rsid w:val="000A09A3"/>
    <w:rsid w:val="000A0AF1"/>
    <w:rsid w:val="000A0D70"/>
    <w:rsid w:val="000A1165"/>
    <w:rsid w:val="000A12DA"/>
    <w:rsid w:val="000A138F"/>
    <w:rsid w:val="000A2DC2"/>
    <w:rsid w:val="000A3552"/>
    <w:rsid w:val="000A36AD"/>
    <w:rsid w:val="000A3F54"/>
    <w:rsid w:val="000A53FB"/>
    <w:rsid w:val="000A582B"/>
    <w:rsid w:val="000A599E"/>
    <w:rsid w:val="000A5FC9"/>
    <w:rsid w:val="000A617F"/>
    <w:rsid w:val="000A640F"/>
    <w:rsid w:val="000A6EEA"/>
    <w:rsid w:val="000A71E8"/>
    <w:rsid w:val="000A7632"/>
    <w:rsid w:val="000A7AD0"/>
    <w:rsid w:val="000B0797"/>
    <w:rsid w:val="000B0DC3"/>
    <w:rsid w:val="000B28E1"/>
    <w:rsid w:val="000B2F35"/>
    <w:rsid w:val="000B34A2"/>
    <w:rsid w:val="000B3883"/>
    <w:rsid w:val="000B3C9C"/>
    <w:rsid w:val="000B43F7"/>
    <w:rsid w:val="000B453B"/>
    <w:rsid w:val="000B49FD"/>
    <w:rsid w:val="000B4E29"/>
    <w:rsid w:val="000B534F"/>
    <w:rsid w:val="000B592B"/>
    <w:rsid w:val="000B5A0F"/>
    <w:rsid w:val="000B5B46"/>
    <w:rsid w:val="000B69C5"/>
    <w:rsid w:val="000B7556"/>
    <w:rsid w:val="000B7813"/>
    <w:rsid w:val="000C04BD"/>
    <w:rsid w:val="000C075D"/>
    <w:rsid w:val="000C09BC"/>
    <w:rsid w:val="000C09C5"/>
    <w:rsid w:val="000C1285"/>
    <w:rsid w:val="000C2582"/>
    <w:rsid w:val="000C2D47"/>
    <w:rsid w:val="000C5B26"/>
    <w:rsid w:val="000C65BB"/>
    <w:rsid w:val="000D03F4"/>
    <w:rsid w:val="000D06BF"/>
    <w:rsid w:val="000D0C4A"/>
    <w:rsid w:val="000D0CDF"/>
    <w:rsid w:val="000D17E8"/>
    <w:rsid w:val="000D19D4"/>
    <w:rsid w:val="000D2A04"/>
    <w:rsid w:val="000D3C1F"/>
    <w:rsid w:val="000D3D5C"/>
    <w:rsid w:val="000D57B2"/>
    <w:rsid w:val="000D6224"/>
    <w:rsid w:val="000D69CE"/>
    <w:rsid w:val="000D79E1"/>
    <w:rsid w:val="000E0121"/>
    <w:rsid w:val="000E014D"/>
    <w:rsid w:val="000E0262"/>
    <w:rsid w:val="000E0B58"/>
    <w:rsid w:val="000E0C19"/>
    <w:rsid w:val="000E153C"/>
    <w:rsid w:val="000E2734"/>
    <w:rsid w:val="000E3EE1"/>
    <w:rsid w:val="000E5AE2"/>
    <w:rsid w:val="000E6B98"/>
    <w:rsid w:val="000E6BCD"/>
    <w:rsid w:val="000F0265"/>
    <w:rsid w:val="000F03EF"/>
    <w:rsid w:val="000F155A"/>
    <w:rsid w:val="000F178C"/>
    <w:rsid w:val="000F21DD"/>
    <w:rsid w:val="000F24BF"/>
    <w:rsid w:val="000F24FB"/>
    <w:rsid w:val="000F2C53"/>
    <w:rsid w:val="000F423E"/>
    <w:rsid w:val="000F545A"/>
    <w:rsid w:val="000F7C69"/>
    <w:rsid w:val="000F7D9F"/>
    <w:rsid w:val="00100539"/>
    <w:rsid w:val="00100FC9"/>
    <w:rsid w:val="0010187D"/>
    <w:rsid w:val="00101B22"/>
    <w:rsid w:val="00101BDF"/>
    <w:rsid w:val="00101E35"/>
    <w:rsid w:val="001022EF"/>
    <w:rsid w:val="0010298E"/>
    <w:rsid w:val="00102BB5"/>
    <w:rsid w:val="001038BD"/>
    <w:rsid w:val="00105B68"/>
    <w:rsid w:val="00106300"/>
    <w:rsid w:val="001076CF"/>
    <w:rsid w:val="0011011B"/>
    <w:rsid w:val="00110730"/>
    <w:rsid w:val="00110913"/>
    <w:rsid w:val="00111051"/>
    <w:rsid w:val="0011136A"/>
    <w:rsid w:val="001118F1"/>
    <w:rsid w:val="00112500"/>
    <w:rsid w:val="001125CD"/>
    <w:rsid w:val="001126E2"/>
    <w:rsid w:val="00112AD6"/>
    <w:rsid w:val="0011301F"/>
    <w:rsid w:val="0011358E"/>
    <w:rsid w:val="00113F86"/>
    <w:rsid w:val="001142D6"/>
    <w:rsid w:val="0011444C"/>
    <w:rsid w:val="00114D93"/>
    <w:rsid w:val="00114E19"/>
    <w:rsid w:val="0011504A"/>
    <w:rsid w:val="00115260"/>
    <w:rsid w:val="001154CE"/>
    <w:rsid w:val="001154FD"/>
    <w:rsid w:val="001160BB"/>
    <w:rsid w:val="00116538"/>
    <w:rsid w:val="001170C8"/>
    <w:rsid w:val="001175F3"/>
    <w:rsid w:val="00120526"/>
    <w:rsid w:val="00120572"/>
    <w:rsid w:val="00120B2B"/>
    <w:rsid w:val="00120C60"/>
    <w:rsid w:val="00121319"/>
    <w:rsid w:val="00121EFA"/>
    <w:rsid w:val="0012354B"/>
    <w:rsid w:val="0012393F"/>
    <w:rsid w:val="00123BF8"/>
    <w:rsid w:val="00124B37"/>
    <w:rsid w:val="00125228"/>
    <w:rsid w:val="0012665A"/>
    <w:rsid w:val="00126816"/>
    <w:rsid w:val="00126D92"/>
    <w:rsid w:val="00130B42"/>
    <w:rsid w:val="001318C9"/>
    <w:rsid w:val="0013396A"/>
    <w:rsid w:val="00133B32"/>
    <w:rsid w:val="00134CB2"/>
    <w:rsid w:val="00134CFA"/>
    <w:rsid w:val="00135262"/>
    <w:rsid w:val="00135442"/>
    <w:rsid w:val="00136182"/>
    <w:rsid w:val="001361E2"/>
    <w:rsid w:val="001363CF"/>
    <w:rsid w:val="00136CA0"/>
    <w:rsid w:val="00137792"/>
    <w:rsid w:val="00137A45"/>
    <w:rsid w:val="00137D3E"/>
    <w:rsid w:val="001402ED"/>
    <w:rsid w:val="00141DA1"/>
    <w:rsid w:val="001421B3"/>
    <w:rsid w:val="00142328"/>
    <w:rsid w:val="00142A32"/>
    <w:rsid w:val="00143989"/>
    <w:rsid w:val="001440DB"/>
    <w:rsid w:val="00144D02"/>
    <w:rsid w:val="001452AA"/>
    <w:rsid w:val="0014558B"/>
    <w:rsid w:val="0014581A"/>
    <w:rsid w:val="0014772F"/>
    <w:rsid w:val="00150C53"/>
    <w:rsid w:val="001521B7"/>
    <w:rsid w:val="00152F32"/>
    <w:rsid w:val="00153236"/>
    <w:rsid w:val="00153A18"/>
    <w:rsid w:val="00153D34"/>
    <w:rsid w:val="001557A9"/>
    <w:rsid w:val="00155DFC"/>
    <w:rsid w:val="0015624E"/>
    <w:rsid w:val="0015757A"/>
    <w:rsid w:val="001605F0"/>
    <w:rsid w:val="00160A5A"/>
    <w:rsid w:val="00160F2D"/>
    <w:rsid w:val="00161E5C"/>
    <w:rsid w:val="001624BF"/>
    <w:rsid w:val="001627A3"/>
    <w:rsid w:val="001634E6"/>
    <w:rsid w:val="00164855"/>
    <w:rsid w:val="00165083"/>
    <w:rsid w:val="001651AB"/>
    <w:rsid w:val="00165E72"/>
    <w:rsid w:val="001677B7"/>
    <w:rsid w:val="00172605"/>
    <w:rsid w:val="0017261D"/>
    <w:rsid w:val="001726F0"/>
    <w:rsid w:val="00173519"/>
    <w:rsid w:val="00174114"/>
    <w:rsid w:val="001743AB"/>
    <w:rsid w:val="00175E8C"/>
    <w:rsid w:val="00176949"/>
    <w:rsid w:val="00177F0E"/>
    <w:rsid w:val="001801E6"/>
    <w:rsid w:val="0018092B"/>
    <w:rsid w:val="00181A08"/>
    <w:rsid w:val="00181B73"/>
    <w:rsid w:val="00181FCB"/>
    <w:rsid w:val="00182041"/>
    <w:rsid w:val="001820F3"/>
    <w:rsid w:val="00182D5C"/>
    <w:rsid w:val="001832B2"/>
    <w:rsid w:val="00185431"/>
    <w:rsid w:val="00185528"/>
    <w:rsid w:val="00185C9E"/>
    <w:rsid w:val="00186C25"/>
    <w:rsid w:val="00186EAB"/>
    <w:rsid w:val="00193258"/>
    <w:rsid w:val="00193B4E"/>
    <w:rsid w:val="00193FA0"/>
    <w:rsid w:val="001944C4"/>
    <w:rsid w:val="00194B41"/>
    <w:rsid w:val="00194C93"/>
    <w:rsid w:val="00194E7A"/>
    <w:rsid w:val="001A03FC"/>
    <w:rsid w:val="001A1D54"/>
    <w:rsid w:val="001A2CFF"/>
    <w:rsid w:val="001A2DCC"/>
    <w:rsid w:val="001A35A1"/>
    <w:rsid w:val="001A46B8"/>
    <w:rsid w:val="001A46CB"/>
    <w:rsid w:val="001A4FFE"/>
    <w:rsid w:val="001A6142"/>
    <w:rsid w:val="001A6B33"/>
    <w:rsid w:val="001B0322"/>
    <w:rsid w:val="001B0A83"/>
    <w:rsid w:val="001B0BD6"/>
    <w:rsid w:val="001B1D47"/>
    <w:rsid w:val="001B2600"/>
    <w:rsid w:val="001B2857"/>
    <w:rsid w:val="001B3A05"/>
    <w:rsid w:val="001B4627"/>
    <w:rsid w:val="001B48CE"/>
    <w:rsid w:val="001B510D"/>
    <w:rsid w:val="001B6378"/>
    <w:rsid w:val="001B6AEF"/>
    <w:rsid w:val="001B72B9"/>
    <w:rsid w:val="001B7B95"/>
    <w:rsid w:val="001C011C"/>
    <w:rsid w:val="001C1282"/>
    <w:rsid w:val="001C1550"/>
    <w:rsid w:val="001C29E5"/>
    <w:rsid w:val="001C3FB6"/>
    <w:rsid w:val="001C428D"/>
    <w:rsid w:val="001C6904"/>
    <w:rsid w:val="001C77F4"/>
    <w:rsid w:val="001D0143"/>
    <w:rsid w:val="001D0179"/>
    <w:rsid w:val="001D0346"/>
    <w:rsid w:val="001D123E"/>
    <w:rsid w:val="001D1FEF"/>
    <w:rsid w:val="001D228C"/>
    <w:rsid w:val="001D28A0"/>
    <w:rsid w:val="001D2D30"/>
    <w:rsid w:val="001D384F"/>
    <w:rsid w:val="001D3B00"/>
    <w:rsid w:val="001D3DA9"/>
    <w:rsid w:val="001D43DA"/>
    <w:rsid w:val="001D487A"/>
    <w:rsid w:val="001D4B8D"/>
    <w:rsid w:val="001D59EC"/>
    <w:rsid w:val="001D601A"/>
    <w:rsid w:val="001D6483"/>
    <w:rsid w:val="001D6534"/>
    <w:rsid w:val="001D708F"/>
    <w:rsid w:val="001D77A8"/>
    <w:rsid w:val="001D7DE4"/>
    <w:rsid w:val="001E0296"/>
    <w:rsid w:val="001E0570"/>
    <w:rsid w:val="001E05C5"/>
    <w:rsid w:val="001E093E"/>
    <w:rsid w:val="001E0E49"/>
    <w:rsid w:val="001E1133"/>
    <w:rsid w:val="001E146A"/>
    <w:rsid w:val="001E19A2"/>
    <w:rsid w:val="001E2031"/>
    <w:rsid w:val="001E28D3"/>
    <w:rsid w:val="001E32A5"/>
    <w:rsid w:val="001E43EC"/>
    <w:rsid w:val="001E4746"/>
    <w:rsid w:val="001E4978"/>
    <w:rsid w:val="001E4BF0"/>
    <w:rsid w:val="001E5203"/>
    <w:rsid w:val="001E6B9A"/>
    <w:rsid w:val="001E6D77"/>
    <w:rsid w:val="001E7D8B"/>
    <w:rsid w:val="001F0E02"/>
    <w:rsid w:val="001F0F87"/>
    <w:rsid w:val="001F32A3"/>
    <w:rsid w:val="001F34ED"/>
    <w:rsid w:val="001F3F57"/>
    <w:rsid w:val="001F534F"/>
    <w:rsid w:val="001F55A4"/>
    <w:rsid w:val="001F56F5"/>
    <w:rsid w:val="001F581F"/>
    <w:rsid w:val="001F5E09"/>
    <w:rsid w:val="001F5FC4"/>
    <w:rsid w:val="001F73FC"/>
    <w:rsid w:val="001F7D67"/>
    <w:rsid w:val="0020094E"/>
    <w:rsid w:val="002015CD"/>
    <w:rsid w:val="00201805"/>
    <w:rsid w:val="00202F2D"/>
    <w:rsid w:val="00202F6D"/>
    <w:rsid w:val="00203F2F"/>
    <w:rsid w:val="00204437"/>
    <w:rsid w:val="0020456F"/>
    <w:rsid w:val="002048D9"/>
    <w:rsid w:val="00204942"/>
    <w:rsid w:val="00205669"/>
    <w:rsid w:val="00206364"/>
    <w:rsid w:val="002067B2"/>
    <w:rsid w:val="00206889"/>
    <w:rsid w:val="00207907"/>
    <w:rsid w:val="00207ADD"/>
    <w:rsid w:val="00207CD7"/>
    <w:rsid w:val="00210644"/>
    <w:rsid w:val="00210818"/>
    <w:rsid w:val="00210A0E"/>
    <w:rsid w:val="00210E1F"/>
    <w:rsid w:val="00210F1D"/>
    <w:rsid w:val="00211319"/>
    <w:rsid w:val="00211B00"/>
    <w:rsid w:val="00211C44"/>
    <w:rsid w:val="0021361E"/>
    <w:rsid w:val="002145A8"/>
    <w:rsid w:val="00215638"/>
    <w:rsid w:val="00215A2D"/>
    <w:rsid w:val="00215F5E"/>
    <w:rsid w:val="00215FE9"/>
    <w:rsid w:val="00216030"/>
    <w:rsid w:val="00216549"/>
    <w:rsid w:val="00216F25"/>
    <w:rsid w:val="00217441"/>
    <w:rsid w:val="002215F0"/>
    <w:rsid w:val="00221C78"/>
    <w:rsid w:val="00222EF8"/>
    <w:rsid w:val="00223376"/>
    <w:rsid w:val="00224173"/>
    <w:rsid w:val="00224820"/>
    <w:rsid w:val="0022482C"/>
    <w:rsid w:val="00224BFE"/>
    <w:rsid w:val="002256A2"/>
    <w:rsid w:val="00225B17"/>
    <w:rsid w:val="0022640B"/>
    <w:rsid w:val="00226416"/>
    <w:rsid w:val="002266BD"/>
    <w:rsid w:val="00227696"/>
    <w:rsid w:val="00227857"/>
    <w:rsid w:val="00227A58"/>
    <w:rsid w:val="00227D0C"/>
    <w:rsid w:val="002300D7"/>
    <w:rsid w:val="00230D7B"/>
    <w:rsid w:val="002319EA"/>
    <w:rsid w:val="00231B80"/>
    <w:rsid w:val="00232155"/>
    <w:rsid w:val="00233828"/>
    <w:rsid w:val="00233DD4"/>
    <w:rsid w:val="0023427C"/>
    <w:rsid w:val="00234447"/>
    <w:rsid w:val="002346DD"/>
    <w:rsid w:val="00234BD6"/>
    <w:rsid w:val="00234D62"/>
    <w:rsid w:val="00234D7D"/>
    <w:rsid w:val="002353B4"/>
    <w:rsid w:val="00235652"/>
    <w:rsid w:val="002364A2"/>
    <w:rsid w:val="00240B2E"/>
    <w:rsid w:val="00240F8A"/>
    <w:rsid w:val="00241543"/>
    <w:rsid w:val="00241B1D"/>
    <w:rsid w:val="0024250B"/>
    <w:rsid w:val="00243989"/>
    <w:rsid w:val="002445E7"/>
    <w:rsid w:val="00244636"/>
    <w:rsid w:val="0024472C"/>
    <w:rsid w:val="00244B31"/>
    <w:rsid w:val="0024503A"/>
    <w:rsid w:val="00245A6B"/>
    <w:rsid w:val="00246520"/>
    <w:rsid w:val="00250ED8"/>
    <w:rsid w:val="00251225"/>
    <w:rsid w:val="00251A85"/>
    <w:rsid w:val="002527EE"/>
    <w:rsid w:val="00253798"/>
    <w:rsid w:val="00253FFA"/>
    <w:rsid w:val="00254A79"/>
    <w:rsid w:val="00255218"/>
    <w:rsid w:val="00257101"/>
    <w:rsid w:val="00257E3E"/>
    <w:rsid w:val="00261324"/>
    <w:rsid w:val="00263C4D"/>
    <w:rsid w:val="0026563A"/>
    <w:rsid w:val="002658C8"/>
    <w:rsid w:val="00265FF5"/>
    <w:rsid w:val="00266A49"/>
    <w:rsid w:val="0026705D"/>
    <w:rsid w:val="00267E2A"/>
    <w:rsid w:val="00271265"/>
    <w:rsid w:val="0027307C"/>
    <w:rsid w:val="00273E3C"/>
    <w:rsid w:val="0027443A"/>
    <w:rsid w:val="002750A4"/>
    <w:rsid w:val="002759EE"/>
    <w:rsid w:val="00275C0D"/>
    <w:rsid w:val="002760B5"/>
    <w:rsid w:val="002760D8"/>
    <w:rsid w:val="00276A48"/>
    <w:rsid w:val="002771AC"/>
    <w:rsid w:val="00277A35"/>
    <w:rsid w:val="00277C81"/>
    <w:rsid w:val="00280412"/>
    <w:rsid w:val="002807AE"/>
    <w:rsid w:val="00280EE2"/>
    <w:rsid w:val="002818E1"/>
    <w:rsid w:val="00282F1E"/>
    <w:rsid w:val="00283187"/>
    <w:rsid w:val="002834D8"/>
    <w:rsid w:val="00284232"/>
    <w:rsid w:val="00284A78"/>
    <w:rsid w:val="00284F10"/>
    <w:rsid w:val="002860A5"/>
    <w:rsid w:val="00286BA1"/>
    <w:rsid w:val="00287315"/>
    <w:rsid w:val="0028792F"/>
    <w:rsid w:val="002879D5"/>
    <w:rsid w:val="0029051B"/>
    <w:rsid w:val="00290D26"/>
    <w:rsid w:val="00291496"/>
    <w:rsid w:val="00291524"/>
    <w:rsid w:val="00291742"/>
    <w:rsid w:val="002934FA"/>
    <w:rsid w:val="00293D58"/>
    <w:rsid w:val="00295711"/>
    <w:rsid w:val="00295793"/>
    <w:rsid w:val="00295B2C"/>
    <w:rsid w:val="002A03D3"/>
    <w:rsid w:val="002A03E4"/>
    <w:rsid w:val="002A0825"/>
    <w:rsid w:val="002A17E4"/>
    <w:rsid w:val="002A1FCE"/>
    <w:rsid w:val="002A2075"/>
    <w:rsid w:val="002A2670"/>
    <w:rsid w:val="002A30A6"/>
    <w:rsid w:val="002A3DC7"/>
    <w:rsid w:val="002A4525"/>
    <w:rsid w:val="002A4B15"/>
    <w:rsid w:val="002A66B7"/>
    <w:rsid w:val="002A6BB7"/>
    <w:rsid w:val="002A7B70"/>
    <w:rsid w:val="002A7C2F"/>
    <w:rsid w:val="002A7CD2"/>
    <w:rsid w:val="002B02B9"/>
    <w:rsid w:val="002B0389"/>
    <w:rsid w:val="002B23FF"/>
    <w:rsid w:val="002B2B4E"/>
    <w:rsid w:val="002B2EEB"/>
    <w:rsid w:val="002B31CB"/>
    <w:rsid w:val="002B33DC"/>
    <w:rsid w:val="002B4483"/>
    <w:rsid w:val="002B455A"/>
    <w:rsid w:val="002B5456"/>
    <w:rsid w:val="002B55AA"/>
    <w:rsid w:val="002B582F"/>
    <w:rsid w:val="002B6506"/>
    <w:rsid w:val="002B663E"/>
    <w:rsid w:val="002B6ED6"/>
    <w:rsid w:val="002B7920"/>
    <w:rsid w:val="002C031F"/>
    <w:rsid w:val="002C0D5B"/>
    <w:rsid w:val="002C12AE"/>
    <w:rsid w:val="002C1BB7"/>
    <w:rsid w:val="002C1FC1"/>
    <w:rsid w:val="002C224E"/>
    <w:rsid w:val="002C2EC9"/>
    <w:rsid w:val="002C3351"/>
    <w:rsid w:val="002C3B29"/>
    <w:rsid w:val="002C3BBD"/>
    <w:rsid w:val="002C5C9D"/>
    <w:rsid w:val="002C7014"/>
    <w:rsid w:val="002C7858"/>
    <w:rsid w:val="002C7C70"/>
    <w:rsid w:val="002D2FA4"/>
    <w:rsid w:val="002D31FE"/>
    <w:rsid w:val="002D352E"/>
    <w:rsid w:val="002D3AA1"/>
    <w:rsid w:val="002D4011"/>
    <w:rsid w:val="002D4ACA"/>
    <w:rsid w:val="002D54A2"/>
    <w:rsid w:val="002D5FF9"/>
    <w:rsid w:val="002D684B"/>
    <w:rsid w:val="002D72D2"/>
    <w:rsid w:val="002D7337"/>
    <w:rsid w:val="002D77CD"/>
    <w:rsid w:val="002D7B7A"/>
    <w:rsid w:val="002E073B"/>
    <w:rsid w:val="002E0A46"/>
    <w:rsid w:val="002E0CAE"/>
    <w:rsid w:val="002E1213"/>
    <w:rsid w:val="002E1294"/>
    <w:rsid w:val="002E2171"/>
    <w:rsid w:val="002E2815"/>
    <w:rsid w:val="002E28E2"/>
    <w:rsid w:val="002E2BBC"/>
    <w:rsid w:val="002E2C6F"/>
    <w:rsid w:val="002E2E07"/>
    <w:rsid w:val="002E30E2"/>
    <w:rsid w:val="002E32CC"/>
    <w:rsid w:val="002E4219"/>
    <w:rsid w:val="002E49D4"/>
    <w:rsid w:val="002E53DA"/>
    <w:rsid w:val="002E5635"/>
    <w:rsid w:val="002E578C"/>
    <w:rsid w:val="002E5AFC"/>
    <w:rsid w:val="002E7535"/>
    <w:rsid w:val="002F0745"/>
    <w:rsid w:val="002F1E63"/>
    <w:rsid w:val="002F251E"/>
    <w:rsid w:val="002F379B"/>
    <w:rsid w:val="002F4BBD"/>
    <w:rsid w:val="002F4FE2"/>
    <w:rsid w:val="002F610F"/>
    <w:rsid w:val="002F6407"/>
    <w:rsid w:val="002F681F"/>
    <w:rsid w:val="002F74D9"/>
    <w:rsid w:val="00300AF8"/>
    <w:rsid w:val="0030162A"/>
    <w:rsid w:val="003017A2"/>
    <w:rsid w:val="003018AE"/>
    <w:rsid w:val="003022F0"/>
    <w:rsid w:val="0030264F"/>
    <w:rsid w:val="003031D2"/>
    <w:rsid w:val="003034F1"/>
    <w:rsid w:val="00303590"/>
    <w:rsid w:val="00303C09"/>
    <w:rsid w:val="003042E4"/>
    <w:rsid w:val="003050D5"/>
    <w:rsid w:val="00310A68"/>
    <w:rsid w:val="00310A6E"/>
    <w:rsid w:val="00310D07"/>
    <w:rsid w:val="00313A24"/>
    <w:rsid w:val="00314492"/>
    <w:rsid w:val="00314CBB"/>
    <w:rsid w:val="00316243"/>
    <w:rsid w:val="00316CD4"/>
    <w:rsid w:val="0031729E"/>
    <w:rsid w:val="00317F9F"/>
    <w:rsid w:val="0032066E"/>
    <w:rsid w:val="00320747"/>
    <w:rsid w:val="00320DAC"/>
    <w:rsid w:val="00321EB3"/>
    <w:rsid w:val="00322238"/>
    <w:rsid w:val="003222CB"/>
    <w:rsid w:val="00322E6B"/>
    <w:rsid w:val="0032490D"/>
    <w:rsid w:val="0032496F"/>
    <w:rsid w:val="0032535C"/>
    <w:rsid w:val="0032545D"/>
    <w:rsid w:val="0032565D"/>
    <w:rsid w:val="00325974"/>
    <w:rsid w:val="00325F02"/>
    <w:rsid w:val="00326789"/>
    <w:rsid w:val="003308EB"/>
    <w:rsid w:val="003325A6"/>
    <w:rsid w:val="00332944"/>
    <w:rsid w:val="003329B1"/>
    <w:rsid w:val="00332CF8"/>
    <w:rsid w:val="00332D88"/>
    <w:rsid w:val="00332E92"/>
    <w:rsid w:val="00333065"/>
    <w:rsid w:val="0033337E"/>
    <w:rsid w:val="00333F04"/>
    <w:rsid w:val="003344CC"/>
    <w:rsid w:val="00334A63"/>
    <w:rsid w:val="003353BB"/>
    <w:rsid w:val="00336423"/>
    <w:rsid w:val="003369A4"/>
    <w:rsid w:val="003374E9"/>
    <w:rsid w:val="0033779E"/>
    <w:rsid w:val="00340066"/>
    <w:rsid w:val="0034084A"/>
    <w:rsid w:val="0034119F"/>
    <w:rsid w:val="00342757"/>
    <w:rsid w:val="003428E2"/>
    <w:rsid w:val="00342F0C"/>
    <w:rsid w:val="00343E41"/>
    <w:rsid w:val="00344A70"/>
    <w:rsid w:val="003452AC"/>
    <w:rsid w:val="00345708"/>
    <w:rsid w:val="0034576A"/>
    <w:rsid w:val="00345EE3"/>
    <w:rsid w:val="003462B8"/>
    <w:rsid w:val="0034644D"/>
    <w:rsid w:val="00346B22"/>
    <w:rsid w:val="00346C09"/>
    <w:rsid w:val="00347755"/>
    <w:rsid w:val="0034782D"/>
    <w:rsid w:val="00347F63"/>
    <w:rsid w:val="00347F9C"/>
    <w:rsid w:val="003504F4"/>
    <w:rsid w:val="00350919"/>
    <w:rsid w:val="003509D3"/>
    <w:rsid w:val="00350DC0"/>
    <w:rsid w:val="00351154"/>
    <w:rsid w:val="00351C3E"/>
    <w:rsid w:val="00351D8B"/>
    <w:rsid w:val="003521E5"/>
    <w:rsid w:val="0035227A"/>
    <w:rsid w:val="00352C4A"/>
    <w:rsid w:val="00352E80"/>
    <w:rsid w:val="00354AFC"/>
    <w:rsid w:val="00355982"/>
    <w:rsid w:val="00355F7E"/>
    <w:rsid w:val="00356714"/>
    <w:rsid w:val="003568B7"/>
    <w:rsid w:val="0036015F"/>
    <w:rsid w:val="00364331"/>
    <w:rsid w:val="00364E1E"/>
    <w:rsid w:val="00364F3D"/>
    <w:rsid w:val="00365000"/>
    <w:rsid w:val="00365C45"/>
    <w:rsid w:val="00366992"/>
    <w:rsid w:val="00370085"/>
    <w:rsid w:val="00370B63"/>
    <w:rsid w:val="003721C4"/>
    <w:rsid w:val="00374379"/>
    <w:rsid w:val="003743C8"/>
    <w:rsid w:val="00374C36"/>
    <w:rsid w:val="00375BC5"/>
    <w:rsid w:val="0037656D"/>
    <w:rsid w:val="00376658"/>
    <w:rsid w:val="00376A01"/>
    <w:rsid w:val="0037796C"/>
    <w:rsid w:val="00377F53"/>
    <w:rsid w:val="00380F1B"/>
    <w:rsid w:val="003812FD"/>
    <w:rsid w:val="003816DA"/>
    <w:rsid w:val="003818BF"/>
    <w:rsid w:val="00381973"/>
    <w:rsid w:val="00381B03"/>
    <w:rsid w:val="00381E13"/>
    <w:rsid w:val="00382188"/>
    <w:rsid w:val="0038246F"/>
    <w:rsid w:val="00382610"/>
    <w:rsid w:val="00382ED5"/>
    <w:rsid w:val="003862AE"/>
    <w:rsid w:val="0038703D"/>
    <w:rsid w:val="003870A0"/>
    <w:rsid w:val="0038775E"/>
    <w:rsid w:val="00387AB6"/>
    <w:rsid w:val="00390462"/>
    <w:rsid w:val="00390677"/>
    <w:rsid w:val="003907C0"/>
    <w:rsid w:val="00390FD6"/>
    <w:rsid w:val="00390FEF"/>
    <w:rsid w:val="003912BC"/>
    <w:rsid w:val="003936AD"/>
    <w:rsid w:val="00393C73"/>
    <w:rsid w:val="00394949"/>
    <w:rsid w:val="00395307"/>
    <w:rsid w:val="00395BD8"/>
    <w:rsid w:val="00397DB4"/>
    <w:rsid w:val="00397E95"/>
    <w:rsid w:val="003A160B"/>
    <w:rsid w:val="003A19D3"/>
    <w:rsid w:val="003A204D"/>
    <w:rsid w:val="003A208B"/>
    <w:rsid w:val="003A2BDA"/>
    <w:rsid w:val="003A374E"/>
    <w:rsid w:val="003A4658"/>
    <w:rsid w:val="003A4761"/>
    <w:rsid w:val="003A53B1"/>
    <w:rsid w:val="003A62CE"/>
    <w:rsid w:val="003A6DF7"/>
    <w:rsid w:val="003A7480"/>
    <w:rsid w:val="003A7A3E"/>
    <w:rsid w:val="003A7E02"/>
    <w:rsid w:val="003B0E92"/>
    <w:rsid w:val="003B13B4"/>
    <w:rsid w:val="003B1567"/>
    <w:rsid w:val="003B274C"/>
    <w:rsid w:val="003B31DA"/>
    <w:rsid w:val="003B39E6"/>
    <w:rsid w:val="003B4A03"/>
    <w:rsid w:val="003B52DD"/>
    <w:rsid w:val="003B59B4"/>
    <w:rsid w:val="003B5DB4"/>
    <w:rsid w:val="003B76E9"/>
    <w:rsid w:val="003B7BCF"/>
    <w:rsid w:val="003C1839"/>
    <w:rsid w:val="003C27C5"/>
    <w:rsid w:val="003C2A0A"/>
    <w:rsid w:val="003C2B52"/>
    <w:rsid w:val="003C2DA9"/>
    <w:rsid w:val="003C30C5"/>
    <w:rsid w:val="003C34DC"/>
    <w:rsid w:val="003C405B"/>
    <w:rsid w:val="003C4858"/>
    <w:rsid w:val="003C501D"/>
    <w:rsid w:val="003C5162"/>
    <w:rsid w:val="003C525A"/>
    <w:rsid w:val="003C5AE6"/>
    <w:rsid w:val="003C600D"/>
    <w:rsid w:val="003C634B"/>
    <w:rsid w:val="003C69DA"/>
    <w:rsid w:val="003C77CA"/>
    <w:rsid w:val="003C7998"/>
    <w:rsid w:val="003D14F5"/>
    <w:rsid w:val="003D1E2A"/>
    <w:rsid w:val="003D230E"/>
    <w:rsid w:val="003D2B89"/>
    <w:rsid w:val="003D353D"/>
    <w:rsid w:val="003D40B5"/>
    <w:rsid w:val="003D51F0"/>
    <w:rsid w:val="003D546F"/>
    <w:rsid w:val="003D59F9"/>
    <w:rsid w:val="003D5F9D"/>
    <w:rsid w:val="003D634E"/>
    <w:rsid w:val="003D64AD"/>
    <w:rsid w:val="003D78E9"/>
    <w:rsid w:val="003E0823"/>
    <w:rsid w:val="003E08CB"/>
    <w:rsid w:val="003E1928"/>
    <w:rsid w:val="003E276C"/>
    <w:rsid w:val="003E2B02"/>
    <w:rsid w:val="003E3881"/>
    <w:rsid w:val="003E3957"/>
    <w:rsid w:val="003E4B34"/>
    <w:rsid w:val="003E5317"/>
    <w:rsid w:val="003E5BC8"/>
    <w:rsid w:val="003E611E"/>
    <w:rsid w:val="003E6130"/>
    <w:rsid w:val="003E6CD4"/>
    <w:rsid w:val="003E79E4"/>
    <w:rsid w:val="003E7FA2"/>
    <w:rsid w:val="003F0481"/>
    <w:rsid w:val="003F0A61"/>
    <w:rsid w:val="003F0ACE"/>
    <w:rsid w:val="003F1DD4"/>
    <w:rsid w:val="003F235F"/>
    <w:rsid w:val="003F26B8"/>
    <w:rsid w:val="003F2CAC"/>
    <w:rsid w:val="003F3064"/>
    <w:rsid w:val="003F31BE"/>
    <w:rsid w:val="003F355B"/>
    <w:rsid w:val="003F37E8"/>
    <w:rsid w:val="003F38DB"/>
    <w:rsid w:val="003F444F"/>
    <w:rsid w:val="003F452C"/>
    <w:rsid w:val="003F4550"/>
    <w:rsid w:val="003F50CC"/>
    <w:rsid w:val="003F51FE"/>
    <w:rsid w:val="003F60D3"/>
    <w:rsid w:val="003F6549"/>
    <w:rsid w:val="003F65C0"/>
    <w:rsid w:val="003F6A3C"/>
    <w:rsid w:val="003F7858"/>
    <w:rsid w:val="00400234"/>
    <w:rsid w:val="004003DF"/>
    <w:rsid w:val="00400BF8"/>
    <w:rsid w:val="004010C5"/>
    <w:rsid w:val="00401553"/>
    <w:rsid w:val="00401B25"/>
    <w:rsid w:val="00401B74"/>
    <w:rsid w:val="004050D5"/>
    <w:rsid w:val="0040513E"/>
    <w:rsid w:val="00405233"/>
    <w:rsid w:val="004063BC"/>
    <w:rsid w:val="00406594"/>
    <w:rsid w:val="004107C2"/>
    <w:rsid w:val="00411E13"/>
    <w:rsid w:val="0041256C"/>
    <w:rsid w:val="004128D3"/>
    <w:rsid w:val="004139F6"/>
    <w:rsid w:val="00414C20"/>
    <w:rsid w:val="004157CC"/>
    <w:rsid w:val="00415C09"/>
    <w:rsid w:val="00415D77"/>
    <w:rsid w:val="004161A4"/>
    <w:rsid w:val="00416354"/>
    <w:rsid w:val="0041732E"/>
    <w:rsid w:val="00417DC7"/>
    <w:rsid w:val="00420074"/>
    <w:rsid w:val="00420762"/>
    <w:rsid w:val="00420DA0"/>
    <w:rsid w:val="00420EEE"/>
    <w:rsid w:val="00421333"/>
    <w:rsid w:val="00421ABF"/>
    <w:rsid w:val="00421D70"/>
    <w:rsid w:val="00422948"/>
    <w:rsid w:val="00422DBC"/>
    <w:rsid w:val="00422E24"/>
    <w:rsid w:val="00424565"/>
    <w:rsid w:val="00425B89"/>
    <w:rsid w:val="00426C52"/>
    <w:rsid w:val="00426E3A"/>
    <w:rsid w:val="00427640"/>
    <w:rsid w:val="00427B8F"/>
    <w:rsid w:val="00427EB8"/>
    <w:rsid w:val="00427F0B"/>
    <w:rsid w:val="00430015"/>
    <w:rsid w:val="004303E1"/>
    <w:rsid w:val="0043093C"/>
    <w:rsid w:val="004312E1"/>
    <w:rsid w:val="00431540"/>
    <w:rsid w:val="004320E6"/>
    <w:rsid w:val="00432B61"/>
    <w:rsid w:val="00433B12"/>
    <w:rsid w:val="004343E0"/>
    <w:rsid w:val="00434ABB"/>
    <w:rsid w:val="00435A85"/>
    <w:rsid w:val="00435CFA"/>
    <w:rsid w:val="00435E13"/>
    <w:rsid w:val="00436684"/>
    <w:rsid w:val="00436B11"/>
    <w:rsid w:val="00436F15"/>
    <w:rsid w:val="004371F4"/>
    <w:rsid w:val="004405A1"/>
    <w:rsid w:val="004408BF"/>
    <w:rsid w:val="00441276"/>
    <w:rsid w:val="004422D2"/>
    <w:rsid w:val="0044259F"/>
    <w:rsid w:val="00443120"/>
    <w:rsid w:val="00443203"/>
    <w:rsid w:val="004432CA"/>
    <w:rsid w:val="004433E0"/>
    <w:rsid w:val="004435BD"/>
    <w:rsid w:val="00443F27"/>
    <w:rsid w:val="00443F28"/>
    <w:rsid w:val="00444004"/>
    <w:rsid w:val="00444745"/>
    <w:rsid w:val="00444C71"/>
    <w:rsid w:val="0044508E"/>
    <w:rsid w:val="00445190"/>
    <w:rsid w:val="004458DD"/>
    <w:rsid w:val="004458FD"/>
    <w:rsid w:val="00445AE5"/>
    <w:rsid w:val="004462CB"/>
    <w:rsid w:val="00446958"/>
    <w:rsid w:val="00446BDA"/>
    <w:rsid w:val="00446FB0"/>
    <w:rsid w:val="00447158"/>
    <w:rsid w:val="00447A36"/>
    <w:rsid w:val="00450D84"/>
    <w:rsid w:val="00450EF8"/>
    <w:rsid w:val="004511FF"/>
    <w:rsid w:val="0045197B"/>
    <w:rsid w:val="00451A49"/>
    <w:rsid w:val="00451D4F"/>
    <w:rsid w:val="00452F1D"/>
    <w:rsid w:val="004542D3"/>
    <w:rsid w:val="00454C9A"/>
    <w:rsid w:val="00455776"/>
    <w:rsid w:val="00455E1A"/>
    <w:rsid w:val="00456418"/>
    <w:rsid w:val="004567D8"/>
    <w:rsid w:val="00456C31"/>
    <w:rsid w:val="00457596"/>
    <w:rsid w:val="00460A2E"/>
    <w:rsid w:val="00460C92"/>
    <w:rsid w:val="00461E79"/>
    <w:rsid w:val="00461FDC"/>
    <w:rsid w:val="0046386A"/>
    <w:rsid w:val="004648F5"/>
    <w:rsid w:val="0046490B"/>
    <w:rsid w:val="00465D98"/>
    <w:rsid w:val="0046660D"/>
    <w:rsid w:val="004669C5"/>
    <w:rsid w:val="0046785E"/>
    <w:rsid w:val="00467C97"/>
    <w:rsid w:val="00470883"/>
    <w:rsid w:val="004711BF"/>
    <w:rsid w:val="00471B7B"/>
    <w:rsid w:val="00472BCE"/>
    <w:rsid w:val="00473791"/>
    <w:rsid w:val="00473AE8"/>
    <w:rsid w:val="004748AD"/>
    <w:rsid w:val="004749BC"/>
    <w:rsid w:val="00474ACA"/>
    <w:rsid w:val="00475C5E"/>
    <w:rsid w:val="00475D45"/>
    <w:rsid w:val="00476F6A"/>
    <w:rsid w:val="00477465"/>
    <w:rsid w:val="00477D22"/>
    <w:rsid w:val="0048224D"/>
    <w:rsid w:val="0048277F"/>
    <w:rsid w:val="0048288C"/>
    <w:rsid w:val="0048332B"/>
    <w:rsid w:val="00484385"/>
    <w:rsid w:val="0048468C"/>
    <w:rsid w:val="0048496C"/>
    <w:rsid w:val="0048496E"/>
    <w:rsid w:val="00484EEC"/>
    <w:rsid w:val="00485197"/>
    <w:rsid w:val="00485C82"/>
    <w:rsid w:val="00486F5B"/>
    <w:rsid w:val="00487395"/>
    <w:rsid w:val="004902E6"/>
    <w:rsid w:val="00490317"/>
    <w:rsid w:val="00490D43"/>
    <w:rsid w:val="0049123D"/>
    <w:rsid w:val="00493A9A"/>
    <w:rsid w:val="00493C6C"/>
    <w:rsid w:val="00493D77"/>
    <w:rsid w:val="00493F20"/>
    <w:rsid w:val="00494139"/>
    <w:rsid w:val="00494269"/>
    <w:rsid w:val="00495C0E"/>
    <w:rsid w:val="004965B5"/>
    <w:rsid w:val="004969AC"/>
    <w:rsid w:val="00496BD9"/>
    <w:rsid w:val="00497131"/>
    <w:rsid w:val="004A0343"/>
    <w:rsid w:val="004A1D3A"/>
    <w:rsid w:val="004A21C6"/>
    <w:rsid w:val="004A2662"/>
    <w:rsid w:val="004A26B0"/>
    <w:rsid w:val="004A2F0B"/>
    <w:rsid w:val="004A37AB"/>
    <w:rsid w:val="004A4026"/>
    <w:rsid w:val="004A428C"/>
    <w:rsid w:val="004A4529"/>
    <w:rsid w:val="004A48A1"/>
    <w:rsid w:val="004A48D1"/>
    <w:rsid w:val="004A510F"/>
    <w:rsid w:val="004A5925"/>
    <w:rsid w:val="004A6045"/>
    <w:rsid w:val="004A66FB"/>
    <w:rsid w:val="004A6A61"/>
    <w:rsid w:val="004A70DA"/>
    <w:rsid w:val="004A78D1"/>
    <w:rsid w:val="004A797E"/>
    <w:rsid w:val="004B0BD3"/>
    <w:rsid w:val="004B1F2C"/>
    <w:rsid w:val="004B1FBB"/>
    <w:rsid w:val="004B2B2A"/>
    <w:rsid w:val="004B328D"/>
    <w:rsid w:val="004B34E7"/>
    <w:rsid w:val="004B36F2"/>
    <w:rsid w:val="004B3B77"/>
    <w:rsid w:val="004B3CAD"/>
    <w:rsid w:val="004B4361"/>
    <w:rsid w:val="004B43BD"/>
    <w:rsid w:val="004B4B43"/>
    <w:rsid w:val="004B4E7F"/>
    <w:rsid w:val="004B5C35"/>
    <w:rsid w:val="004B7023"/>
    <w:rsid w:val="004B72D6"/>
    <w:rsid w:val="004B7643"/>
    <w:rsid w:val="004C0414"/>
    <w:rsid w:val="004C13E9"/>
    <w:rsid w:val="004C14F7"/>
    <w:rsid w:val="004C157A"/>
    <w:rsid w:val="004C1D0A"/>
    <w:rsid w:val="004C1E66"/>
    <w:rsid w:val="004C1EB0"/>
    <w:rsid w:val="004C2338"/>
    <w:rsid w:val="004C2905"/>
    <w:rsid w:val="004C4207"/>
    <w:rsid w:val="004C46F2"/>
    <w:rsid w:val="004C55DC"/>
    <w:rsid w:val="004C5FC5"/>
    <w:rsid w:val="004C67EF"/>
    <w:rsid w:val="004C6853"/>
    <w:rsid w:val="004C72B1"/>
    <w:rsid w:val="004C72CB"/>
    <w:rsid w:val="004C7544"/>
    <w:rsid w:val="004D0058"/>
    <w:rsid w:val="004D1BEF"/>
    <w:rsid w:val="004D2845"/>
    <w:rsid w:val="004D29DA"/>
    <w:rsid w:val="004D3E20"/>
    <w:rsid w:val="004D4979"/>
    <w:rsid w:val="004D4ACD"/>
    <w:rsid w:val="004D4D5C"/>
    <w:rsid w:val="004D5250"/>
    <w:rsid w:val="004D58C9"/>
    <w:rsid w:val="004D60CD"/>
    <w:rsid w:val="004D6C1C"/>
    <w:rsid w:val="004E0119"/>
    <w:rsid w:val="004E0452"/>
    <w:rsid w:val="004E07B9"/>
    <w:rsid w:val="004E07EE"/>
    <w:rsid w:val="004E0CAC"/>
    <w:rsid w:val="004E17BE"/>
    <w:rsid w:val="004E1A3D"/>
    <w:rsid w:val="004E1BC6"/>
    <w:rsid w:val="004E2280"/>
    <w:rsid w:val="004E244A"/>
    <w:rsid w:val="004E2A13"/>
    <w:rsid w:val="004E2C47"/>
    <w:rsid w:val="004E2DE1"/>
    <w:rsid w:val="004E327B"/>
    <w:rsid w:val="004E3B4F"/>
    <w:rsid w:val="004E3F7F"/>
    <w:rsid w:val="004E4202"/>
    <w:rsid w:val="004E4441"/>
    <w:rsid w:val="004E45C8"/>
    <w:rsid w:val="004E4CB4"/>
    <w:rsid w:val="004E4ED0"/>
    <w:rsid w:val="004E5EBD"/>
    <w:rsid w:val="004E60E1"/>
    <w:rsid w:val="004E721E"/>
    <w:rsid w:val="004F078B"/>
    <w:rsid w:val="004F1638"/>
    <w:rsid w:val="004F1C89"/>
    <w:rsid w:val="004F28C5"/>
    <w:rsid w:val="004F434C"/>
    <w:rsid w:val="004F4446"/>
    <w:rsid w:val="004F4D7C"/>
    <w:rsid w:val="004F4D99"/>
    <w:rsid w:val="004F4F1F"/>
    <w:rsid w:val="004F5664"/>
    <w:rsid w:val="004F5B34"/>
    <w:rsid w:val="004F669F"/>
    <w:rsid w:val="00500569"/>
    <w:rsid w:val="005007F8"/>
    <w:rsid w:val="00500D8A"/>
    <w:rsid w:val="00501CCE"/>
    <w:rsid w:val="00501D4C"/>
    <w:rsid w:val="00502041"/>
    <w:rsid w:val="0050227F"/>
    <w:rsid w:val="00502BE1"/>
    <w:rsid w:val="00502C28"/>
    <w:rsid w:val="0050371A"/>
    <w:rsid w:val="00503F7A"/>
    <w:rsid w:val="00504088"/>
    <w:rsid w:val="00504842"/>
    <w:rsid w:val="00504C45"/>
    <w:rsid w:val="00504F91"/>
    <w:rsid w:val="0050571B"/>
    <w:rsid w:val="005064E4"/>
    <w:rsid w:val="00506707"/>
    <w:rsid w:val="00506F49"/>
    <w:rsid w:val="0050703B"/>
    <w:rsid w:val="005072FE"/>
    <w:rsid w:val="005075F7"/>
    <w:rsid w:val="00507B60"/>
    <w:rsid w:val="00507EFD"/>
    <w:rsid w:val="00510EE4"/>
    <w:rsid w:val="0051111D"/>
    <w:rsid w:val="00511244"/>
    <w:rsid w:val="0051222E"/>
    <w:rsid w:val="00512C86"/>
    <w:rsid w:val="005130F4"/>
    <w:rsid w:val="005134C3"/>
    <w:rsid w:val="00513C99"/>
    <w:rsid w:val="00513D01"/>
    <w:rsid w:val="005151C4"/>
    <w:rsid w:val="00515521"/>
    <w:rsid w:val="0051563E"/>
    <w:rsid w:val="00515870"/>
    <w:rsid w:val="00516DD8"/>
    <w:rsid w:val="00517F68"/>
    <w:rsid w:val="0052256B"/>
    <w:rsid w:val="00522BF9"/>
    <w:rsid w:val="00523298"/>
    <w:rsid w:val="00523CDF"/>
    <w:rsid w:val="00524022"/>
    <w:rsid w:val="00524B8B"/>
    <w:rsid w:val="00525715"/>
    <w:rsid w:val="0052590F"/>
    <w:rsid w:val="00526493"/>
    <w:rsid w:val="00526D97"/>
    <w:rsid w:val="00527BED"/>
    <w:rsid w:val="005302DE"/>
    <w:rsid w:val="00530BDB"/>
    <w:rsid w:val="00530F9D"/>
    <w:rsid w:val="005311F5"/>
    <w:rsid w:val="00531891"/>
    <w:rsid w:val="00531A69"/>
    <w:rsid w:val="005320BA"/>
    <w:rsid w:val="005328FB"/>
    <w:rsid w:val="00532EEB"/>
    <w:rsid w:val="00533997"/>
    <w:rsid w:val="00533CC1"/>
    <w:rsid w:val="005346EF"/>
    <w:rsid w:val="005347A0"/>
    <w:rsid w:val="005348F3"/>
    <w:rsid w:val="00534AC9"/>
    <w:rsid w:val="00535A11"/>
    <w:rsid w:val="00535E24"/>
    <w:rsid w:val="005364D2"/>
    <w:rsid w:val="00536A9A"/>
    <w:rsid w:val="00536D74"/>
    <w:rsid w:val="00536EA7"/>
    <w:rsid w:val="00536EF8"/>
    <w:rsid w:val="005375FE"/>
    <w:rsid w:val="005377AB"/>
    <w:rsid w:val="00537A5C"/>
    <w:rsid w:val="005401F3"/>
    <w:rsid w:val="0054075B"/>
    <w:rsid w:val="00541A8A"/>
    <w:rsid w:val="00541CF2"/>
    <w:rsid w:val="00542CF9"/>
    <w:rsid w:val="00543FB0"/>
    <w:rsid w:val="00544DCC"/>
    <w:rsid w:val="005450FC"/>
    <w:rsid w:val="00545B6D"/>
    <w:rsid w:val="00545F6E"/>
    <w:rsid w:val="005461A8"/>
    <w:rsid w:val="00550D08"/>
    <w:rsid w:val="005515C9"/>
    <w:rsid w:val="00551B50"/>
    <w:rsid w:val="00552CD2"/>
    <w:rsid w:val="0055376F"/>
    <w:rsid w:val="00553A20"/>
    <w:rsid w:val="00555410"/>
    <w:rsid w:val="00555F7A"/>
    <w:rsid w:val="00556DB0"/>
    <w:rsid w:val="00556ECF"/>
    <w:rsid w:val="00556FE7"/>
    <w:rsid w:val="005575DE"/>
    <w:rsid w:val="00557CE9"/>
    <w:rsid w:val="00557E34"/>
    <w:rsid w:val="00557ED8"/>
    <w:rsid w:val="00560D87"/>
    <w:rsid w:val="00561670"/>
    <w:rsid w:val="00561935"/>
    <w:rsid w:val="005625EF"/>
    <w:rsid w:val="00562C24"/>
    <w:rsid w:val="00563622"/>
    <w:rsid w:val="0056424D"/>
    <w:rsid w:val="0056428F"/>
    <w:rsid w:val="0056439A"/>
    <w:rsid w:val="0056495D"/>
    <w:rsid w:val="0056609A"/>
    <w:rsid w:val="00566CEE"/>
    <w:rsid w:val="00566E76"/>
    <w:rsid w:val="00567C29"/>
    <w:rsid w:val="00570702"/>
    <w:rsid w:val="00570BFA"/>
    <w:rsid w:val="00570D65"/>
    <w:rsid w:val="00571068"/>
    <w:rsid w:val="00572EE9"/>
    <w:rsid w:val="005730D1"/>
    <w:rsid w:val="00573FCD"/>
    <w:rsid w:val="0057490D"/>
    <w:rsid w:val="00575097"/>
    <w:rsid w:val="005761C9"/>
    <w:rsid w:val="00576566"/>
    <w:rsid w:val="005773C4"/>
    <w:rsid w:val="00580088"/>
    <w:rsid w:val="005813D5"/>
    <w:rsid w:val="005814DE"/>
    <w:rsid w:val="005816A5"/>
    <w:rsid w:val="00581AD8"/>
    <w:rsid w:val="005829F8"/>
    <w:rsid w:val="00583E25"/>
    <w:rsid w:val="00583E4E"/>
    <w:rsid w:val="00584011"/>
    <w:rsid w:val="00585EB4"/>
    <w:rsid w:val="005865FF"/>
    <w:rsid w:val="005867CF"/>
    <w:rsid w:val="00586824"/>
    <w:rsid w:val="00586FDA"/>
    <w:rsid w:val="0059173D"/>
    <w:rsid w:val="00591BF8"/>
    <w:rsid w:val="00593719"/>
    <w:rsid w:val="00595344"/>
    <w:rsid w:val="00595503"/>
    <w:rsid w:val="00595BDE"/>
    <w:rsid w:val="005964D8"/>
    <w:rsid w:val="00596A60"/>
    <w:rsid w:val="005971B2"/>
    <w:rsid w:val="005A071F"/>
    <w:rsid w:val="005A08AD"/>
    <w:rsid w:val="005A129D"/>
    <w:rsid w:val="005A2059"/>
    <w:rsid w:val="005A21ED"/>
    <w:rsid w:val="005A2DC0"/>
    <w:rsid w:val="005A2E02"/>
    <w:rsid w:val="005A343F"/>
    <w:rsid w:val="005A38F7"/>
    <w:rsid w:val="005A435F"/>
    <w:rsid w:val="005A5B65"/>
    <w:rsid w:val="005A702C"/>
    <w:rsid w:val="005A750D"/>
    <w:rsid w:val="005B085F"/>
    <w:rsid w:val="005B0AA9"/>
    <w:rsid w:val="005B0E30"/>
    <w:rsid w:val="005B213C"/>
    <w:rsid w:val="005B2A2C"/>
    <w:rsid w:val="005B3963"/>
    <w:rsid w:val="005B5315"/>
    <w:rsid w:val="005B6C4E"/>
    <w:rsid w:val="005B7B13"/>
    <w:rsid w:val="005C0006"/>
    <w:rsid w:val="005C0856"/>
    <w:rsid w:val="005C0C25"/>
    <w:rsid w:val="005C153A"/>
    <w:rsid w:val="005C19BD"/>
    <w:rsid w:val="005C27DB"/>
    <w:rsid w:val="005C3D46"/>
    <w:rsid w:val="005C467F"/>
    <w:rsid w:val="005C46B6"/>
    <w:rsid w:val="005C5B94"/>
    <w:rsid w:val="005C5FA7"/>
    <w:rsid w:val="005C68B7"/>
    <w:rsid w:val="005C748B"/>
    <w:rsid w:val="005C7991"/>
    <w:rsid w:val="005D001C"/>
    <w:rsid w:val="005D006F"/>
    <w:rsid w:val="005D07F7"/>
    <w:rsid w:val="005D09CB"/>
    <w:rsid w:val="005D0F85"/>
    <w:rsid w:val="005D35F3"/>
    <w:rsid w:val="005D48EF"/>
    <w:rsid w:val="005D4C56"/>
    <w:rsid w:val="005D5165"/>
    <w:rsid w:val="005D5C3D"/>
    <w:rsid w:val="005D70BB"/>
    <w:rsid w:val="005D7335"/>
    <w:rsid w:val="005D7801"/>
    <w:rsid w:val="005D7B7F"/>
    <w:rsid w:val="005D7F75"/>
    <w:rsid w:val="005E0E69"/>
    <w:rsid w:val="005E1BF3"/>
    <w:rsid w:val="005E1F3E"/>
    <w:rsid w:val="005E3187"/>
    <w:rsid w:val="005E5488"/>
    <w:rsid w:val="005E5D9F"/>
    <w:rsid w:val="005E611B"/>
    <w:rsid w:val="005E6637"/>
    <w:rsid w:val="005E6792"/>
    <w:rsid w:val="005E69E6"/>
    <w:rsid w:val="005F0639"/>
    <w:rsid w:val="005F08BB"/>
    <w:rsid w:val="005F0A83"/>
    <w:rsid w:val="005F2B30"/>
    <w:rsid w:val="005F2FE7"/>
    <w:rsid w:val="005F394F"/>
    <w:rsid w:val="005F3DBC"/>
    <w:rsid w:val="005F5285"/>
    <w:rsid w:val="005F5953"/>
    <w:rsid w:val="005F6F08"/>
    <w:rsid w:val="005F6F2F"/>
    <w:rsid w:val="005F7642"/>
    <w:rsid w:val="005F7BE3"/>
    <w:rsid w:val="005F7C6F"/>
    <w:rsid w:val="00602E24"/>
    <w:rsid w:val="006035A3"/>
    <w:rsid w:val="006039FB"/>
    <w:rsid w:val="00603BD0"/>
    <w:rsid w:val="0060415E"/>
    <w:rsid w:val="00604180"/>
    <w:rsid w:val="00604F48"/>
    <w:rsid w:val="00605917"/>
    <w:rsid w:val="00607ABA"/>
    <w:rsid w:val="00610083"/>
    <w:rsid w:val="00610CD4"/>
    <w:rsid w:val="00611737"/>
    <w:rsid w:val="00611E5B"/>
    <w:rsid w:val="00612359"/>
    <w:rsid w:val="006125C5"/>
    <w:rsid w:val="00612ED9"/>
    <w:rsid w:val="0061370E"/>
    <w:rsid w:val="00613A1F"/>
    <w:rsid w:val="00613DF1"/>
    <w:rsid w:val="006141BA"/>
    <w:rsid w:val="00615AB9"/>
    <w:rsid w:val="00615DED"/>
    <w:rsid w:val="00616B03"/>
    <w:rsid w:val="00616C7D"/>
    <w:rsid w:val="00617526"/>
    <w:rsid w:val="00617BAB"/>
    <w:rsid w:val="0062133C"/>
    <w:rsid w:val="00622275"/>
    <w:rsid w:val="0062296B"/>
    <w:rsid w:val="00622C09"/>
    <w:rsid w:val="00623CC4"/>
    <w:rsid w:val="006248A8"/>
    <w:rsid w:val="006249B7"/>
    <w:rsid w:val="006251E6"/>
    <w:rsid w:val="00625447"/>
    <w:rsid w:val="006254B2"/>
    <w:rsid w:val="00625799"/>
    <w:rsid w:val="00625822"/>
    <w:rsid w:val="00627E8B"/>
    <w:rsid w:val="0063061A"/>
    <w:rsid w:val="00631844"/>
    <w:rsid w:val="00631CB8"/>
    <w:rsid w:val="00632B79"/>
    <w:rsid w:val="00633568"/>
    <w:rsid w:val="00634448"/>
    <w:rsid w:val="00634BFF"/>
    <w:rsid w:val="006356EE"/>
    <w:rsid w:val="006360A1"/>
    <w:rsid w:val="006361FD"/>
    <w:rsid w:val="006371EE"/>
    <w:rsid w:val="006418A8"/>
    <w:rsid w:val="00641C28"/>
    <w:rsid w:val="00641D71"/>
    <w:rsid w:val="00642407"/>
    <w:rsid w:val="00642BEC"/>
    <w:rsid w:val="00642F25"/>
    <w:rsid w:val="00643A16"/>
    <w:rsid w:val="00643DE8"/>
    <w:rsid w:val="00644505"/>
    <w:rsid w:val="00645433"/>
    <w:rsid w:val="006467F4"/>
    <w:rsid w:val="00647960"/>
    <w:rsid w:val="006501A5"/>
    <w:rsid w:val="006502D4"/>
    <w:rsid w:val="00650D60"/>
    <w:rsid w:val="00650F0E"/>
    <w:rsid w:val="00651601"/>
    <w:rsid w:val="00651A1F"/>
    <w:rsid w:val="006524AC"/>
    <w:rsid w:val="00652D8A"/>
    <w:rsid w:val="00653A12"/>
    <w:rsid w:val="00653BB7"/>
    <w:rsid w:val="006543D6"/>
    <w:rsid w:val="00654C9B"/>
    <w:rsid w:val="00655311"/>
    <w:rsid w:val="00655DF8"/>
    <w:rsid w:val="0065613C"/>
    <w:rsid w:val="00656C29"/>
    <w:rsid w:val="00656E5E"/>
    <w:rsid w:val="0065788E"/>
    <w:rsid w:val="00657E2E"/>
    <w:rsid w:val="00660119"/>
    <w:rsid w:val="0066042E"/>
    <w:rsid w:val="0066071F"/>
    <w:rsid w:val="00660FB6"/>
    <w:rsid w:val="00660FDB"/>
    <w:rsid w:val="006613D8"/>
    <w:rsid w:val="00661CA3"/>
    <w:rsid w:val="006625A9"/>
    <w:rsid w:val="00662979"/>
    <w:rsid w:val="00662B71"/>
    <w:rsid w:val="00662EEF"/>
    <w:rsid w:val="00663944"/>
    <w:rsid w:val="0066428F"/>
    <w:rsid w:val="006646A3"/>
    <w:rsid w:val="00664B61"/>
    <w:rsid w:val="006654B6"/>
    <w:rsid w:val="006657C1"/>
    <w:rsid w:val="0066597C"/>
    <w:rsid w:val="00665CBC"/>
    <w:rsid w:val="00665CDE"/>
    <w:rsid w:val="006669DB"/>
    <w:rsid w:val="00666B97"/>
    <w:rsid w:val="00667F60"/>
    <w:rsid w:val="0067016A"/>
    <w:rsid w:val="006701E8"/>
    <w:rsid w:val="00670465"/>
    <w:rsid w:val="00670E47"/>
    <w:rsid w:val="006713D3"/>
    <w:rsid w:val="00672956"/>
    <w:rsid w:val="00672D98"/>
    <w:rsid w:val="00673946"/>
    <w:rsid w:val="00673BC9"/>
    <w:rsid w:val="00673E58"/>
    <w:rsid w:val="00674DA4"/>
    <w:rsid w:val="006754B8"/>
    <w:rsid w:val="00675730"/>
    <w:rsid w:val="0067582F"/>
    <w:rsid w:val="006758DE"/>
    <w:rsid w:val="00675E81"/>
    <w:rsid w:val="00676670"/>
    <w:rsid w:val="0067703B"/>
    <w:rsid w:val="00681361"/>
    <w:rsid w:val="00681792"/>
    <w:rsid w:val="00681C26"/>
    <w:rsid w:val="00682A15"/>
    <w:rsid w:val="00683FD5"/>
    <w:rsid w:val="0068405C"/>
    <w:rsid w:val="006850B9"/>
    <w:rsid w:val="006851C5"/>
    <w:rsid w:val="00685688"/>
    <w:rsid w:val="00685D9D"/>
    <w:rsid w:val="00685FD4"/>
    <w:rsid w:val="00686EEF"/>
    <w:rsid w:val="00687931"/>
    <w:rsid w:val="00690970"/>
    <w:rsid w:val="006910D2"/>
    <w:rsid w:val="006916DC"/>
    <w:rsid w:val="00691B37"/>
    <w:rsid w:val="00693271"/>
    <w:rsid w:val="00693A7F"/>
    <w:rsid w:val="00693D3B"/>
    <w:rsid w:val="00694A6A"/>
    <w:rsid w:val="00695EB3"/>
    <w:rsid w:val="0069691F"/>
    <w:rsid w:val="006977B6"/>
    <w:rsid w:val="006A0137"/>
    <w:rsid w:val="006A01C1"/>
    <w:rsid w:val="006A038A"/>
    <w:rsid w:val="006A03AC"/>
    <w:rsid w:val="006A1674"/>
    <w:rsid w:val="006A18BC"/>
    <w:rsid w:val="006A1A3D"/>
    <w:rsid w:val="006A1D07"/>
    <w:rsid w:val="006A1D64"/>
    <w:rsid w:val="006A21A8"/>
    <w:rsid w:val="006A230D"/>
    <w:rsid w:val="006A449B"/>
    <w:rsid w:val="006A49C9"/>
    <w:rsid w:val="006A4E51"/>
    <w:rsid w:val="006A4F30"/>
    <w:rsid w:val="006A53BD"/>
    <w:rsid w:val="006A5FF4"/>
    <w:rsid w:val="006A72B8"/>
    <w:rsid w:val="006A7D4D"/>
    <w:rsid w:val="006A7F59"/>
    <w:rsid w:val="006A7FD3"/>
    <w:rsid w:val="006B15F4"/>
    <w:rsid w:val="006B1920"/>
    <w:rsid w:val="006B1C98"/>
    <w:rsid w:val="006B2574"/>
    <w:rsid w:val="006B2790"/>
    <w:rsid w:val="006B2B74"/>
    <w:rsid w:val="006B2E6D"/>
    <w:rsid w:val="006B5ADE"/>
    <w:rsid w:val="006B7CA3"/>
    <w:rsid w:val="006C0411"/>
    <w:rsid w:val="006C09C4"/>
    <w:rsid w:val="006C0E88"/>
    <w:rsid w:val="006C0EDD"/>
    <w:rsid w:val="006C1C0F"/>
    <w:rsid w:val="006C3618"/>
    <w:rsid w:val="006C3FCA"/>
    <w:rsid w:val="006C447E"/>
    <w:rsid w:val="006C4796"/>
    <w:rsid w:val="006C5799"/>
    <w:rsid w:val="006C5A08"/>
    <w:rsid w:val="006C5E89"/>
    <w:rsid w:val="006C62BF"/>
    <w:rsid w:val="006C6DFF"/>
    <w:rsid w:val="006C74FB"/>
    <w:rsid w:val="006C7526"/>
    <w:rsid w:val="006C782E"/>
    <w:rsid w:val="006C7D9C"/>
    <w:rsid w:val="006D0813"/>
    <w:rsid w:val="006D0B69"/>
    <w:rsid w:val="006D0C35"/>
    <w:rsid w:val="006D1FB1"/>
    <w:rsid w:val="006D20B0"/>
    <w:rsid w:val="006D2662"/>
    <w:rsid w:val="006D2830"/>
    <w:rsid w:val="006D2EF6"/>
    <w:rsid w:val="006D38C1"/>
    <w:rsid w:val="006D41E9"/>
    <w:rsid w:val="006D428C"/>
    <w:rsid w:val="006D4377"/>
    <w:rsid w:val="006D481A"/>
    <w:rsid w:val="006D4B77"/>
    <w:rsid w:val="006D58DF"/>
    <w:rsid w:val="006D5E1F"/>
    <w:rsid w:val="006D5EC9"/>
    <w:rsid w:val="006D674F"/>
    <w:rsid w:val="006D6F00"/>
    <w:rsid w:val="006D7383"/>
    <w:rsid w:val="006D7AF4"/>
    <w:rsid w:val="006E05AC"/>
    <w:rsid w:val="006E0B68"/>
    <w:rsid w:val="006E14DB"/>
    <w:rsid w:val="006E2790"/>
    <w:rsid w:val="006E28C9"/>
    <w:rsid w:val="006E3309"/>
    <w:rsid w:val="006E3396"/>
    <w:rsid w:val="006E4855"/>
    <w:rsid w:val="006E4858"/>
    <w:rsid w:val="006E4A02"/>
    <w:rsid w:val="006E4A4B"/>
    <w:rsid w:val="006E5305"/>
    <w:rsid w:val="006E7754"/>
    <w:rsid w:val="006F11C7"/>
    <w:rsid w:val="006F1945"/>
    <w:rsid w:val="006F1EE6"/>
    <w:rsid w:val="006F275D"/>
    <w:rsid w:val="006F2DF8"/>
    <w:rsid w:val="006F375B"/>
    <w:rsid w:val="006F4B2A"/>
    <w:rsid w:val="006F4CB2"/>
    <w:rsid w:val="006F7800"/>
    <w:rsid w:val="006F799D"/>
    <w:rsid w:val="007006A2"/>
    <w:rsid w:val="00701229"/>
    <w:rsid w:val="0070141C"/>
    <w:rsid w:val="007027CD"/>
    <w:rsid w:val="007035A8"/>
    <w:rsid w:val="0070452D"/>
    <w:rsid w:val="0070518B"/>
    <w:rsid w:val="00705327"/>
    <w:rsid w:val="00705D52"/>
    <w:rsid w:val="00707E13"/>
    <w:rsid w:val="007100C7"/>
    <w:rsid w:val="007106E4"/>
    <w:rsid w:val="007107A6"/>
    <w:rsid w:val="007107EE"/>
    <w:rsid w:val="00710CF5"/>
    <w:rsid w:val="007111BD"/>
    <w:rsid w:val="00711792"/>
    <w:rsid w:val="00713ED8"/>
    <w:rsid w:val="00714EF2"/>
    <w:rsid w:val="00715091"/>
    <w:rsid w:val="0071570F"/>
    <w:rsid w:val="00716348"/>
    <w:rsid w:val="007172CD"/>
    <w:rsid w:val="0071746F"/>
    <w:rsid w:val="0072206B"/>
    <w:rsid w:val="007220FB"/>
    <w:rsid w:val="00722A8E"/>
    <w:rsid w:val="00722EF1"/>
    <w:rsid w:val="00723872"/>
    <w:rsid w:val="00724D73"/>
    <w:rsid w:val="00724E83"/>
    <w:rsid w:val="0072524D"/>
    <w:rsid w:val="0072564B"/>
    <w:rsid w:val="00725B8D"/>
    <w:rsid w:val="00725FD5"/>
    <w:rsid w:val="00726177"/>
    <w:rsid w:val="00727269"/>
    <w:rsid w:val="007272D2"/>
    <w:rsid w:val="00727AE1"/>
    <w:rsid w:val="0073061A"/>
    <w:rsid w:val="0073112C"/>
    <w:rsid w:val="00731194"/>
    <w:rsid w:val="007324D7"/>
    <w:rsid w:val="0073341A"/>
    <w:rsid w:val="00733B50"/>
    <w:rsid w:val="00733D8B"/>
    <w:rsid w:val="007340C9"/>
    <w:rsid w:val="0073534F"/>
    <w:rsid w:val="00736A19"/>
    <w:rsid w:val="0074010C"/>
    <w:rsid w:val="007405DE"/>
    <w:rsid w:val="007405E1"/>
    <w:rsid w:val="00741F41"/>
    <w:rsid w:val="00741F7F"/>
    <w:rsid w:val="007424A3"/>
    <w:rsid w:val="007433AF"/>
    <w:rsid w:val="0074342D"/>
    <w:rsid w:val="00743557"/>
    <w:rsid w:val="007451FA"/>
    <w:rsid w:val="007471A7"/>
    <w:rsid w:val="0074758F"/>
    <w:rsid w:val="00747773"/>
    <w:rsid w:val="00747911"/>
    <w:rsid w:val="0075129D"/>
    <w:rsid w:val="00751ADD"/>
    <w:rsid w:val="00752142"/>
    <w:rsid w:val="00753BF1"/>
    <w:rsid w:val="00754AF6"/>
    <w:rsid w:val="00756012"/>
    <w:rsid w:val="007561FA"/>
    <w:rsid w:val="007564C2"/>
    <w:rsid w:val="007615FD"/>
    <w:rsid w:val="00763884"/>
    <w:rsid w:val="00763B7E"/>
    <w:rsid w:val="00764402"/>
    <w:rsid w:val="00764831"/>
    <w:rsid w:val="00765F29"/>
    <w:rsid w:val="00766282"/>
    <w:rsid w:val="00766E64"/>
    <w:rsid w:val="007676F8"/>
    <w:rsid w:val="00767BC6"/>
    <w:rsid w:val="007712BA"/>
    <w:rsid w:val="0077187D"/>
    <w:rsid w:val="007719CC"/>
    <w:rsid w:val="00771B40"/>
    <w:rsid w:val="00772606"/>
    <w:rsid w:val="00772B86"/>
    <w:rsid w:val="00773D80"/>
    <w:rsid w:val="00774126"/>
    <w:rsid w:val="007754E8"/>
    <w:rsid w:val="007754F8"/>
    <w:rsid w:val="00775577"/>
    <w:rsid w:val="007755EA"/>
    <w:rsid w:val="00775885"/>
    <w:rsid w:val="007767C7"/>
    <w:rsid w:val="00777F69"/>
    <w:rsid w:val="0078124F"/>
    <w:rsid w:val="007816FA"/>
    <w:rsid w:val="007832E4"/>
    <w:rsid w:val="00783350"/>
    <w:rsid w:val="00783589"/>
    <w:rsid w:val="00784259"/>
    <w:rsid w:val="00784AB9"/>
    <w:rsid w:val="00784C99"/>
    <w:rsid w:val="00784F3C"/>
    <w:rsid w:val="007854DB"/>
    <w:rsid w:val="00785DD4"/>
    <w:rsid w:val="00786047"/>
    <w:rsid w:val="0078693D"/>
    <w:rsid w:val="00786E9A"/>
    <w:rsid w:val="007870AF"/>
    <w:rsid w:val="00787241"/>
    <w:rsid w:val="007873C9"/>
    <w:rsid w:val="0079109F"/>
    <w:rsid w:val="00791A17"/>
    <w:rsid w:val="00792AF9"/>
    <w:rsid w:val="00792D28"/>
    <w:rsid w:val="00792D38"/>
    <w:rsid w:val="0079381B"/>
    <w:rsid w:val="00793B1C"/>
    <w:rsid w:val="00793D36"/>
    <w:rsid w:val="00793EFE"/>
    <w:rsid w:val="00793F17"/>
    <w:rsid w:val="00794500"/>
    <w:rsid w:val="00794BCD"/>
    <w:rsid w:val="00794DE0"/>
    <w:rsid w:val="007953D1"/>
    <w:rsid w:val="0079544F"/>
    <w:rsid w:val="007964B2"/>
    <w:rsid w:val="007970FE"/>
    <w:rsid w:val="00797583"/>
    <w:rsid w:val="00797F39"/>
    <w:rsid w:val="007A08CA"/>
    <w:rsid w:val="007A1050"/>
    <w:rsid w:val="007A14EE"/>
    <w:rsid w:val="007A2012"/>
    <w:rsid w:val="007A2CAA"/>
    <w:rsid w:val="007A3196"/>
    <w:rsid w:val="007A3471"/>
    <w:rsid w:val="007A37B0"/>
    <w:rsid w:val="007A3F44"/>
    <w:rsid w:val="007A42C3"/>
    <w:rsid w:val="007A4CE6"/>
    <w:rsid w:val="007A555C"/>
    <w:rsid w:val="007A66EE"/>
    <w:rsid w:val="007A687D"/>
    <w:rsid w:val="007A6E95"/>
    <w:rsid w:val="007B1284"/>
    <w:rsid w:val="007B12BC"/>
    <w:rsid w:val="007B2085"/>
    <w:rsid w:val="007B2164"/>
    <w:rsid w:val="007B3A49"/>
    <w:rsid w:val="007B460F"/>
    <w:rsid w:val="007B463C"/>
    <w:rsid w:val="007B5608"/>
    <w:rsid w:val="007B5C93"/>
    <w:rsid w:val="007B5EB2"/>
    <w:rsid w:val="007B6B59"/>
    <w:rsid w:val="007B6CD7"/>
    <w:rsid w:val="007B6D79"/>
    <w:rsid w:val="007B7439"/>
    <w:rsid w:val="007B74C5"/>
    <w:rsid w:val="007B769A"/>
    <w:rsid w:val="007B7A07"/>
    <w:rsid w:val="007B7A0E"/>
    <w:rsid w:val="007C00F1"/>
    <w:rsid w:val="007C0279"/>
    <w:rsid w:val="007C2059"/>
    <w:rsid w:val="007C2C8B"/>
    <w:rsid w:val="007C3D89"/>
    <w:rsid w:val="007C41FE"/>
    <w:rsid w:val="007C473A"/>
    <w:rsid w:val="007C48B2"/>
    <w:rsid w:val="007C4C05"/>
    <w:rsid w:val="007C4FC2"/>
    <w:rsid w:val="007C50AB"/>
    <w:rsid w:val="007C52C4"/>
    <w:rsid w:val="007C5881"/>
    <w:rsid w:val="007C5AEF"/>
    <w:rsid w:val="007C69FE"/>
    <w:rsid w:val="007C7B05"/>
    <w:rsid w:val="007D13B6"/>
    <w:rsid w:val="007D1696"/>
    <w:rsid w:val="007D2672"/>
    <w:rsid w:val="007D3526"/>
    <w:rsid w:val="007D3EBA"/>
    <w:rsid w:val="007D3EE4"/>
    <w:rsid w:val="007D4D5B"/>
    <w:rsid w:val="007D546D"/>
    <w:rsid w:val="007D54E1"/>
    <w:rsid w:val="007D5791"/>
    <w:rsid w:val="007D5C38"/>
    <w:rsid w:val="007D7499"/>
    <w:rsid w:val="007D76CF"/>
    <w:rsid w:val="007E0F1D"/>
    <w:rsid w:val="007E1193"/>
    <w:rsid w:val="007E16B9"/>
    <w:rsid w:val="007E19AF"/>
    <w:rsid w:val="007E1C08"/>
    <w:rsid w:val="007E2106"/>
    <w:rsid w:val="007E2D38"/>
    <w:rsid w:val="007E3EB1"/>
    <w:rsid w:val="007E4264"/>
    <w:rsid w:val="007E43B7"/>
    <w:rsid w:val="007E451D"/>
    <w:rsid w:val="007E49D3"/>
    <w:rsid w:val="007E581D"/>
    <w:rsid w:val="007E5F37"/>
    <w:rsid w:val="007E626E"/>
    <w:rsid w:val="007E6596"/>
    <w:rsid w:val="007E739C"/>
    <w:rsid w:val="007E7692"/>
    <w:rsid w:val="007F0C17"/>
    <w:rsid w:val="007F1DF2"/>
    <w:rsid w:val="007F2ABF"/>
    <w:rsid w:val="007F2B4D"/>
    <w:rsid w:val="007F394B"/>
    <w:rsid w:val="007F4529"/>
    <w:rsid w:val="007F4720"/>
    <w:rsid w:val="007F51B8"/>
    <w:rsid w:val="007F51F5"/>
    <w:rsid w:val="007F52B2"/>
    <w:rsid w:val="007F53AA"/>
    <w:rsid w:val="007F55B9"/>
    <w:rsid w:val="007F5D0D"/>
    <w:rsid w:val="007F64BB"/>
    <w:rsid w:val="007F6C6E"/>
    <w:rsid w:val="007F6D0E"/>
    <w:rsid w:val="007F6DAF"/>
    <w:rsid w:val="007F7456"/>
    <w:rsid w:val="007F7831"/>
    <w:rsid w:val="007F7CB8"/>
    <w:rsid w:val="007F7DC1"/>
    <w:rsid w:val="0080011C"/>
    <w:rsid w:val="00800B40"/>
    <w:rsid w:val="00801470"/>
    <w:rsid w:val="00801C05"/>
    <w:rsid w:val="008022B4"/>
    <w:rsid w:val="00802AAD"/>
    <w:rsid w:val="00802B0F"/>
    <w:rsid w:val="00802C15"/>
    <w:rsid w:val="00802EC2"/>
    <w:rsid w:val="00803945"/>
    <w:rsid w:val="00803E36"/>
    <w:rsid w:val="008040EF"/>
    <w:rsid w:val="008043EB"/>
    <w:rsid w:val="00805203"/>
    <w:rsid w:val="008056F1"/>
    <w:rsid w:val="00805A6D"/>
    <w:rsid w:val="00806193"/>
    <w:rsid w:val="0080698C"/>
    <w:rsid w:val="00807489"/>
    <w:rsid w:val="00811448"/>
    <w:rsid w:val="00811BF7"/>
    <w:rsid w:val="008120CF"/>
    <w:rsid w:val="008122AC"/>
    <w:rsid w:val="008125B9"/>
    <w:rsid w:val="0081265C"/>
    <w:rsid w:val="008135DA"/>
    <w:rsid w:val="00813F71"/>
    <w:rsid w:val="0081496B"/>
    <w:rsid w:val="00814B78"/>
    <w:rsid w:val="00815111"/>
    <w:rsid w:val="0081665C"/>
    <w:rsid w:val="008166E2"/>
    <w:rsid w:val="00816894"/>
    <w:rsid w:val="00817064"/>
    <w:rsid w:val="008177A6"/>
    <w:rsid w:val="00817E1D"/>
    <w:rsid w:val="0082063E"/>
    <w:rsid w:val="00820EB7"/>
    <w:rsid w:val="00821303"/>
    <w:rsid w:val="00821D50"/>
    <w:rsid w:val="00821DC7"/>
    <w:rsid w:val="008220A8"/>
    <w:rsid w:val="0082269C"/>
    <w:rsid w:val="00823530"/>
    <w:rsid w:val="008241C5"/>
    <w:rsid w:val="0082436B"/>
    <w:rsid w:val="00824448"/>
    <w:rsid w:val="00824542"/>
    <w:rsid w:val="008248B5"/>
    <w:rsid w:val="00824D5B"/>
    <w:rsid w:val="00825C9E"/>
    <w:rsid w:val="00826A5B"/>
    <w:rsid w:val="008276CF"/>
    <w:rsid w:val="00830828"/>
    <w:rsid w:val="00830C72"/>
    <w:rsid w:val="00830DA8"/>
    <w:rsid w:val="0083164A"/>
    <w:rsid w:val="00831A27"/>
    <w:rsid w:val="00831E96"/>
    <w:rsid w:val="00832450"/>
    <w:rsid w:val="00832EF8"/>
    <w:rsid w:val="0083347E"/>
    <w:rsid w:val="0083389F"/>
    <w:rsid w:val="008349AD"/>
    <w:rsid w:val="00834A2D"/>
    <w:rsid w:val="0083612E"/>
    <w:rsid w:val="00837671"/>
    <w:rsid w:val="008407B0"/>
    <w:rsid w:val="00840DEF"/>
    <w:rsid w:val="00841964"/>
    <w:rsid w:val="00843E0A"/>
    <w:rsid w:val="0084407B"/>
    <w:rsid w:val="008455CD"/>
    <w:rsid w:val="00845C18"/>
    <w:rsid w:val="0084672B"/>
    <w:rsid w:val="00847393"/>
    <w:rsid w:val="0084797B"/>
    <w:rsid w:val="008506F5"/>
    <w:rsid w:val="00850973"/>
    <w:rsid w:val="0085167C"/>
    <w:rsid w:val="0085180E"/>
    <w:rsid w:val="00851BAB"/>
    <w:rsid w:val="00851DD6"/>
    <w:rsid w:val="00852730"/>
    <w:rsid w:val="008554A7"/>
    <w:rsid w:val="00856459"/>
    <w:rsid w:val="00857B41"/>
    <w:rsid w:val="008600C9"/>
    <w:rsid w:val="00860A45"/>
    <w:rsid w:val="00860F0E"/>
    <w:rsid w:val="00861F32"/>
    <w:rsid w:val="008622CF"/>
    <w:rsid w:val="00862C96"/>
    <w:rsid w:val="00862F82"/>
    <w:rsid w:val="008644B2"/>
    <w:rsid w:val="0086472D"/>
    <w:rsid w:val="0086482E"/>
    <w:rsid w:val="00864F16"/>
    <w:rsid w:val="0086541B"/>
    <w:rsid w:val="00865850"/>
    <w:rsid w:val="008659FA"/>
    <w:rsid w:val="00865B54"/>
    <w:rsid w:val="00866392"/>
    <w:rsid w:val="00866656"/>
    <w:rsid w:val="00866F48"/>
    <w:rsid w:val="0086770E"/>
    <w:rsid w:val="00867BF4"/>
    <w:rsid w:val="00867E64"/>
    <w:rsid w:val="0087006B"/>
    <w:rsid w:val="00870304"/>
    <w:rsid w:val="00870BFF"/>
    <w:rsid w:val="00871A14"/>
    <w:rsid w:val="008725A6"/>
    <w:rsid w:val="00872BDD"/>
    <w:rsid w:val="00873884"/>
    <w:rsid w:val="00873ABE"/>
    <w:rsid w:val="00874099"/>
    <w:rsid w:val="0087455F"/>
    <w:rsid w:val="008748E2"/>
    <w:rsid w:val="00874A42"/>
    <w:rsid w:val="00875398"/>
    <w:rsid w:val="008758E3"/>
    <w:rsid w:val="00875DDE"/>
    <w:rsid w:val="00875EC1"/>
    <w:rsid w:val="0088024E"/>
    <w:rsid w:val="008812D7"/>
    <w:rsid w:val="00881C12"/>
    <w:rsid w:val="00883D8F"/>
    <w:rsid w:val="00884043"/>
    <w:rsid w:val="00884271"/>
    <w:rsid w:val="00885121"/>
    <w:rsid w:val="00885B7A"/>
    <w:rsid w:val="00886210"/>
    <w:rsid w:val="00886F14"/>
    <w:rsid w:val="00886FF5"/>
    <w:rsid w:val="008879FF"/>
    <w:rsid w:val="008913E1"/>
    <w:rsid w:val="00891AF9"/>
    <w:rsid w:val="0089205B"/>
    <w:rsid w:val="00892225"/>
    <w:rsid w:val="00892D7E"/>
    <w:rsid w:val="00894339"/>
    <w:rsid w:val="00894712"/>
    <w:rsid w:val="00895403"/>
    <w:rsid w:val="00895553"/>
    <w:rsid w:val="00895F3B"/>
    <w:rsid w:val="00895FAD"/>
    <w:rsid w:val="008960AB"/>
    <w:rsid w:val="00896C32"/>
    <w:rsid w:val="00896C8A"/>
    <w:rsid w:val="0089728D"/>
    <w:rsid w:val="00897ABE"/>
    <w:rsid w:val="008A1154"/>
    <w:rsid w:val="008A2053"/>
    <w:rsid w:val="008A38F4"/>
    <w:rsid w:val="008A4382"/>
    <w:rsid w:val="008A4A80"/>
    <w:rsid w:val="008A538C"/>
    <w:rsid w:val="008A53C8"/>
    <w:rsid w:val="008A53D2"/>
    <w:rsid w:val="008A5FCE"/>
    <w:rsid w:val="008A66E1"/>
    <w:rsid w:val="008A6A4F"/>
    <w:rsid w:val="008A751B"/>
    <w:rsid w:val="008B3870"/>
    <w:rsid w:val="008B492B"/>
    <w:rsid w:val="008B55D9"/>
    <w:rsid w:val="008B5653"/>
    <w:rsid w:val="008B6BBB"/>
    <w:rsid w:val="008B7C55"/>
    <w:rsid w:val="008B7F08"/>
    <w:rsid w:val="008C0EEF"/>
    <w:rsid w:val="008C0FE7"/>
    <w:rsid w:val="008C10B1"/>
    <w:rsid w:val="008C1465"/>
    <w:rsid w:val="008C1686"/>
    <w:rsid w:val="008C2093"/>
    <w:rsid w:val="008C3640"/>
    <w:rsid w:val="008C4069"/>
    <w:rsid w:val="008C4F53"/>
    <w:rsid w:val="008C5326"/>
    <w:rsid w:val="008C6530"/>
    <w:rsid w:val="008C69E0"/>
    <w:rsid w:val="008C6C26"/>
    <w:rsid w:val="008C6FA4"/>
    <w:rsid w:val="008D0A5D"/>
    <w:rsid w:val="008D13FA"/>
    <w:rsid w:val="008D190A"/>
    <w:rsid w:val="008D1F44"/>
    <w:rsid w:val="008D219E"/>
    <w:rsid w:val="008D2689"/>
    <w:rsid w:val="008D30BE"/>
    <w:rsid w:val="008D418C"/>
    <w:rsid w:val="008D4610"/>
    <w:rsid w:val="008D4703"/>
    <w:rsid w:val="008D5A0B"/>
    <w:rsid w:val="008D6003"/>
    <w:rsid w:val="008D73C1"/>
    <w:rsid w:val="008E1416"/>
    <w:rsid w:val="008E1F90"/>
    <w:rsid w:val="008E20C1"/>
    <w:rsid w:val="008E239E"/>
    <w:rsid w:val="008E26D7"/>
    <w:rsid w:val="008E2942"/>
    <w:rsid w:val="008E2EBD"/>
    <w:rsid w:val="008E335D"/>
    <w:rsid w:val="008E386A"/>
    <w:rsid w:val="008E3CFA"/>
    <w:rsid w:val="008E48D4"/>
    <w:rsid w:val="008E4EF5"/>
    <w:rsid w:val="008E571C"/>
    <w:rsid w:val="008E5D94"/>
    <w:rsid w:val="008E6A1A"/>
    <w:rsid w:val="008E74F3"/>
    <w:rsid w:val="008E7546"/>
    <w:rsid w:val="008E7FCC"/>
    <w:rsid w:val="008F001C"/>
    <w:rsid w:val="008F15E7"/>
    <w:rsid w:val="008F2D0B"/>
    <w:rsid w:val="008F3555"/>
    <w:rsid w:val="008F494A"/>
    <w:rsid w:val="008F4F4A"/>
    <w:rsid w:val="008F53CB"/>
    <w:rsid w:val="008F58C2"/>
    <w:rsid w:val="008F6C19"/>
    <w:rsid w:val="008F74A8"/>
    <w:rsid w:val="008F7A69"/>
    <w:rsid w:val="008F7CBA"/>
    <w:rsid w:val="00900802"/>
    <w:rsid w:val="00900B0F"/>
    <w:rsid w:val="009014ED"/>
    <w:rsid w:val="009028C8"/>
    <w:rsid w:val="009038AF"/>
    <w:rsid w:val="00903B55"/>
    <w:rsid w:val="00904715"/>
    <w:rsid w:val="00904782"/>
    <w:rsid w:val="00904FA0"/>
    <w:rsid w:val="00905305"/>
    <w:rsid w:val="00906DE3"/>
    <w:rsid w:val="0090700A"/>
    <w:rsid w:val="0090788D"/>
    <w:rsid w:val="00907AD4"/>
    <w:rsid w:val="00910390"/>
    <w:rsid w:val="00911891"/>
    <w:rsid w:val="00911B8E"/>
    <w:rsid w:val="00912EDD"/>
    <w:rsid w:val="00912EE1"/>
    <w:rsid w:val="009132E2"/>
    <w:rsid w:val="00913857"/>
    <w:rsid w:val="00913B91"/>
    <w:rsid w:val="00913C4E"/>
    <w:rsid w:val="00913DC4"/>
    <w:rsid w:val="00914595"/>
    <w:rsid w:val="00914A0D"/>
    <w:rsid w:val="009151C9"/>
    <w:rsid w:val="009152AC"/>
    <w:rsid w:val="009155E8"/>
    <w:rsid w:val="0091584B"/>
    <w:rsid w:val="009165E2"/>
    <w:rsid w:val="00916630"/>
    <w:rsid w:val="00916E67"/>
    <w:rsid w:val="00917534"/>
    <w:rsid w:val="00917656"/>
    <w:rsid w:val="00917B05"/>
    <w:rsid w:val="00917BE1"/>
    <w:rsid w:val="00917C5B"/>
    <w:rsid w:val="00920AF2"/>
    <w:rsid w:val="0092187C"/>
    <w:rsid w:val="00921A24"/>
    <w:rsid w:val="009223AC"/>
    <w:rsid w:val="009224F0"/>
    <w:rsid w:val="009229BB"/>
    <w:rsid w:val="0092363F"/>
    <w:rsid w:val="00923E36"/>
    <w:rsid w:val="00923F3B"/>
    <w:rsid w:val="00923F76"/>
    <w:rsid w:val="00924E83"/>
    <w:rsid w:val="00926BC9"/>
    <w:rsid w:val="00926E6B"/>
    <w:rsid w:val="00927395"/>
    <w:rsid w:val="00927442"/>
    <w:rsid w:val="009308CC"/>
    <w:rsid w:val="00930AE6"/>
    <w:rsid w:val="0093177E"/>
    <w:rsid w:val="00931CD4"/>
    <w:rsid w:val="00933209"/>
    <w:rsid w:val="00933CBA"/>
    <w:rsid w:val="00935346"/>
    <w:rsid w:val="00935A6E"/>
    <w:rsid w:val="00935D63"/>
    <w:rsid w:val="009378B6"/>
    <w:rsid w:val="00937973"/>
    <w:rsid w:val="00937A86"/>
    <w:rsid w:val="009403DE"/>
    <w:rsid w:val="00940A8F"/>
    <w:rsid w:val="00940E12"/>
    <w:rsid w:val="00940FE2"/>
    <w:rsid w:val="009412C4"/>
    <w:rsid w:val="009418BB"/>
    <w:rsid w:val="00943438"/>
    <w:rsid w:val="00943F3E"/>
    <w:rsid w:val="009457E9"/>
    <w:rsid w:val="00945C06"/>
    <w:rsid w:val="00945E42"/>
    <w:rsid w:val="00945F74"/>
    <w:rsid w:val="0094639A"/>
    <w:rsid w:val="00946707"/>
    <w:rsid w:val="00946D68"/>
    <w:rsid w:val="00947468"/>
    <w:rsid w:val="00947A1E"/>
    <w:rsid w:val="00947D8C"/>
    <w:rsid w:val="0095045B"/>
    <w:rsid w:val="00950874"/>
    <w:rsid w:val="00950E6F"/>
    <w:rsid w:val="0095169D"/>
    <w:rsid w:val="00951F07"/>
    <w:rsid w:val="00952D6B"/>
    <w:rsid w:val="00953209"/>
    <w:rsid w:val="009533F9"/>
    <w:rsid w:val="009536F9"/>
    <w:rsid w:val="009537E2"/>
    <w:rsid w:val="00954811"/>
    <w:rsid w:val="00954C15"/>
    <w:rsid w:val="00954D51"/>
    <w:rsid w:val="009553BA"/>
    <w:rsid w:val="00955A8B"/>
    <w:rsid w:val="00955AF5"/>
    <w:rsid w:val="0095704B"/>
    <w:rsid w:val="00960594"/>
    <w:rsid w:val="009611C7"/>
    <w:rsid w:val="00961769"/>
    <w:rsid w:val="00963285"/>
    <w:rsid w:val="00963593"/>
    <w:rsid w:val="009644E0"/>
    <w:rsid w:val="00964640"/>
    <w:rsid w:val="00964A0D"/>
    <w:rsid w:val="00964A64"/>
    <w:rsid w:val="00964FF9"/>
    <w:rsid w:val="009657B5"/>
    <w:rsid w:val="00965D8A"/>
    <w:rsid w:val="0096747E"/>
    <w:rsid w:val="009676E5"/>
    <w:rsid w:val="0096774E"/>
    <w:rsid w:val="00970439"/>
    <w:rsid w:val="009716AD"/>
    <w:rsid w:val="00971F33"/>
    <w:rsid w:val="0097241B"/>
    <w:rsid w:val="00973063"/>
    <w:rsid w:val="009734AF"/>
    <w:rsid w:val="009735E4"/>
    <w:rsid w:val="009741F1"/>
    <w:rsid w:val="0097452D"/>
    <w:rsid w:val="009746A9"/>
    <w:rsid w:val="00974E02"/>
    <w:rsid w:val="009751DE"/>
    <w:rsid w:val="00975697"/>
    <w:rsid w:val="00975818"/>
    <w:rsid w:val="00976130"/>
    <w:rsid w:val="009767DA"/>
    <w:rsid w:val="00976E09"/>
    <w:rsid w:val="0097735D"/>
    <w:rsid w:val="00980324"/>
    <w:rsid w:val="00980944"/>
    <w:rsid w:val="00981D32"/>
    <w:rsid w:val="00982339"/>
    <w:rsid w:val="00983A86"/>
    <w:rsid w:val="00983C64"/>
    <w:rsid w:val="00984CA1"/>
    <w:rsid w:val="009853B3"/>
    <w:rsid w:val="00985695"/>
    <w:rsid w:val="0098589C"/>
    <w:rsid w:val="00985BC2"/>
    <w:rsid w:val="00985BF9"/>
    <w:rsid w:val="00985E6E"/>
    <w:rsid w:val="009868A7"/>
    <w:rsid w:val="0098690D"/>
    <w:rsid w:val="00986CF7"/>
    <w:rsid w:val="009875B2"/>
    <w:rsid w:val="00987C1D"/>
    <w:rsid w:val="00990B13"/>
    <w:rsid w:val="00991681"/>
    <w:rsid w:val="009916BF"/>
    <w:rsid w:val="00992062"/>
    <w:rsid w:val="00992429"/>
    <w:rsid w:val="00992654"/>
    <w:rsid w:val="00992C0E"/>
    <w:rsid w:val="00992E55"/>
    <w:rsid w:val="00994265"/>
    <w:rsid w:val="00995F17"/>
    <w:rsid w:val="009972BC"/>
    <w:rsid w:val="009977E0"/>
    <w:rsid w:val="009A0D51"/>
    <w:rsid w:val="009A114A"/>
    <w:rsid w:val="009A1772"/>
    <w:rsid w:val="009A1F6F"/>
    <w:rsid w:val="009A2330"/>
    <w:rsid w:val="009A2FE4"/>
    <w:rsid w:val="009A36C0"/>
    <w:rsid w:val="009A3CE4"/>
    <w:rsid w:val="009A43E4"/>
    <w:rsid w:val="009A6B42"/>
    <w:rsid w:val="009A760B"/>
    <w:rsid w:val="009A77C0"/>
    <w:rsid w:val="009A7B79"/>
    <w:rsid w:val="009A7EC7"/>
    <w:rsid w:val="009B10D5"/>
    <w:rsid w:val="009B1762"/>
    <w:rsid w:val="009B1A2C"/>
    <w:rsid w:val="009B2619"/>
    <w:rsid w:val="009B2B5D"/>
    <w:rsid w:val="009B2D8F"/>
    <w:rsid w:val="009B3EED"/>
    <w:rsid w:val="009B472C"/>
    <w:rsid w:val="009B4990"/>
    <w:rsid w:val="009B4BE9"/>
    <w:rsid w:val="009B5238"/>
    <w:rsid w:val="009B53F6"/>
    <w:rsid w:val="009B57AD"/>
    <w:rsid w:val="009C034A"/>
    <w:rsid w:val="009C0CAB"/>
    <w:rsid w:val="009C116A"/>
    <w:rsid w:val="009C1CC9"/>
    <w:rsid w:val="009C2418"/>
    <w:rsid w:val="009C2891"/>
    <w:rsid w:val="009C29D2"/>
    <w:rsid w:val="009C44F5"/>
    <w:rsid w:val="009C56F2"/>
    <w:rsid w:val="009C5939"/>
    <w:rsid w:val="009C5E07"/>
    <w:rsid w:val="009C626B"/>
    <w:rsid w:val="009C6660"/>
    <w:rsid w:val="009C75CD"/>
    <w:rsid w:val="009C7CED"/>
    <w:rsid w:val="009D0505"/>
    <w:rsid w:val="009D0946"/>
    <w:rsid w:val="009D181F"/>
    <w:rsid w:val="009D21DD"/>
    <w:rsid w:val="009D24EE"/>
    <w:rsid w:val="009D26AB"/>
    <w:rsid w:val="009D29C8"/>
    <w:rsid w:val="009D3383"/>
    <w:rsid w:val="009D3412"/>
    <w:rsid w:val="009D3529"/>
    <w:rsid w:val="009D3FF2"/>
    <w:rsid w:val="009D4D3E"/>
    <w:rsid w:val="009D5533"/>
    <w:rsid w:val="009D62CB"/>
    <w:rsid w:val="009D742B"/>
    <w:rsid w:val="009E00BD"/>
    <w:rsid w:val="009E0B95"/>
    <w:rsid w:val="009E1AC6"/>
    <w:rsid w:val="009E1D78"/>
    <w:rsid w:val="009E2881"/>
    <w:rsid w:val="009E2951"/>
    <w:rsid w:val="009E31C2"/>
    <w:rsid w:val="009E35A2"/>
    <w:rsid w:val="009E3938"/>
    <w:rsid w:val="009E39DD"/>
    <w:rsid w:val="009E3DDC"/>
    <w:rsid w:val="009E4537"/>
    <w:rsid w:val="009E45F6"/>
    <w:rsid w:val="009E52ED"/>
    <w:rsid w:val="009E5779"/>
    <w:rsid w:val="009E5CDE"/>
    <w:rsid w:val="009E5FE4"/>
    <w:rsid w:val="009E7295"/>
    <w:rsid w:val="009E7887"/>
    <w:rsid w:val="009E7A63"/>
    <w:rsid w:val="009F11DC"/>
    <w:rsid w:val="009F36C3"/>
    <w:rsid w:val="009F3AF8"/>
    <w:rsid w:val="009F3EA3"/>
    <w:rsid w:val="009F46AC"/>
    <w:rsid w:val="009F4B77"/>
    <w:rsid w:val="009F537E"/>
    <w:rsid w:val="009F6AC8"/>
    <w:rsid w:val="009F6C5A"/>
    <w:rsid w:val="009F7033"/>
    <w:rsid w:val="009F73CD"/>
    <w:rsid w:val="009F78EE"/>
    <w:rsid w:val="00A0028B"/>
    <w:rsid w:val="00A01F40"/>
    <w:rsid w:val="00A026E3"/>
    <w:rsid w:val="00A0361B"/>
    <w:rsid w:val="00A042CB"/>
    <w:rsid w:val="00A0444B"/>
    <w:rsid w:val="00A04801"/>
    <w:rsid w:val="00A04B14"/>
    <w:rsid w:val="00A05AD2"/>
    <w:rsid w:val="00A068A3"/>
    <w:rsid w:val="00A0694F"/>
    <w:rsid w:val="00A06E39"/>
    <w:rsid w:val="00A07A0F"/>
    <w:rsid w:val="00A07A49"/>
    <w:rsid w:val="00A07B47"/>
    <w:rsid w:val="00A10622"/>
    <w:rsid w:val="00A11558"/>
    <w:rsid w:val="00A11689"/>
    <w:rsid w:val="00A117A6"/>
    <w:rsid w:val="00A11CC7"/>
    <w:rsid w:val="00A11D82"/>
    <w:rsid w:val="00A12AFB"/>
    <w:rsid w:val="00A12D91"/>
    <w:rsid w:val="00A1347A"/>
    <w:rsid w:val="00A1438A"/>
    <w:rsid w:val="00A14640"/>
    <w:rsid w:val="00A14A19"/>
    <w:rsid w:val="00A14D65"/>
    <w:rsid w:val="00A15B68"/>
    <w:rsid w:val="00A16A88"/>
    <w:rsid w:val="00A16B54"/>
    <w:rsid w:val="00A1721C"/>
    <w:rsid w:val="00A1770C"/>
    <w:rsid w:val="00A20504"/>
    <w:rsid w:val="00A20FAE"/>
    <w:rsid w:val="00A228CA"/>
    <w:rsid w:val="00A22B9F"/>
    <w:rsid w:val="00A23286"/>
    <w:rsid w:val="00A25874"/>
    <w:rsid w:val="00A263E9"/>
    <w:rsid w:val="00A26B7D"/>
    <w:rsid w:val="00A301D0"/>
    <w:rsid w:val="00A30948"/>
    <w:rsid w:val="00A30B55"/>
    <w:rsid w:val="00A31634"/>
    <w:rsid w:val="00A31BF0"/>
    <w:rsid w:val="00A3212E"/>
    <w:rsid w:val="00A3223F"/>
    <w:rsid w:val="00A34337"/>
    <w:rsid w:val="00A35EF8"/>
    <w:rsid w:val="00A3690B"/>
    <w:rsid w:val="00A36BDC"/>
    <w:rsid w:val="00A36EC7"/>
    <w:rsid w:val="00A37BE5"/>
    <w:rsid w:val="00A37DC4"/>
    <w:rsid w:val="00A4031E"/>
    <w:rsid w:val="00A40585"/>
    <w:rsid w:val="00A40F2C"/>
    <w:rsid w:val="00A41180"/>
    <w:rsid w:val="00A41278"/>
    <w:rsid w:val="00A4158B"/>
    <w:rsid w:val="00A421B2"/>
    <w:rsid w:val="00A430E2"/>
    <w:rsid w:val="00A434D9"/>
    <w:rsid w:val="00A444A3"/>
    <w:rsid w:val="00A46D5C"/>
    <w:rsid w:val="00A47A28"/>
    <w:rsid w:val="00A47F1A"/>
    <w:rsid w:val="00A47F28"/>
    <w:rsid w:val="00A514C0"/>
    <w:rsid w:val="00A51D0A"/>
    <w:rsid w:val="00A528B8"/>
    <w:rsid w:val="00A52D4D"/>
    <w:rsid w:val="00A5317E"/>
    <w:rsid w:val="00A531F2"/>
    <w:rsid w:val="00A53661"/>
    <w:rsid w:val="00A5377F"/>
    <w:rsid w:val="00A54EDC"/>
    <w:rsid w:val="00A551AD"/>
    <w:rsid w:val="00A554FB"/>
    <w:rsid w:val="00A555BF"/>
    <w:rsid w:val="00A5590F"/>
    <w:rsid w:val="00A55EBB"/>
    <w:rsid w:val="00A56160"/>
    <w:rsid w:val="00A56377"/>
    <w:rsid w:val="00A56832"/>
    <w:rsid w:val="00A56899"/>
    <w:rsid w:val="00A56AE2"/>
    <w:rsid w:val="00A5774E"/>
    <w:rsid w:val="00A608D2"/>
    <w:rsid w:val="00A60BDD"/>
    <w:rsid w:val="00A61D84"/>
    <w:rsid w:val="00A62694"/>
    <w:rsid w:val="00A62B34"/>
    <w:rsid w:val="00A63E04"/>
    <w:rsid w:val="00A63E47"/>
    <w:rsid w:val="00A64CE2"/>
    <w:rsid w:val="00A653F0"/>
    <w:rsid w:val="00A66B7A"/>
    <w:rsid w:val="00A67286"/>
    <w:rsid w:val="00A6743F"/>
    <w:rsid w:val="00A6746C"/>
    <w:rsid w:val="00A675FD"/>
    <w:rsid w:val="00A67628"/>
    <w:rsid w:val="00A70174"/>
    <w:rsid w:val="00A705D2"/>
    <w:rsid w:val="00A70DE1"/>
    <w:rsid w:val="00A70E8F"/>
    <w:rsid w:val="00A741FE"/>
    <w:rsid w:val="00A76007"/>
    <w:rsid w:val="00A761C6"/>
    <w:rsid w:val="00A76F4F"/>
    <w:rsid w:val="00A77C21"/>
    <w:rsid w:val="00A81B50"/>
    <w:rsid w:val="00A81FFF"/>
    <w:rsid w:val="00A8224C"/>
    <w:rsid w:val="00A822F8"/>
    <w:rsid w:val="00A82C84"/>
    <w:rsid w:val="00A83038"/>
    <w:rsid w:val="00A84923"/>
    <w:rsid w:val="00A849D3"/>
    <w:rsid w:val="00A853CF"/>
    <w:rsid w:val="00A8597D"/>
    <w:rsid w:val="00A864CA"/>
    <w:rsid w:val="00A868E6"/>
    <w:rsid w:val="00A90711"/>
    <w:rsid w:val="00A90CD1"/>
    <w:rsid w:val="00A913D6"/>
    <w:rsid w:val="00A91E4C"/>
    <w:rsid w:val="00A92502"/>
    <w:rsid w:val="00A9301A"/>
    <w:rsid w:val="00A933A4"/>
    <w:rsid w:val="00A958B8"/>
    <w:rsid w:val="00A95A25"/>
    <w:rsid w:val="00A96083"/>
    <w:rsid w:val="00A96697"/>
    <w:rsid w:val="00AA0372"/>
    <w:rsid w:val="00AA0CB2"/>
    <w:rsid w:val="00AA117A"/>
    <w:rsid w:val="00AA249C"/>
    <w:rsid w:val="00AA2996"/>
    <w:rsid w:val="00AA2FE7"/>
    <w:rsid w:val="00AA3C7B"/>
    <w:rsid w:val="00AA5B14"/>
    <w:rsid w:val="00AA5CC6"/>
    <w:rsid w:val="00AA5D80"/>
    <w:rsid w:val="00AA5E4B"/>
    <w:rsid w:val="00AA5F48"/>
    <w:rsid w:val="00AA688B"/>
    <w:rsid w:val="00AA6E0E"/>
    <w:rsid w:val="00AA7A40"/>
    <w:rsid w:val="00AB0A0A"/>
    <w:rsid w:val="00AB1227"/>
    <w:rsid w:val="00AB16FA"/>
    <w:rsid w:val="00AB1B2B"/>
    <w:rsid w:val="00AB28E3"/>
    <w:rsid w:val="00AB33DB"/>
    <w:rsid w:val="00AB4F36"/>
    <w:rsid w:val="00AB6E87"/>
    <w:rsid w:val="00AB6F14"/>
    <w:rsid w:val="00AB7918"/>
    <w:rsid w:val="00AC0EA7"/>
    <w:rsid w:val="00AC1719"/>
    <w:rsid w:val="00AC1DA1"/>
    <w:rsid w:val="00AC21CB"/>
    <w:rsid w:val="00AC21D9"/>
    <w:rsid w:val="00AC3092"/>
    <w:rsid w:val="00AC3874"/>
    <w:rsid w:val="00AC3958"/>
    <w:rsid w:val="00AC3D5D"/>
    <w:rsid w:val="00AC4688"/>
    <w:rsid w:val="00AC54DB"/>
    <w:rsid w:val="00AC5689"/>
    <w:rsid w:val="00AC72F8"/>
    <w:rsid w:val="00AC7E07"/>
    <w:rsid w:val="00AD0A93"/>
    <w:rsid w:val="00AD0E56"/>
    <w:rsid w:val="00AD0F89"/>
    <w:rsid w:val="00AD2017"/>
    <w:rsid w:val="00AD20FA"/>
    <w:rsid w:val="00AD2555"/>
    <w:rsid w:val="00AD2593"/>
    <w:rsid w:val="00AD328A"/>
    <w:rsid w:val="00AD3682"/>
    <w:rsid w:val="00AD376B"/>
    <w:rsid w:val="00AD39DD"/>
    <w:rsid w:val="00AD558B"/>
    <w:rsid w:val="00AD57C3"/>
    <w:rsid w:val="00AD5ABA"/>
    <w:rsid w:val="00AD5E73"/>
    <w:rsid w:val="00AD64D1"/>
    <w:rsid w:val="00AD655B"/>
    <w:rsid w:val="00AD673F"/>
    <w:rsid w:val="00AD6803"/>
    <w:rsid w:val="00AD6B2B"/>
    <w:rsid w:val="00AD6FCE"/>
    <w:rsid w:val="00AD7159"/>
    <w:rsid w:val="00AD7CFC"/>
    <w:rsid w:val="00AE0B54"/>
    <w:rsid w:val="00AE1186"/>
    <w:rsid w:val="00AE22E1"/>
    <w:rsid w:val="00AE25D3"/>
    <w:rsid w:val="00AE29C6"/>
    <w:rsid w:val="00AE3452"/>
    <w:rsid w:val="00AE3805"/>
    <w:rsid w:val="00AE485D"/>
    <w:rsid w:val="00AE5F5F"/>
    <w:rsid w:val="00AE64FD"/>
    <w:rsid w:val="00AE6A65"/>
    <w:rsid w:val="00AE6B84"/>
    <w:rsid w:val="00AE786B"/>
    <w:rsid w:val="00AE7BD2"/>
    <w:rsid w:val="00AF0AB1"/>
    <w:rsid w:val="00AF28AB"/>
    <w:rsid w:val="00AF388B"/>
    <w:rsid w:val="00AF4172"/>
    <w:rsid w:val="00AF423C"/>
    <w:rsid w:val="00AF455E"/>
    <w:rsid w:val="00AF4BCC"/>
    <w:rsid w:val="00AF527A"/>
    <w:rsid w:val="00AF5888"/>
    <w:rsid w:val="00AF5E2C"/>
    <w:rsid w:val="00AF6410"/>
    <w:rsid w:val="00AF6804"/>
    <w:rsid w:val="00AF7D4A"/>
    <w:rsid w:val="00AF7E0F"/>
    <w:rsid w:val="00B00372"/>
    <w:rsid w:val="00B00AB4"/>
    <w:rsid w:val="00B01268"/>
    <w:rsid w:val="00B01820"/>
    <w:rsid w:val="00B02011"/>
    <w:rsid w:val="00B02114"/>
    <w:rsid w:val="00B0261C"/>
    <w:rsid w:val="00B04305"/>
    <w:rsid w:val="00B04601"/>
    <w:rsid w:val="00B04E27"/>
    <w:rsid w:val="00B05105"/>
    <w:rsid w:val="00B05ABB"/>
    <w:rsid w:val="00B05C40"/>
    <w:rsid w:val="00B06725"/>
    <w:rsid w:val="00B06A89"/>
    <w:rsid w:val="00B06E30"/>
    <w:rsid w:val="00B07687"/>
    <w:rsid w:val="00B07938"/>
    <w:rsid w:val="00B1056E"/>
    <w:rsid w:val="00B10586"/>
    <w:rsid w:val="00B105FC"/>
    <w:rsid w:val="00B1086A"/>
    <w:rsid w:val="00B110C6"/>
    <w:rsid w:val="00B11B57"/>
    <w:rsid w:val="00B11C4C"/>
    <w:rsid w:val="00B12302"/>
    <w:rsid w:val="00B1232F"/>
    <w:rsid w:val="00B13C65"/>
    <w:rsid w:val="00B13E7F"/>
    <w:rsid w:val="00B15F61"/>
    <w:rsid w:val="00B15F8E"/>
    <w:rsid w:val="00B16A2D"/>
    <w:rsid w:val="00B16B58"/>
    <w:rsid w:val="00B16D2E"/>
    <w:rsid w:val="00B17B19"/>
    <w:rsid w:val="00B17F15"/>
    <w:rsid w:val="00B21730"/>
    <w:rsid w:val="00B2237F"/>
    <w:rsid w:val="00B2292F"/>
    <w:rsid w:val="00B234C7"/>
    <w:rsid w:val="00B254F0"/>
    <w:rsid w:val="00B262B1"/>
    <w:rsid w:val="00B26CA2"/>
    <w:rsid w:val="00B300E9"/>
    <w:rsid w:val="00B310B8"/>
    <w:rsid w:val="00B31A14"/>
    <w:rsid w:val="00B3200B"/>
    <w:rsid w:val="00B321DA"/>
    <w:rsid w:val="00B332F6"/>
    <w:rsid w:val="00B33410"/>
    <w:rsid w:val="00B34999"/>
    <w:rsid w:val="00B34C0A"/>
    <w:rsid w:val="00B34ED0"/>
    <w:rsid w:val="00B355E0"/>
    <w:rsid w:val="00B37CB6"/>
    <w:rsid w:val="00B40036"/>
    <w:rsid w:val="00B408A3"/>
    <w:rsid w:val="00B40A65"/>
    <w:rsid w:val="00B41862"/>
    <w:rsid w:val="00B41F44"/>
    <w:rsid w:val="00B42BA7"/>
    <w:rsid w:val="00B43A5F"/>
    <w:rsid w:val="00B4422E"/>
    <w:rsid w:val="00B446FA"/>
    <w:rsid w:val="00B456DF"/>
    <w:rsid w:val="00B45D03"/>
    <w:rsid w:val="00B46316"/>
    <w:rsid w:val="00B46842"/>
    <w:rsid w:val="00B4729C"/>
    <w:rsid w:val="00B500D4"/>
    <w:rsid w:val="00B501BF"/>
    <w:rsid w:val="00B51024"/>
    <w:rsid w:val="00B5168D"/>
    <w:rsid w:val="00B522C4"/>
    <w:rsid w:val="00B53CD8"/>
    <w:rsid w:val="00B54672"/>
    <w:rsid w:val="00B546E4"/>
    <w:rsid w:val="00B548CB"/>
    <w:rsid w:val="00B54CBE"/>
    <w:rsid w:val="00B557B7"/>
    <w:rsid w:val="00B55861"/>
    <w:rsid w:val="00B55A11"/>
    <w:rsid w:val="00B55CB6"/>
    <w:rsid w:val="00B55DD1"/>
    <w:rsid w:val="00B566FB"/>
    <w:rsid w:val="00B5688B"/>
    <w:rsid w:val="00B56E9D"/>
    <w:rsid w:val="00B571A2"/>
    <w:rsid w:val="00B576D1"/>
    <w:rsid w:val="00B57A79"/>
    <w:rsid w:val="00B60C1E"/>
    <w:rsid w:val="00B615EA"/>
    <w:rsid w:val="00B61D3A"/>
    <w:rsid w:val="00B6229A"/>
    <w:rsid w:val="00B62606"/>
    <w:rsid w:val="00B64B17"/>
    <w:rsid w:val="00B64F47"/>
    <w:rsid w:val="00B65F89"/>
    <w:rsid w:val="00B664D5"/>
    <w:rsid w:val="00B66B73"/>
    <w:rsid w:val="00B66C09"/>
    <w:rsid w:val="00B67284"/>
    <w:rsid w:val="00B7073D"/>
    <w:rsid w:val="00B70B40"/>
    <w:rsid w:val="00B71DA5"/>
    <w:rsid w:val="00B7210A"/>
    <w:rsid w:val="00B72B69"/>
    <w:rsid w:val="00B758ED"/>
    <w:rsid w:val="00B761D3"/>
    <w:rsid w:val="00B76AA8"/>
    <w:rsid w:val="00B7743E"/>
    <w:rsid w:val="00B77981"/>
    <w:rsid w:val="00B77CA8"/>
    <w:rsid w:val="00B802DE"/>
    <w:rsid w:val="00B8180D"/>
    <w:rsid w:val="00B818AB"/>
    <w:rsid w:val="00B82C2D"/>
    <w:rsid w:val="00B82CBA"/>
    <w:rsid w:val="00B82FAD"/>
    <w:rsid w:val="00B8363E"/>
    <w:rsid w:val="00B83D85"/>
    <w:rsid w:val="00B846C3"/>
    <w:rsid w:val="00B85E63"/>
    <w:rsid w:val="00B869C6"/>
    <w:rsid w:val="00B87147"/>
    <w:rsid w:val="00B8738B"/>
    <w:rsid w:val="00B8747D"/>
    <w:rsid w:val="00B87F38"/>
    <w:rsid w:val="00B905E9"/>
    <w:rsid w:val="00B9113E"/>
    <w:rsid w:val="00B913B3"/>
    <w:rsid w:val="00B91675"/>
    <w:rsid w:val="00B92F1E"/>
    <w:rsid w:val="00B93009"/>
    <w:rsid w:val="00B9343B"/>
    <w:rsid w:val="00B9361A"/>
    <w:rsid w:val="00B963D5"/>
    <w:rsid w:val="00B974F2"/>
    <w:rsid w:val="00B97901"/>
    <w:rsid w:val="00BA08B3"/>
    <w:rsid w:val="00BA15F0"/>
    <w:rsid w:val="00BA3EF0"/>
    <w:rsid w:val="00BA4145"/>
    <w:rsid w:val="00BA4FEE"/>
    <w:rsid w:val="00BA5A49"/>
    <w:rsid w:val="00BA5FE7"/>
    <w:rsid w:val="00BA653C"/>
    <w:rsid w:val="00BA6A2F"/>
    <w:rsid w:val="00BA6AD0"/>
    <w:rsid w:val="00BA755C"/>
    <w:rsid w:val="00BA7DC1"/>
    <w:rsid w:val="00BB0AE5"/>
    <w:rsid w:val="00BB1DDC"/>
    <w:rsid w:val="00BB3A16"/>
    <w:rsid w:val="00BB3A17"/>
    <w:rsid w:val="00BB3AFD"/>
    <w:rsid w:val="00BB3DB4"/>
    <w:rsid w:val="00BB4B2A"/>
    <w:rsid w:val="00BB4DA4"/>
    <w:rsid w:val="00BB538A"/>
    <w:rsid w:val="00BB5C56"/>
    <w:rsid w:val="00BB5E9A"/>
    <w:rsid w:val="00BB5F3F"/>
    <w:rsid w:val="00BB60C9"/>
    <w:rsid w:val="00BB60F6"/>
    <w:rsid w:val="00BB6948"/>
    <w:rsid w:val="00BB7774"/>
    <w:rsid w:val="00BB7D43"/>
    <w:rsid w:val="00BC030C"/>
    <w:rsid w:val="00BC0944"/>
    <w:rsid w:val="00BC1102"/>
    <w:rsid w:val="00BC13E6"/>
    <w:rsid w:val="00BC1553"/>
    <w:rsid w:val="00BC2CBE"/>
    <w:rsid w:val="00BC30C8"/>
    <w:rsid w:val="00BC3498"/>
    <w:rsid w:val="00BC38E8"/>
    <w:rsid w:val="00BC3CB5"/>
    <w:rsid w:val="00BC4876"/>
    <w:rsid w:val="00BC4E74"/>
    <w:rsid w:val="00BC5B06"/>
    <w:rsid w:val="00BC686A"/>
    <w:rsid w:val="00BC74BC"/>
    <w:rsid w:val="00BC7A5C"/>
    <w:rsid w:val="00BD063C"/>
    <w:rsid w:val="00BD0CD6"/>
    <w:rsid w:val="00BD1B3B"/>
    <w:rsid w:val="00BD22C6"/>
    <w:rsid w:val="00BD27C1"/>
    <w:rsid w:val="00BD28FC"/>
    <w:rsid w:val="00BD2D22"/>
    <w:rsid w:val="00BD2F00"/>
    <w:rsid w:val="00BD3C33"/>
    <w:rsid w:val="00BD3D7F"/>
    <w:rsid w:val="00BD6113"/>
    <w:rsid w:val="00BE0F19"/>
    <w:rsid w:val="00BE1C11"/>
    <w:rsid w:val="00BE1E1C"/>
    <w:rsid w:val="00BE2BD6"/>
    <w:rsid w:val="00BE3630"/>
    <w:rsid w:val="00BE41BB"/>
    <w:rsid w:val="00BE4745"/>
    <w:rsid w:val="00BE4A31"/>
    <w:rsid w:val="00BE54FF"/>
    <w:rsid w:val="00BE5A5F"/>
    <w:rsid w:val="00BE5E1E"/>
    <w:rsid w:val="00BE63E1"/>
    <w:rsid w:val="00BE6796"/>
    <w:rsid w:val="00BE73CF"/>
    <w:rsid w:val="00BE7512"/>
    <w:rsid w:val="00BE7677"/>
    <w:rsid w:val="00BE7F4D"/>
    <w:rsid w:val="00BF006F"/>
    <w:rsid w:val="00BF0739"/>
    <w:rsid w:val="00BF1165"/>
    <w:rsid w:val="00BF11E5"/>
    <w:rsid w:val="00BF172B"/>
    <w:rsid w:val="00BF2247"/>
    <w:rsid w:val="00BF3319"/>
    <w:rsid w:val="00BF3393"/>
    <w:rsid w:val="00BF38D9"/>
    <w:rsid w:val="00BF5EB7"/>
    <w:rsid w:val="00BF65A1"/>
    <w:rsid w:val="00BF6618"/>
    <w:rsid w:val="00BF6BAE"/>
    <w:rsid w:val="00BF6FE1"/>
    <w:rsid w:val="00BF72DC"/>
    <w:rsid w:val="00BF75F1"/>
    <w:rsid w:val="00BF7F09"/>
    <w:rsid w:val="00C016B2"/>
    <w:rsid w:val="00C01E48"/>
    <w:rsid w:val="00C01EB3"/>
    <w:rsid w:val="00C0206F"/>
    <w:rsid w:val="00C024A2"/>
    <w:rsid w:val="00C03166"/>
    <w:rsid w:val="00C03478"/>
    <w:rsid w:val="00C03528"/>
    <w:rsid w:val="00C036F9"/>
    <w:rsid w:val="00C054D1"/>
    <w:rsid w:val="00C07195"/>
    <w:rsid w:val="00C0772E"/>
    <w:rsid w:val="00C1123F"/>
    <w:rsid w:val="00C12FB4"/>
    <w:rsid w:val="00C142D4"/>
    <w:rsid w:val="00C14818"/>
    <w:rsid w:val="00C14AFD"/>
    <w:rsid w:val="00C14DEE"/>
    <w:rsid w:val="00C151F9"/>
    <w:rsid w:val="00C1544F"/>
    <w:rsid w:val="00C16FAC"/>
    <w:rsid w:val="00C171DF"/>
    <w:rsid w:val="00C20E88"/>
    <w:rsid w:val="00C210FE"/>
    <w:rsid w:val="00C21320"/>
    <w:rsid w:val="00C21369"/>
    <w:rsid w:val="00C216F1"/>
    <w:rsid w:val="00C22FDF"/>
    <w:rsid w:val="00C231BE"/>
    <w:rsid w:val="00C23254"/>
    <w:rsid w:val="00C244E5"/>
    <w:rsid w:val="00C24A41"/>
    <w:rsid w:val="00C24AC2"/>
    <w:rsid w:val="00C268C3"/>
    <w:rsid w:val="00C26DB5"/>
    <w:rsid w:val="00C277C6"/>
    <w:rsid w:val="00C27800"/>
    <w:rsid w:val="00C30F87"/>
    <w:rsid w:val="00C32243"/>
    <w:rsid w:val="00C3234F"/>
    <w:rsid w:val="00C37007"/>
    <w:rsid w:val="00C374A2"/>
    <w:rsid w:val="00C4037B"/>
    <w:rsid w:val="00C410E1"/>
    <w:rsid w:val="00C41852"/>
    <w:rsid w:val="00C419C3"/>
    <w:rsid w:val="00C427F4"/>
    <w:rsid w:val="00C43380"/>
    <w:rsid w:val="00C43764"/>
    <w:rsid w:val="00C44456"/>
    <w:rsid w:val="00C44D87"/>
    <w:rsid w:val="00C44E4D"/>
    <w:rsid w:val="00C44EEF"/>
    <w:rsid w:val="00C45DDE"/>
    <w:rsid w:val="00C46767"/>
    <w:rsid w:val="00C47DF1"/>
    <w:rsid w:val="00C50BFD"/>
    <w:rsid w:val="00C51004"/>
    <w:rsid w:val="00C511AB"/>
    <w:rsid w:val="00C514B8"/>
    <w:rsid w:val="00C52161"/>
    <w:rsid w:val="00C52347"/>
    <w:rsid w:val="00C52A0B"/>
    <w:rsid w:val="00C52BCE"/>
    <w:rsid w:val="00C531F0"/>
    <w:rsid w:val="00C54B5B"/>
    <w:rsid w:val="00C5583D"/>
    <w:rsid w:val="00C55901"/>
    <w:rsid w:val="00C55CA9"/>
    <w:rsid w:val="00C561EE"/>
    <w:rsid w:val="00C562FE"/>
    <w:rsid w:val="00C56950"/>
    <w:rsid w:val="00C5764A"/>
    <w:rsid w:val="00C577E1"/>
    <w:rsid w:val="00C606DB"/>
    <w:rsid w:val="00C61B60"/>
    <w:rsid w:val="00C61BD4"/>
    <w:rsid w:val="00C61E7B"/>
    <w:rsid w:val="00C620DD"/>
    <w:rsid w:val="00C63CC4"/>
    <w:rsid w:val="00C642D9"/>
    <w:rsid w:val="00C64C4F"/>
    <w:rsid w:val="00C650DC"/>
    <w:rsid w:val="00C65238"/>
    <w:rsid w:val="00C65ED6"/>
    <w:rsid w:val="00C70AFD"/>
    <w:rsid w:val="00C71AE7"/>
    <w:rsid w:val="00C72837"/>
    <w:rsid w:val="00C72C5E"/>
    <w:rsid w:val="00C72CF9"/>
    <w:rsid w:val="00C739E2"/>
    <w:rsid w:val="00C741FE"/>
    <w:rsid w:val="00C74267"/>
    <w:rsid w:val="00C75373"/>
    <w:rsid w:val="00C75B0C"/>
    <w:rsid w:val="00C75C61"/>
    <w:rsid w:val="00C76131"/>
    <w:rsid w:val="00C76AF3"/>
    <w:rsid w:val="00C80FD9"/>
    <w:rsid w:val="00C81CAF"/>
    <w:rsid w:val="00C81E8E"/>
    <w:rsid w:val="00C82641"/>
    <w:rsid w:val="00C84575"/>
    <w:rsid w:val="00C84986"/>
    <w:rsid w:val="00C85C85"/>
    <w:rsid w:val="00C85D9C"/>
    <w:rsid w:val="00C86BDD"/>
    <w:rsid w:val="00C875EF"/>
    <w:rsid w:val="00C8783A"/>
    <w:rsid w:val="00C87A85"/>
    <w:rsid w:val="00C87A9C"/>
    <w:rsid w:val="00C90DF7"/>
    <w:rsid w:val="00C919F3"/>
    <w:rsid w:val="00C92084"/>
    <w:rsid w:val="00C92A58"/>
    <w:rsid w:val="00C92AB1"/>
    <w:rsid w:val="00C931EE"/>
    <w:rsid w:val="00C93491"/>
    <w:rsid w:val="00C94044"/>
    <w:rsid w:val="00C94572"/>
    <w:rsid w:val="00C9463E"/>
    <w:rsid w:val="00C95081"/>
    <w:rsid w:val="00C95122"/>
    <w:rsid w:val="00C966B7"/>
    <w:rsid w:val="00C968A1"/>
    <w:rsid w:val="00C96E5A"/>
    <w:rsid w:val="00C9703F"/>
    <w:rsid w:val="00C97F3F"/>
    <w:rsid w:val="00CA0181"/>
    <w:rsid w:val="00CA03E7"/>
    <w:rsid w:val="00CA0A2C"/>
    <w:rsid w:val="00CA0D62"/>
    <w:rsid w:val="00CA1DFE"/>
    <w:rsid w:val="00CA2053"/>
    <w:rsid w:val="00CA3E35"/>
    <w:rsid w:val="00CA3F83"/>
    <w:rsid w:val="00CA42DC"/>
    <w:rsid w:val="00CA4A2B"/>
    <w:rsid w:val="00CA4FB2"/>
    <w:rsid w:val="00CA6199"/>
    <w:rsid w:val="00CA642E"/>
    <w:rsid w:val="00CA6E0F"/>
    <w:rsid w:val="00CA6E4C"/>
    <w:rsid w:val="00CA73DC"/>
    <w:rsid w:val="00CA75C5"/>
    <w:rsid w:val="00CB060D"/>
    <w:rsid w:val="00CB0DD6"/>
    <w:rsid w:val="00CB107C"/>
    <w:rsid w:val="00CB181B"/>
    <w:rsid w:val="00CB1851"/>
    <w:rsid w:val="00CB1F16"/>
    <w:rsid w:val="00CB1FEB"/>
    <w:rsid w:val="00CB2657"/>
    <w:rsid w:val="00CB282A"/>
    <w:rsid w:val="00CB2B46"/>
    <w:rsid w:val="00CB2CD9"/>
    <w:rsid w:val="00CB2F71"/>
    <w:rsid w:val="00CB2F9B"/>
    <w:rsid w:val="00CB369C"/>
    <w:rsid w:val="00CB4689"/>
    <w:rsid w:val="00CB474A"/>
    <w:rsid w:val="00CB498D"/>
    <w:rsid w:val="00CB5242"/>
    <w:rsid w:val="00CB6509"/>
    <w:rsid w:val="00CB6882"/>
    <w:rsid w:val="00CB6F4D"/>
    <w:rsid w:val="00CC06A5"/>
    <w:rsid w:val="00CC0ADD"/>
    <w:rsid w:val="00CC11AB"/>
    <w:rsid w:val="00CC1953"/>
    <w:rsid w:val="00CC1E5C"/>
    <w:rsid w:val="00CC29E2"/>
    <w:rsid w:val="00CC3193"/>
    <w:rsid w:val="00CC38C7"/>
    <w:rsid w:val="00CC3FC7"/>
    <w:rsid w:val="00CC445F"/>
    <w:rsid w:val="00CC472E"/>
    <w:rsid w:val="00CC48C3"/>
    <w:rsid w:val="00CC4ABA"/>
    <w:rsid w:val="00CC4F76"/>
    <w:rsid w:val="00CC5608"/>
    <w:rsid w:val="00CC59A2"/>
    <w:rsid w:val="00CC736D"/>
    <w:rsid w:val="00CD0922"/>
    <w:rsid w:val="00CD19D5"/>
    <w:rsid w:val="00CD1DE1"/>
    <w:rsid w:val="00CD3141"/>
    <w:rsid w:val="00CD3864"/>
    <w:rsid w:val="00CD3DBC"/>
    <w:rsid w:val="00CD3E20"/>
    <w:rsid w:val="00CD3E3E"/>
    <w:rsid w:val="00CD3F59"/>
    <w:rsid w:val="00CD4238"/>
    <w:rsid w:val="00CD4D9D"/>
    <w:rsid w:val="00CD5414"/>
    <w:rsid w:val="00CD5D55"/>
    <w:rsid w:val="00CE0B42"/>
    <w:rsid w:val="00CE1803"/>
    <w:rsid w:val="00CE18A9"/>
    <w:rsid w:val="00CE18C9"/>
    <w:rsid w:val="00CE3E69"/>
    <w:rsid w:val="00CE471C"/>
    <w:rsid w:val="00CE482B"/>
    <w:rsid w:val="00CE4A6A"/>
    <w:rsid w:val="00CE4DE1"/>
    <w:rsid w:val="00CE5AA8"/>
    <w:rsid w:val="00CE6391"/>
    <w:rsid w:val="00CE6A24"/>
    <w:rsid w:val="00CF0CC9"/>
    <w:rsid w:val="00CF0DAB"/>
    <w:rsid w:val="00CF13BE"/>
    <w:rsid w:val="00CF22BF"/>
    <w:rsid w:val="00CF2814"/>
    <w:rsid w:val="00CF3123"/>
    <w:rsid w:val="00CF31CF"/>
    <w:rsid w:val="00CF3783"/>
    <w:rsid w:val="00CF384D"/>
    <w:rsid w:val="00CF3F9C"/>
    <w:rsid w:val="00CF4470"/>
    <w:rsid w:val="00CF49D5"/>
    <w:rsid w:val="00CF4D6B"/>
    <w:rsid w:val="00CF6D50"/>
    <w:rsid w:val="00CF6DC3"/>
    <w:rsid w:val="00CF6FD4"/>
    <w:rsid w:val="00CF7AE0"/>
    <w:rsid w:val="00CF7E92"/>
    <w:rsid w:val="00D00D26"/>
    <w:rsid w:val="00D00DBE"/>
    <w:rsid w:val="00D01C7C"/>
    <w:rsid w:val="00D01F3C"/>
    <w:rsid w:val="00D02D14"/>
    <w:rsid w:val="00D0424C"/>
    <w:rsid w:val="00D04F12"/>
    <w:rsid w:val="00D058FC"/>
    <w:rsid w:val="00D0651C"/>
    <w:rsid w:val="00D074A2"/>
    <w:rsid w:val="00D07FBB"/>
    <w:rsid w:val="00D10922"/>
    <w:rsid w:val="00D1144D"/>
    <w:rsid w:val="00D115EA"/>
    <w:rsid w:val="00D11FF3"/>
    <w:rsid w:val="00D122C1"/>
    <w:rsid w:val="00D12DC7"/>
    <w:rsid w:val="00D138E5"/>
    <w:rsid w:val="00D13DD1"/>
    <w:rsid w:val="00D14739"/>
    <w:rsid w:val="00D1588C"/>
    <w:rsid w:val="00D16096"/>
    <w:rsid w:val="00D1700A"/>
    <w:rsid w:val="00D17045"/>
    <w:rsid w:val="00D17332"/>
    <w:rsid w:val="00D176B1"/>
    <w:rsid w:val="00D178C2"/>
    <w:rsid w:val="00D20BA0"/>
    <w:rsid w:val="00D21BF7"/>
    <w:rsid w:val="00D21DEE"/>
    <w:rsid w:val="00D22220"/>
    <w:rsid w:val="00D22B5E"/>
    <w:rsid w:val="00D22CEF"/>
    <w:rsid w:val="00D231F2"/>
    <w:rsid w:val="00D2379F"/>
    <w:rsid w:val="00D2463A"/>
    <w:rsid w:val="00D25132"/>
    <w:rsid w:val="00D25510"/>
    <w:rsid w:val="00D25520"/>
    <w:rsid w:val="00D262A6"/>
    <w:rsid w:val="00D27123"/>
    <w:rsid w:val="00D27222"/>
    <w:rsid w:val="00D277F4"/>
    <w:rsid w:val="00D27DE8"/>
    <w:rsid w:val="00D300B8"/>
    <w:rsid w:val="00D304BB"/>
    <w:rsid w:val="00D30C0F"/>
    <w:rsid w:val="00D30C32"/>
    <w:rsid w:val="00D31F96"/>
    <w:rsid w:val="00D32447"/>
    <w:rsid w:val="00D32603"/>
    <w:rsid w:val="00D32D83"/>
    <w:rsid w:val="00D332DE"/>
    <w:rsid w:val="00D34CB0"/>
    <w:rsid w:val="00D36C5C"/>
    <w:rsid w:val="00D373F0"/>
    <w:rsid w:val="00D3790D"/>
    <w:rsid w:val="00D37936"/>
    <w:rsid w:val="00D41190"/>
    <w:rsid w:val="00D41354"/>
    <w:rsid w:val="00D41931"/>
    <w:rsid w:val="00D42EAB"/>
    <w:rsid w:val="00D42F9F"/>
    <w:rsid w:val="00D43666"/>
    <w:rsid w:val="00D436A2"/>
    <w:rsid w:val="00D44C05"/>
    <w:rsid w:val="00D4502A"/>
    <w:rsid w:val="00D45A6D"/>
    <w:rsid w:val="00D45CD6"/>
    <w:rsid w:val="00D462A2"/>
    <w:rsid w:val="00D46E49"/>
    <w:rsid w:val="00D46F52"/>
    <w:rsid w:val="00D4789C"/>
    <w:rsid w:val="00D5028F"/>
    <w:rsid w:val="00D50295"/>
    <w:rsid w:val="00D5041D"/>
    <w:rsid w:val="00D507CA"/>
    <w:rsid w:val="00D50DE1"/>
    <w:rsid w:val="00D51555"/>
    <w:rsid w:val="00D5163A"/>
    <w:rsid w:val="00D5216A"/>
    <w:rsid w:val="00D5232F"/>
    <w:rsid w:val="00D542B9"/>
    <w:rsid w:val="00D5431B"/>
    <w:rsid w:val="00D5456A"/>
    <w:rsid w:val="00D549C9"/>
    <w:rsid w:val="00D55535"/>
    <w:rsid w:val="00D55E48"/>
    <w:rsid w:val="00D570A8"/>
    <w:rsid w:val="00D601D4"/>
    <w:rsid w:val="00D60905"/>
    <w:rsid w:val="00D6128B"/>
    <w:rsid w:val="00D621ED"/>
    <w:rsid w:val="00D62837"/>
    <w:rsid w:val="00D635EA"/>
    <w:rsid w:val="00D636CB"/>
    <w:rsid w:val="00D64828"/>
    <w:rsid w:val="00D65378"/>
    <w:rsid w:val="00D658C2"/>
    <w:rsid w:val="00D659A7"/>
    <w:rsid w:val="00D65B11"/>
    <w:rsid w:val="00D66105"/>
    <w:rsid w:val="00D661EC"/>
    <w:rsid w:val="00D6651B"/>
    <w:rsid w:val="00D670EF"/>
    <w:rsid w:val="00D671D8"/>
    <w:rsid w:val="00D6727D"/>
    <w:rsid w:val="00D6772A"/>
    <w:rsid w:val="00D67873"/>
    <w:rsid w:val="00D67CA7"/>
    <w:rsid w:val="00D7050D"/>
    <w:rsid w:val="00D71995"/>
    <w:rsid w:val="00D72532"/>
    <w:rsid w:val="00D72901"/>
    <w:rsid w:val="00D732F7"/>
    <w:rsid w:val="00D73328"/>
    <w:rsid w:val="00D734C4"/>
    <w:rsid w:val="00D73F96"/>
    <w:rsid w:val="00D74BA9"/>
    <w:rsid w:val="00D758AA"/>
    <w:rsid w:val="00D764C3"/>
    <w:rsid w:val="00D76CB7"/>
    <w:rsid w:val="00D8194A"/>
    <w:rsid w:val="00D81B65"/>
    <w:rsid w:val="00D82611"/>
    <w:rsid w:val="00D82E95"/>
    <w:rsid w:val="00D830BA"/>
    <w:rsid w:val="00D83DF9"/>
    <w:rsid w:val="00D840ED"/>
    <w:rsid w:val="00D84A29"/>
    <w:rsid w:val="00D84F84"/>
    <w:rsid w:val="00D856A5"/>
    <w:rsid w:val="00D86D5B"/>
    <w:rsid w:val="00D87353"/>
    <w:rsid w:val="00D900E1"/>
    <w:rsid w:val="00D9014F"/>
    <w:rsid w:val="00D9066A"/>
    <w:rsid w:val="00D91901"/>
    <w:rsid w:val="00D91C5E"/>
    <w:rsid w:val="00D9223A"/>
    <w:rsid w:val="00D92252"/>
    <w:rsid w:val="00D9281A"/>
    <w:rsid w:val="00D92E03"/>
    <w:rsid w:val="00D93288"/>
    <w:rsid w:val="00D93D1D"/>
    <w:rsid w:val="00D94783"/>
    <w:rsid w:val="00D949AC"/>
    <w:rsid w:val="00D94EE7"/>
    <w:rsid w:val="00D94F95"/>
    <w:rsid w:val="00D9580F"/>
    <w:rsid w:val="00D974FB"/>
    <w:rsid w:val="00D97A14"/>
    <w:rsid w:val="00DA0155"/>
    <w:rsid w:val="00DA0D0E"/>
    <w:rsid w:val="00DA1788"/>
    <w:rsid w:val="00DA346C"/>
    <w:rsid w:val="00DA42AD"/>
    <w:rsid w:val="00DA46A4"/>
    <w:rsid w:val="00DA4710"/>
    <w:rsid w:val="00DA5534"/>
    <w:rsid w:val="00DA5F0E"/>
    <w:rsid w:val="00DA63C9"/>
    <w:rsid w:val="00DA675A"/>
    <w:rsid w:val="00DA6E0F"/>
    <w:rsid w:val="00DA73D5"/>
    <w:rsid w:val="00DA7AE2"/>
    <w:rsid w:val="00DB0211"/>
    <w:rsid w:val="00DB0745"/>
    <w:rsid w:val="00DB182C"/>
    <w:rsid w:val="00DB1C94"/>
    <w:rsid w:val="00DB1DCB"/>
    <w:rsid w:val="00DB2141"/>
    <w:rsid w:val="00DB2494"/>
    <w:rsid w:val="00DB26FF"/>
    <w:rsid w:val="00DB282B"/>
    <w:rsid w:val="00DB2ECA"/>
    <w:rsid w:val="00DB4C57"/>
    <w:rsid w:val="00DB5059"/>
    <w:rsid w:val="00DB6433"/>
    <w:rsid w:val="00DC0A34"/>
    <w:rsid w:val="00DC10A8"/>
    <w:rsid w:val="00DC12B7"/>
    <w:rsid w:val="00DC2023"/>
    <w:rsid w:val="00DC2152"/>
    <w:rsid w:val="00DC2BC9"/>
    <w:rsid w:val="00DC3863"/>
    <w:rsid w:val="00DC3919"/>
    <w:rsid w:val="00DC4250"/>
    <w:rsid w:val="00DC4759"/>
    <w:rsid w:val="00DC4906"/>
    <w:rsid w:val="00DC52A3"/>
    <w:rsid w:val="00DC54E8"/>
    <w:rsid w:val="00DC63BA"/>
    <w:rsid w:val="00DD08E7"/>
    <w:rsid w:val="00DD0EE0"/>
    <w:rsid w:val="00DD114C"/>
    <w:rsid w:val="00DD1BAE"/>
    <w:rsid w:val="00DD1FE9"/>
    <w:rsid w:val="00DD246E"/>
    <w:rsid w:val="00DD24F5"/>
    <w:rsid w:val="00DD291C"/>
    <w:rsid w:val="00DD2BF0"/>
    <w:rsid w:val="00DD4596"/>
    <w:rsid w:val="00DD49A5"/>
    <w:rsid w:val="00DD4A8B"/>
    <w:rsid w:val="00DD592F"/>
    <w:rsid w:val="00DD5D67"/>
    <w:rsid w:val="00DD5DC5"/>
    <w:rsid w:val="00DD5E5F"/>
    <w:rsid w:val="00DD721C"/>
    <w:rsid w:val="00DD7245"/>
    <w:rsid w:val="00DD74AE"/>
    <w:rsid w:val="00DE09BD"/>
    <w:rsid w:val="00DE15ED"/>
    <w:rsid w:val="00DE1C3F"/>
    <w:rsid w:val="00DE2545"/>
    <w:rsid w:val="00DE25DC"/>
    <w:rsid w:val="00DE2EBD"/>
    <w:rsid w:val="00DE2F1D"/>
    <w:rsid w:val="00DE2F22"/>
    <w:rsid w:val="00DE30DD"/>
    <w:rsid w:val="00DE34DA"/>
    <w:rsid w:val="00DE3772"/>
    <w:rsid w:val="00DE3C1F"/>
    <w:rsid w:val="00DE4E53"/>
    <w:rsid w:val="00DE7406"/>
    <w:rsid w:val="00DF01B2"/>
    <w:rsid w:val="00DF03AA"/>
    <w:rsid w:val="00DF0AB6"/>
    <w:rsid w:val="00DF0DC5"/>
    <w:rsid w:val="00DF1B5D"/>
    <w:rsid w:val="00DF2979"/>
    <w:rsid w:val="00DF3045"/>
    <w:rsid w:val="00DF3694"/>
    <w:rsid w:val="00DF3B08"/>
    <w:rsid w:val="00DF3F9C"/>
    <w:rsid w:val="00DF41FA"/>
    <w:rsid w:val="00DF5445"/>
    <w:rsid w:val="00DF54C3"/>
    <w:rsid w:val="00DF553B"/>
    <w:rsid w:val="00DF5942"/>
    <w:rsid w:val="00DF5C75"/>
    <w:rsid w:val="00DF60B2"/>
    <w:rsid w:val="00DF672A"/>
    <w:rsid w:val="00DF6AFB"/>
    <w:rsid w:val="00DF7591"/>
    <w:rsid w:val="00DF7F92"/>
    <w:rsid w:val="00E004F8"/>
    <w:rsid w:val="00E00DC2"/>
    <w:rsid w:val="00E030B5"/>
    <w:rsid w:val="00E037C1"/>
    <w:rsid w:val="00E03CC5"/>
    <w:rsid w:val="00E062AF"/>
    <w:rsid w:val="00E0687D"/>
    <w:rsid w:val="00E06B93"/>
    <w:rsid w:val="00E07083"/>
    <w:rsid w:val="00E075BF"/>
    <w:rsid w:val="00E077D2"/>
    <w:rsid w:val="00E10BB0"/>
    <w:rsid w:val="00E11C86"/>
    <w:rsid w:val="00E11E41"/>
    <w:rsid w:val="00E12179"/>
    <w:rsid w:val="00E128A1"/>
    <w:rsid w:val="00E137FC"/>
    <w:rsid w:val="00E13C95"/>
    <w:rsid w:val="00E14230"/>
    <w:rsid w:val="00E14E5F"/>
    <w:rsid w:val="00E1582C"/>
    <w:rsid w:val="00E16817"/>
    <w:rsid w:val="00E172C3"/>
    <w:rsid w:val="00E1736E"/>
    <w:rsid w:val="00E17735"/>
    <w:rsid w:val="00E17753"/>
    <w:rsid w:val="00E17B50"/>
    <w:rsid w:val="00E20271"/>
    <w:rsid w:val="00E20383"/>
    <w:rsid w:val="00E2045B"/>
    <w:rsid w:val="00E209B1"/>
    <w:rsid w:val="00E210AB"/>
    <w:rsid w:val="00E21369"/>
    <w:rsid w:val="00E2148A"/>
    <w:rsid w:val="00E226AF"/>
    <w:rsid w:val="00E22BFA"/>
    <w:rsid w:val="00E24C03"/>
    <w:rsid w:val="00E25F41"/>
    <w:rsid w:val="00E2650D"/>
    <w:rsid w:val="00E26972"/>
    <w:rsid w:val="00E26B7D"/>
    <w:rsid w:val="00E27B26"/>
    <w:rsid w:val="00E30A7D"/>
    <w:rsid w:val="00E30B26"/>
    <w:rsid w:val="00E32AD1"/>
    <w:rsid w:val="00E32BEB"/>
    <w:rsid w:val="00E331A0"/>
    <w:rsid w:val="00E34D08"/>
    <w:rsid w:val="00E35022"/>
    <w:rsid w:val="00E35AA0"/>
    <w:rsid w:val="00E36249"/>
    <w:rsid w:val="00E362A1"/>
    <w:rsid w:val="00E36AA6"/>
    <w:rsid w:val="00E36AA7"/>
    <w:rsid w:val="00E400BB"/>
    <w:rsid w:val="00E40A1A"/>
    <w:rsid w:val="00E40C48"/>
    <w:rsid w:val="00E413A9"/>
    <w:rsid w:val="00E41E13"/>
    <w:rsid w:val="00E426E4"/>
    <w:rsid w:val="00E42909"/>
    <w:rsid w:val="00E42ABB"/>
    <w:rsid w:val="00E42DB3"/>
    <w:rsid w:val="00E43421"/>
    <w:rsid w:val="00E43CA1"/>
    <w:rsid w:val="00E440E1"/>
    <w:rsid w:val="00E44473"/>
    <w:rsid w:val="00E444B0"/>
    <w:rsid w:val="00E451B1"/>
    <w:rsid w:val="00E4582A"/>
    <w:rsid w:val="00E4653D"/>
    <w:rsid w:val="00E52450"/>
    <w:rsid w:val="00E52579"/>
    <w:rsid w:val="00E5257B"/>
    <w:rsid w:val="00E52A17"/>
    <w:rsid w:val="00E52CEA"/>
    <w:rsid w:val="00E5331B"/>
    <w:rsid w:val="00E53CAB"/>
    <w:rsid w:val="00E54E39"/>
    <w:rsid w:val="00E55971"/>
    <w:rsid w:val="00E56597"/>
    <w:rsid w:val="00E572F3"/>
    <w:rsid w:val="00E575F3"/>
    <w:rsid w:val="00E57F1A"/>
    <w:rsid w:val="00E605ED"/>
    <w:rsid w:val="00E61DFB"/>
    <w:rsid w:val="00E61F20"/>
    <w:rsid w:val="00E61F23"/>
    <w:rsid w:val="00E6236A"/>
    <w:rsid w:val="00E6240F"/>
    <w:rsid w:val="00E64E57"/>
    <w:rsid w:val="00E64E6E"/>
    <w:rsid w:val="00E64EFA"/>
    <w:rsid w:val="00E65738"/>
    <w:rsid w:val="00E65D77"/>
    <w:rsid w:val="00E6642A"/>
    <w:rsid w:val="00E67563"/>
    <w:rsid w:val="00E677AE"/>
    <w:rsid w:val="00E7132C"/>
    <w:rsid w:val="00E72D2E"/>
    <w:rsid w:val="00E72F53"/>
    <w:rsid w:val="00E74CEA"/>
    <w:rsid w:val="00E74D37"/>
    <w:rsid w:val="00E74E55"/>
    <w:rsid w:val="00E762A0"/>
    <w:rsid w:val="00E763B3"/>
    <w:rsid w:val="00E76779"/>
    <w:rsid w:val="00E76924"/>
    <w:rsid w:val="00E769FC"/>
    <w:rsid w:val="00E77339"/>
    <w:rsid w:val="00E77357"/>
    <w:rsid w:val="00E77851"/>
    <w:rsid w:val="00E8025B"/>
    <w:rsid w:val="00E810BD"/>
    <w:rsid w:val="00E813B3"/>
    <w:rsid w:val="00E8151B"/>
    <w:rsid w:val="00E8263F"/>
    <w:rsid w:val="00E82F8D"/>
    <w:rsid w:val="00E83318"/>
    <w:rsid w:val="00E83404"/>
    <w:rsid w:val="00E83441"/>
    <w:rsid w:val="00E83C5D"/>
    <w:rsid w:val="00E8405C"/>
    <w:rsid w:val="00E843CB"/>
    <w:rsid w:val="00E8440A"/>
    <w:rsid w:val="00E84669"/>
    <w:rsid w:val="00E851C7"/>
    <w:rsid w:val="00E85858"/>
    <w:rsid w:val="00E85DC0"/>
    <w:rsid w:val="00E863D0"/>
    <w:rsid w:val="00E86617"/>
    <w:rsid w:val="00E87950"/>
    <w:rsid w:val="00E90385"/>
    <w:rsid w:val="00E9086F"/>
    <w:rsid w:val="00E90AC3"/>
    <w:rsid w:val="00E9262B"/>
    <w:rsid w:val="00E92930"/>
    <w:rsid w:val="00E9353E"/>
    <w:rsid w:val="00E940BF"/>
    <w:rsid w:val="00E94572"/>
    <w:rsid w:val="00E95261"/>
    <w:rsid w:val="00E95653"/>
    <w:rsid w:val="00E958CE"/>
    <w:rsid w:val="00E95C49"/>
    <w:rsid w:val="00E96F58"/>
    <w:rsid w:val="00E971C6"/>
    <w:rsid w:val="00EA061E"/>
    <w:rsid w:val="00EA224C"/>
    <w:rsid w:val="00EA22FA"/>
    <w:rsid w:val="00EA23BB"/>
    <w:rsid w:val="00EA24A3"/>
    <w:rsid w:val="00EA271A"/>
    <w:rsid w:val="00EA2F46"/>
    <w:rsid w:val="00EA3CDF"/>
    <w:rsid w:val="00EA4C43"/>
    <w:rsid w:val="00EA4FD6"/>
    <w:rsid w:val="00EA5AD9"/>
    <w:rsid w:val="00EA7446"/>
    <w:rsid w:val="00EB0DC1"/>
    <w:rsid w:val="00EB18A7"/>
    <w:rsid w:val="00EB2938"/>
    <w:rsid w:val="00EB37EB"/>
    <w:rsid w:val="00EB51B4"/>
    <w:rsid w:val="00EB71CD"/>
    <w:rsid w:val="00EB7461"/>
    <w:rsid w:val="00EB75F6"/>
    <w:rsid w:val="00EB7FDE"/>
    <w:rsid w:val="00EC0203"/>
    <w:rsid w:val="00EC031E"/>
    <w:rsid w:val="00EC202A"/>
    <w:rsid w:val="00EC2E4A"/>
    <w:rsid w:val="00EC39E4"/>
    <w:rsid w:val="00EC3B72"/>
    <w:rsid w:val="00EC40DF"/>
    <w:rsid w:val="00EC496F"/>
    <w:rsid w:val="00EC6DE5"/>
    <w:rsid w:val="00EC719E"/>
    <w:rsid w:val="00ED0792"/>
    <w:rsid w:val="00ED260F"/>
    <w:rsid w:val="00ED2BC5"/>
    <w:rsid w:val="00ED4474"/>
    <w:rsid w:val="00ED4E9A"/>
    <w:rsid w:val="00ED533C"/>
    <w:rsid w:val="00ED6FA6"/>
    <w:rsid w:val="00ED79A8"/>
    <w:rsid w:val="00ED7BDA"/>
    <w:rsid w:val="00EE054D"/>
    <w:rsid w:val="00EE05D8"/>
    <w:rsid w:val="00EE084F"/>
    <w:rsid w:val="00EE0CD0"/>
    <w:rsid w:val="00EE3081"/>
    <w:rsid w:val="00EE3FB5"/>
    <w:rsid w:val="00EE4429"/>
    <w:rsid w:val="00EE4620"/>
    <w:rsid w:val="00EE55BB"/>
    <w:rsid w:val="00EE56EB"/>
    <w:rsid w:val="00EE634F"/>
    <w:rsid w:val="00EF03AC"/>
    <w:rsid w:val="00EF05E3"/>
    <w:rsid w:val="00EF0C85"/>
    <w:rsid w:val="00EF1E87"/>
    <w:rsid w:val="00EF3A3C"/>
    <w:rsid w:val="00EF4531"/>
    <w:rsid w:val="00EF4BD2"/>
    <w:rsid w:val="00EF56EE"/>
    <w:rsid w:val="00EF58BF"/>
    <w:rsid w:val="00EF59E8"/>
    <w:rsid w:val="00EF67B7"/>
    <w:rsid w:val="00EF681D"/>
    <w:rsid w:val="00EF6C87"/>
    <w:rsid w:val="00EF774A"/>
    <w:rsid w:val="00EF77C9"/>
    <w:rsid w:val="00F00CC9"/>
    <w:rsid w:val="00F00FF8"/>
    <w:rsid w:val="00F013A4"/>
    <w:rsid w:val="00F01434"/>
    <w:rsid w:val="00F014A0"/>
    <w:rsid w:val="00F01A9E"/>
    <w:rsid w:val="00F02D70"/>
    <w:rsid w:val="00F031E1"/>
    <w:rsid w:val="00F03E91"/>
    <w:rsid w:val="00F04E86"/>
    <w:rsid w:val="00F054F7"/>
    <w:rsid w:val="00F06586"/>
    <w:rsid w:val="00F06774"/>
    <w:rsid w:val="00F0703D"/>
    <w:rsid w:val="00F07950"/>
    <w:rsid w:val="00F07D3A"/>
    <w:rsid w:val="00F102A2"/>
    <w:rsid w:val="00F10F93"/>
    <w:rsid w:val="00F10FBA"/>
    <w:rsid w:val="00F11390"/>
    <w:rsid w:val="00F11DAF"/>
    <w:rsid w:val="00F15097"/>
    <w:rsid w:val="00F15556"/>
    <w:rsid w:val="00F15A46"/>
    <w:rsid w:val="00F16233"/>
    <w:rsid w:val="00F16C12"/>
    <w:rsid w:val="00F17638"/>
    <w:rsid w:val="00F17A67"/>
    <w:rsid w:val="00F17CB4"/>
    <w:rsid w:val="00F207F5"/>
    <w:rsid w:val="00F20B29"/>
    <w:rsid w:val="00F2139D"/>
    <w:rsid w:val="00F221B8"/>
    <w:rsid w:val="00F237AD"/>
    <w:rsid w:val="00F24A2E"/>
    <w:rsid w:val="00F250FD"/>
    <w:rsid w:val="00F2524B"/>
    <w:rsid w:val="00F25372"/>
    <w:rsid w:val="00F254A2"/>
    <w:rsid w:val="00F27281"/>
    <w:rsid w:val="00F27811"/>
    <w:rsid w:val="00F304B0"/>
    <w:rsid w:val="00F319AF"/>
    <w:rsid w:val="00F31A37"/>
    <w:rsid w:val="00F324A3"/>
    <w:rsid w:val="00F32A8F"/>
    <w:rsid w:val="00F32CF9"/>
    <w:rsid w:val="00F33702"/>
    <w:rsid w:val="00F33A00"/>
    <w:rsid w:val="00F347C6"/>
    <w:rsid w:val="00F351D4"/>
    <w:rsid w:val="00F3528A"/>
    <w:rsid w:val="00F35AE3"/>
    <w:rsid w:val="00F36477"/>
    <w:rsid w:val="00F36A97"/>
    <w:rsid w:val="00F36D0B"/>
    <w:rsid w:val="00F37A5D"/>
    <w:rsid w:val="00F41C95"/>
    <w:rsid w:val="00F420AB"/>
    <w:rsid w:val="00F432E3"/>
    <w:rsid w:val="00F44F58"/>
    <w:rsid w:val="00F45DF1"/>
    <w:rsid w:val="00F46046"/>
    <w:rsid w:val="00F46543"/>
    <w:rsid w:val="00F465AB"/>
    <w:rsid w:val="00F469B6"/>
    <w:rsid w:val="00F4726B"/>
    <w:rsid w:val="00F47319"/>
    <w:rsid w:val="00F47A48"/>
    <w:rsid w:val="00F504ED"/>
    <w:rsid w:val="00F517A1"/>
    <w:rsid w:val="00F53FC9"/>
    <w:rsid w:val="00F540CB"/>
    <w:rsid w:val="00F541B2"/>
    <w:rsid w:val="00F549F0"/>
    <w:rsid w:val="00F54C8B"/>
    <w:rsid w:val="00F55662"/>
    <w:rsid w:val="00F55ADD"/>
    <w:rsid w:val="00F561D8"/>
    <w:rsid w:val="00F561E2"/>
    <w:rsid w:val="00F5710B"/>
    <w:rsid w:val="00F5769B"/>
    <w:rsid w:val="00F61D04"/>
    <w:rsid w:val="00F6223B"/>
    <w:rsid w:val="00F62C1B"/>
    <w:rsid w:val="00F62E96"/>
    <w:rsid w:val="00F64059"/>
    <w:rsid w:val="00F64B02"/>
    <w:rsid w:val="00F64D20"/>
    <w:rsid w:val="00F669DB"/>
    <w:rsid w:val="00F66A3E"/>
    <w:rsid w:val="00F6734E"/>
    <w:rsid w:val="00F6760A"/>
    <w:rsid w:val="00F678C3"/>
    <w:rsid w:val="00F700EE"/>
    <w:rsid w:val="00F70580"/>
    <w:rsid w:val="00F7058B"/>
    <w:rsid w:val="00F72467"/>
    <w:rsid w:val="00F7277F"/>
    <w:rsid w:val="00F732E3"/>
    <w:rsid w:val="00F733AB"/>
    <w:rsid w:val="00F7414B"/>
    <w:rsid w:val="00F74209"/>
    <w:rsid w:val="00F75132"/>
    <w:rsid w:val="00F751E1"/>
    <w:rsid w:val="00F752B1"/>
    <w:rsid w:val="00F75976"/>
    <w:rsid w:val="00F764FF"/>
    <w:rsid w:val="00F76544"/>
    <w:rsid w:val="00F777EB"/>
    <w:rsid w:val="00F77B21"/>
    <w:rsid w:val="00F8016C"/>
    <w:rsid w:val="00F81932"/>
    <w:rsid w:val="00F81A8D"/>
    <w:rsid w:val="00F82975"/>
    <w:rsid w:val="00F82CB7"/>
    <w:rsid w:val="00F83732"/>
    <w:rsid w:val="00F848FA"/>
    <w:rsid w:val="00F84B61"/>
    <w:rsid w:val="00F86455"/>
    <w:rsid w:val="00F86B12"/>
    <w:rsid w:val="00F87A2F"/>
    <w:rsid w:val="00F87D4B"/>
    <w:rsid w:val="00F91198"/>
    <w:rsid w:val="00F91CD5"/>
    <w:rsid w:val="00F92081"/>
    <w:rsid w:val="00F9215A"/>
    <w:rsid w:val="00F92248"/>
    <w:rsid w:val="00F9248D"/>
    <w:rsid w:val="00F9271D"/>
    <w:rsid w:val="00F93F87"/>
    <w:rsid w:val="00F94903"/>
    <w:rsid w:val="00F94A78"/>
    <w:rsid w:val="00F95512"/>
    <w:rsid w:val="00F9566B"/>
    <w:rsid w:val="00F96BB1"/>
    <w:rsid w:val="00F96D2E"/>
    <w:rsid w:val="00F97048"/>
    <w:rsid w:val="00F97E54"/>
    <w:rsid w:val="00FA0E17"/>
    <w:rsid w:val="00FA1C1E"/>
    <w:rsid w:val="00FA1DA1"/>
    <w:rsid w:val="00FA1EC3"/>
    <w:rsid w:val="00FA25FE"/>
    <w:rsid w:val="00FA2737"/>
    <w:rsid w:val="00FA304B"/>
    <w:rsid w:val="00FA3ADB"/>
    <w:rsid w:val="00FA4235"/>
    <w:rsid w:val="00FA7F75"/>
    <w:rsid w:val="00FB07D9"/>
    <w:rsid w:val="00FB09A8"/>
    <w:rsid w:val="00FB1746"/>
    <w:rsid w:val="00FB186D"/>
    <w:rsid w:val="00FB2074"/>
    <w:rsid w:val="00FB390F"/>
    <w:rsid w:val="00FB41E0"/>
    <w:rsid w:val="00FB42E4"/>
    <w:rsid w:val="00FB4BE5"/>
    <w:rsid w:val="00FB648A"/>
    <w:rsid w:val="00FB6BE4"/>
    <w:rsid w:val="00FB6F71"/>
    <w:rsid w:val="00FC0812"/>
    <w:rsid w:val="00FC0B0B"/>
    <w:rsid w:val="00FC0F13"/>
    <w:rsid w:val="00FC2265"/>
    <w:rsid w:val="00FC31DA"/>
    <w:rsid w:val="00FC41B6"/>
    <w:rsid w:val="00FC4485"/>
    <w:rsid w:val="00FC4647"/>
    <w:rsid w:val="00FC4A3D"/>
    <w:rsid w:val="00FC4A97"/>
    <w:rsid w:val="00FC5098"/>
    <w:rsid w:val="00FC50BB"/>
    <w:rsid w:val="00FC54A4"/>
    <w:rsid w:val="00FC63CC"/>
    <w:rsid w:val="00FC6A80"/>
    <w:rsid w:val="00FD0115"/>
    <w:rsid w:val="00FD071C"/>
    <w:rsid w:val="00FD1705"/>
    <w:rsid w:val="00FD1A1D"/>
    <w:rsid w:val="00FD1E09"/>
    <w:rsid w:val="00FD2D7E"/>
    <w:rsid w:val="00FD313B"/>
    <w:rsid w:val="00FD3C26"/>
    <w:rsid w:val="00FD4065"/>
    <w:rsid w:val="00FD474D"/>
    <w:rsid w:val="00FD4B22"/>
    <w:rsid w:val="00FD4EBC"/>
    <w:rsid w:val="00FD5075"/>
    <w:rsid w:val="00FD6841"/>
    <w:rsid w:val="00FD68B6"/>
    <w:rsid w:val="00FD6A2B"/>
    <w:rsid w:val="00FD6CA9"/>
    <w:rsid w:val="00FD6E7E"/>
    <w:rsid w:val="00FD6FDC"/>
    <w:rsid w:val="00FD7183"/>
    <w:rsid w:val="00FD7A81"/>
    <w:rsid w:val="00FD7CC2"/>
    <w:rsid w:val="00FD7FF1"/>
    <w:rsid w:val="00FE0C3F"/>
    <w:rsid w:val="00FE0E07"/>
    <w:rsid w:val="00FE1DEA"/>
    <w:rsid w:val="00FE2013"/>
    <w:rsid w:val="00FE2D47"/>
    <w:rsid w:val="00FE4AC7"/>
    <w:rsid w:val="00FE5152"/>
    <w:rsid w:val="00FE62BD"/>
    <w:rsid w:val="00FE6E3E"/>
    <w:rsid w:val="00FE7515"/>
    <w:rsid w:val="00FF11B4"/>
    <w:rsid w:val="00FF1873"/>
    <w:rsid w:val="00FF3086"/>
    <w:rsid w:val="00FF3395"/>
    <w:rsid w:val="00FF3563"/>
    <w:rsid w:val="00FF3CD9"/>
    <w:rsid w:val="00FF3D8F"/>
    <w:rsid w:val="00FF3F19"/>
    <w:rsid w:val="00FF6417"/>
    <w:rsid w:val="00FF6DF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t-EE" w:eastAsia="et-EE"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footnote text" w:uiPriority="99" w:qFormat="1"/>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Title" w:uiPriority="10" w:qFormat="1"/>
    <w:lsdException w:name="Default Paragraph Font" w:uiPriority="1"/>
    <w:lsdException w:name="Subtitle" w:uiPriority="11" w:qFormat="1"/>
    <w:lsdException w:name="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2155"/>
    <w:rPr>
      <w:sz w:val="20"/>
      <w:szCs w:val="20"/>
    </w:rPr>
  </w:style>
  <w:style w:type="paragraph" w:styleId="Heading1">
    <w:name w:val="heading 1"/>
    <w:basedOn w:val="Normal"/>
    <w:next w:val="Normal"/>
    <w:link w:val="Heading1Char"/>
    <w:uiPriority w:val="9"/>
    <w:qFormat/>
    <w:rsid w:val="00293D58"/>
    <w:pPr>
      <w:pBdr>
        <w:top w:val="single" w:sz="24" w:space="0" w:color="AD0101" w:themeColor="accent1"/>
        <w:left w:val="single" w:sz="24" w:space="0" w:color="AD0101" w:themeColor="accent1"/>
        <w:bottom w:val="single" w:sz="24" w:space="0" w:color="AD0101" w:themeColor="accent1"/>
        <w:right w:val="single" w:sz="24" w:space="0" w:color="AD0101" w:themeColor="accent1"/>
      </w:pBdr>
      <w:shd w:val="clear" w:color="auto" w:fill="AD0101" w:themeFill="accent1"/>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293D58"/>
    <w:pPr>
      <w:pBdr>
        <w:top w:val="single" w:sz="24" w:space="0" w:color="FEBCBC" w:themeColor="accent1" w:themeTint="33"/>
        <w:left w:val="single" w:sz="24" w:space="0" w:color="FEBCBC" w:themeColor="accent1" w:themeTint="33"/>
        <w:bottom w:val="single" w:sz="24" w:space="0" w:color="FEBCBC" w:themeColor="accent1" w:themeTint="33"/>
        <w:right w:val="single" w:sz="24" w:space="0" w:color="FEBCBC" w:themeColor="accent1" w:themeTint="33"/>
      </w:pBdr>
      <w:shd w:val="clear" w:color="auto" w:fill="FEBCBC" w:themeFill="accent1" w:themeFillTint="33"/>
      <w:outlineLvl w:val="1"/>
    </w:pPr>
    <w:rPr>
      <w:caps/>
      <w:spacing w:val="15"/>
      <w:sz w:val="22"/>
      <w:szCs w:val="22"/>
    </w:rPr>
  </w:style>
  <w:style w:type="paragraph" w:styleId="Heading3">
    <w:name w:val="heading 3"/>
    <w:basedOn w:val="Normal"/>
    <w:next w:val="Normal"/>
    <w:link w:val="Heading3Char"/>
    <w:uiPriority w:val="9"/>
    <w:unhideWhenUsed/>
    <w:qFormat/>
    <w:rsid w:val="00543FB0"/>
    <w:pPr>
      <w:pBdr>
        <w:bottom w:val="single" w:sz="18" w:space="1" w:color="AD0101" w:themeColor="accent1"/>
      </w:pBdr>
      <w:spacing w:before="300"/>
      <w:outlineLvl w:val="2"/>
    </w:pPr>
    <w:rPr>
      <w:b/>
      <w:caps/>
      <w:color w:val="AD0101" w:themeColor="accent1"/>
      <w:spacing w:val="15"/>
      <w:sz w:val="28"/>
      <w:szCs w:val="22"/>
    </w:rPr>
  </w:style>
  <w:style w:type="paragraph" w:styleId="Heading4">
    <w:name w:val="heading 4"/>
    <w:basedOn w:val="Normal"/>
    <w:next w:val="Normal"/>
    <w:link w:val="Heading4Char"/>
    <w:uiPriority w:val="9"/>
    <w:semiHidden/>
    <w:unhideWhenUsed/>
    <w:qFormat/>
    <w:rsid w:val="00293D58"/>
    <w:pPr>
      <w:pBdr>
        <w:top w:val="dotted" w:sz="6" w:space="2" w:color="AD0101" w:themeColor="accent1"/>
        <w:left w:val="dotted" w:sz="6" w:space="2" w:color="AD0101" w:themeColor="accent1"/>
      </w:pBdr>
      <w:spacing w:before="300"/>
      <w:outlineLvl w:val="3"/>
    </w:pPr>
    <w:rPr>
      <w:caps/>
      <w:color w:val="810000" w:themeColor="accent1" w:themeShade="BF"/>
      <w:spacing w:val="10"/>
      <w:sz w:val="22"/>
      <w:szCs w:val="22"/>
    </w:rPr>
  </w:style>
  <w:style w:type="paragraph" w:styleId="Heading5">
    <w:name w:val="heading 5"/>
    <w:basedOn w:val="Normal"/>
    <w:next w:val="Normal"/>
    <w:link w:val="Heading5Char"/>
    <w:uiPriority w:val="9"/>
    <w:unhideWhenUsed/>
    <w:qFormat/>
    <w:rsid w:val="00293D58"/>
    <w:pPr>
      <w:pBdr>
        <w:bottom w:val="single" w:sz="6" w:space="1" w:color="AD0101" w:themeColor="accent1"/>
      </w:pBdr>
      <w:spacing w:before="300"/>
      <w:outlineLvl w:val="4"/>
    </w:pPr>
    <w:rPr>
      <w:caps/>
      <w:color w:val="810000" w:themeColor="accent1" w:themeShade="BF"/>
      <w:spacing w:val="10"/>
      <w:sz w:val="22"/>
      <w:szCs w:val="22"/>
    </w:rPr>
  </w:style>
  <w:style w:type="paragraph" w:styleId="Heading6">
    <w:name w:val="heading 6"/>
    <w:basedOn w:val="Normal"/>
    <w:next w:val="Normal"/>
    <w:link w:val="Heading6Char"/>
    <w:uiPriority w:val="9"/>
    <w:semiHidden/>
    <w:unhideWhenUsed/>
    <w:qFormat/>
    <w:rsid w:val="00293D58"/>
    <w:pPr>
      <w:pBdr>
        <w:bottom w:val="dotted" w:sz="6" w:space="1" w:color="AD0101" w:themeColor="accent1"/>
      </w:pBdr>
      <w:spacing w:before="300"/>
      <w:outlineLvl w:val="5"/>
    </w:pPr>
    <w:rPr>
      <w:caps/>
      <w:color w:val="810000" w:themeColor="accent1" w:themeShade="BF"/>
      <w:spacing w:val="10"/>
      <w:sz w:val="22"/>
      <w:szCs w:val="22"/>
    </w:rPr>
  </w:style>
  <w:style w:type="paragraph" w:styleId="Heading7">
    <w:name w:val="heading 7"/>
    <w:basedOn w:val="Normal"/>
    <w:next w:val="Normal"/>
    <w:link w:val="Heading7Char"/>
    <w:uiPriority w:val="9"/>
    <w:semiHidden/>
    <w:unhideWhenUsed/>
    <w:qFormat/>
    <w:rsid w:val="00293D58"/>
    <w:pPr>
      <w:spacing w:before="300"/>
      <w:outlineLvl w:val="6"/>
    </w:pPr>
    <w:rPr>
      <w:caps/>
      <w:color w:val="810000" w:themeColor="accent1" w:themeShade="BF"/>
      <w:spacing w:val="10"/>
      <w:sz w:val="22"/>
      <w:szCs w:val="22"/>
    </w:rPr>
  </w:style>
  <w:style w:type="paragraph" w:styleId="Heading8">
    <w:name w:val="heading 8"/>
    <w:basedOn w:val="Normal"/>
    <w:next w:val="Normal"/>
    <w:link w:val="Heading8Char"/>
    <w:uiPriority w:val="9"/>
    <w:semiHidden/>
    <w:unhideWhenUsed/>
    <w:qFormat/>
    <w:rsid w:val="00293D58"/>
    <w:pPr>
      <w:spacing w:before="300"/>
      <w:outlineLvl w:val="7"/>
    </w:pPr>
    <w:rPr>
      <w:caps/>
      <w:spacing w:val="10"/>
      <w:sz w:val="18"/>
      <w:szCs w:val="18"/>
    </w:rPr>
  </w:style>
  <w:style w:type="paragraph" w:styleId="Heading9">
    <w:name w:val="heading 9"/>
    <w:basedOn w:val="Normal"/>
    <w:next w:val="Normal"/>
    <w:link w:val="Heading9Char"/>
    <w:uiPriority w:val="9"/>
    <w:semiHidden/>
    <w:unhideWhenUsed/>
    <w:qFormat/>
    <w:rsid w:val="00293D58"/>
    <w:p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3D58"/>
    <w:rPr>
      <w:b/>
      <w:bCs/>
      <w:caps/>
      <w:color w:val="FFFFFF" w:themeColor="background1"/>
      <w:spacing w:val="15"/>
      <w:shd w:val="clear" w:color="auto" w:fill="AD0101" w:themeFill="accent1"/>
    </w:rPr>
  </w:style>
  <w:style w:type="character" w:customStyle="1" w:styleId="Heading2Char">
    <w:name w:val="Heading 2 Char"/>
    <w:basedOn w:val="DefaultParagraphFont"/>
    <w:link w:val="Heading2"/>
    <w:uiPriority w:val="9"/>
    <w:rsid w:val="00293D58"/>
    <w:rPr>
      <w:caps/>
      <w:spacing w:val="15"/>
      <w:shd w:val="clear" w:color="auto" w:fill="FEBCBC" w:themeFill="accent1" w:themeFillTint="33"/>
    </w:rPr>
  </w:style>
  <w:style w:type="character" w:customStyle="1" w:styleId="Heading3Char">
    <w:name w:val="Heading 3 Char"/>
    <w:basedOn w:val="DefaultParagraphFont"/>
    <w:link w:val="Heading3"/>
    <w:uiPriority w:val="9"/>
    <w:rsid w:val="00543FB0"/>
    <w:rPr>
      <w:b/>
      <w:caps/>
      <w:color w:val="AD0101" w:themeColor="accent1"/>
      <w:spacing w:val="15"/>
      <w:sz w:val="28"/>
    </w:rPr>
  </w:style>
  <w:style w:type="paragraph" w:styleId="NoSpacing">
    <w:name w:val="No Spacing"/>
    <w:basedOn w:val="Normal"/>
    <w:link w:val="NoSpacingChar"/>
    <w:uiPriority w:val="1"/>
    <w:qFormat/>
    <w:rsid w:val="00293D58"/>
  </w:style>
  <w:style w:type="paragraph" w:styleId="ListParagraph">
    <w:name w:val="List Paragraph"/>
    <w:basedOn w:val="Normal"/>
    <w:uiPriority w:val="34"/>
    <w:qFormat/>
    <w:rsid w:val="00293D58"/>
    <w:pPr>
      <w:ind w:left="720"/>
      <w:contextualSpacing/>
    </w:pPr>
  </w:style>
  <w:style w:type="character" w:styleId="IntenseEmphasis">
    <w:name w:val="Intense Emphasis"/>
    <w:uiPriority w:val="21"/>
    <w:qFormat/>
    <w:rsid w:val="00293D58"/>
    <w:rPr>
      <w:b/>
      <w:bCs/>
      <w:caps/>
      <w:color w:val="550000" w:themeColor="accent1" w:themeShade="7F"/>
      <w:spacing w:val="10"/>
    </w:rPr>
  </w:style>
  <w:style w:type="character" w:styleId="Emphasis">
    <w:name w:val="Emphasis"/>
    <w:uiPriority w:val="20"/>
    <w:qFormat/>
    <w:rsid w:val="00293D58"/>
    <w:rPr>
      <w:caps/>
      <w:color w:val="550000" w:themeColor="accent1" w:themeShade="7F"/>
      <w:spacing w:val="5"/>
    </w:rPr>
  </w:style>
  <w:style w:type="paragraph" w:styleId="Title">
    <w:name w:val="Title"/>
    <w:basedOn w:val="Normal"/>
    <w:next w:val="Normal"/>
    <w:link w:val="TitleChar"/>
    <w:uiPriority w:val="10"/>
    <w:qFormat/>
    <w:rsid w:val="00293D58"/>
    <w:pPr>
      <w:spacing w:before="720"/>
    </w:pPr>
    <w:rPr>
      <w:caps/>
      <w:color w:val="AD0101" w:themeColor="accent1"/>
      <w:spacing w:val="10"/>
      <w:kern w:val="28"/>
      <w:sz w:val="52"/>
      <w:szCs w:val="52"/>
    </w:rPr>
  </w:style>
  <w:style w:type="character" w:customStyle="1" w:styleId="TitleChar">
    <w:name w:val="Title Char"/>
    <w:basedOn w:val="DefaultParagraphFont"/>
    <w:link w:val="Title"/>
    <w:uiPriority w:val="10"/>
    <w:rsid w:val="00293D58"/>
    <w:rPr>
      <w:caps/>
      <w:color w:val="AD0101" w:themeColor="accent1"/>
      <w:spacing w:val="10"/>
      <w:kern w:val="28"/>
      <w:sz w:val="52"/>
      <w:szCs w:val="52"/>
    </w:rPr>
  </w:style>
  <w:style w:type="character" w:customStyle="1" w:styleId="Heading4Char">
    <w:name w:val="Heading 4 Char"/>
    <w:basedOn w:val="DefaultParagraphFont"/>
    <w:link w:val="Heading4"/>
    <w:uiPriority w:val="9"/>
    <w:semiHidden/>
    <w:rsid w:val="00293D58"/>
    <w:rPr>
      <w:caps/>
      <w:color w:val="810000" w:themeColor="accent1" w:themeShade="BF"/>
      <w:spacing w:val="10"/>
    </w:rPr>
  </w:style>
  <w:style w:type="character" w:customStyle="1" w:styleId="Heading5Char">
    <w:name w:val="Heading 5 Char"/>
    <w:basedOn w:val="DefaultParagraphFont"/>
    <w:link w:val="Heading5"/>
    <w:uiPriority w:val="9"/>
    <w:rsid w:val="00293D58"/>
    <w:rPr>
      <w:caps/>
      <w:color w:val="810000" w:themeColor="accent1" w:themeShade="BF"/>
      <w:spacing w:val="10"/>
    </w:rPr>
  </w:style>
  <w:style w:type="character" w:customStyle="1" w:styleId="Heading6Char">
    <w:name w:val="Heading 6 Char"/>
    <w:basedOn w:val="DefaultParagraphFont"/>
    <w:link w:val="Heading6"/>
    <w:uiPriority w:val="9"/>
    <w:semiHidden/>
    <w:rsid w:val="00293D58"/>
    <w:rPr>
      <w:caps/>
      <w:color w:val="810000" w:themeColor="accent1" w:themeShade="BF"/>
      <w:spacing w:val="10"/>
    </w:rPr>
  </w:style>
  <w:style w:type="character" w:customStyle="1" w:styleId="Heading7Char">
    <w:name w:val="Heading 7 Char"/>
    <w:basedOn w:val="DefaultParagraphFont"/>
    <w:link w:val="Heading7"/>
    <w:uiPriority w:val="9"/>
    <w:semiHidden/>
    <w:rsid w:val="00293D58"/>
    <w:rPr>
      <w:caps/>
      <w:color w:val="810000" w:themeColor="accent1" w:themeShade="BF"/>
      <w:spacing w:val="10"/>
    </w:rPr>
  </w:style>
  <w:style w:type="character" w:customStyle="1" w:styleId="Heading8Char">
    <w:name w:val="Heading 8 Char"/>
    <w:basedOn w:val="DefaultParagraphFont"/>
    <w:link w:val="Heading8"/>
    <w:uiPriority w:val="9"/>
    <w:semiHidden/>
    <w:rsid w:val="00293D58"/>
    <w:rPr>
      <w:caps/>
      <w:spacing w:val="10"/>
      <w:sz w:val="18"/>
      <w:szCs w:val="18"/>
    </w:rPr>
  </w:style>
  <w:style w:type="character" w:customStyle="1" w:styleId="Heading9Char">
    <w:name w:val="Heading 9 Char"/>
    <w:basedOn w:val="DefaultParagraphFont"/>
    <w:link w:val="Heading9"/>
    <w:uiPriority w:val="9"/>
    <w:semiHidden/>
    <w:rsid w:val="00293D58"/>
    <w:rPr>
      <w:i/>
      <w:caps/>
      <w:spacing w:val="10"/>
      <w:sz w:val="18"/>
      <w:szCs w:val="18"/>
    </w:rPr>
  </w:style>
  <w:style w:type="paragraph" w:styleId="BodyText">
    <w:name w:val="Body Text"/>
    <w:aliases w:val="Body,block style"/>
    <w:basedOn w:val="Normal"/>
    <w:link w:val="BodyTextChar"/>
    <w:rsid w:val="0092187C"/>
    <w:pPr>
      <w:jc w:val="both"/>
    </w:pPr>
  </w:style>
  <w:style w:type="character" w:customStyle="1" w:styleId="BodyTextChar">
    <w:name w:val="Body Text Char"/>
    <w:aliases w:val="Body Char,block style Char"/>
    <w:basedOn w:val="DefaultParagraphFont"/>
    <w:link w:val="BodyText"/>
    <w:rsid w:val="0092187C"/>
    <w:rPr>
      <w:rFonts w:ascii="Times New Roman" w:hAnsi="Times New Roman"/>
      <w:sz w:val="24"/>
      <w:szCs w:val="24"/>
      <w:lang w:eastAsia="en-US"/>
    </w:rPr>
  </w:style>
  <w:style w:type="paragraph" w:styleId="FootnoteText">
    <w:name w:val="footnote text"/>
    <w:basedOn w:val="Normal"/>
    <w:link w:val="FootnoteTextChar"/>
    <w:uiPriority w:val="99"/>
    <w:qFormat/>
    <w:rsid w:val="0092187C"/>
    <w:rPr>
      <w:lang w:val="en-GB"/>
    </w:rPr>
  </w:style>
  <w:style w:type="character" w:customStyle="1" w:styleId="FootnoteTextChar">
    <w:name w:val="Footnote Text Char"/>
    <w:basedOn w:val="DefaultParagraphFont"/>
    <w:link w:val="FootnoteText"/>
    <w:uiPriority w:val="99"/>
    <w:rsid w:val="0092187C"/>
    <w:rPr>
      <w:rFonts w:ascii="Times New Roman" w:hAnsi="Times New Roman"/>
      <w:lang w:val="en-GB" w:eastAsia="en-US"/>
    </w:rPr>
  </w:style>
  <w:style w:type="character" w:styleId="FootnoteReference">
    <w:name w:val="footnote reference"/>
    <w:aliases w:val="Footnote symbol,fr"/>
    <w:basedOn w:val="DefaultParagraphFont"/>
    <w:rsid w:val="0092187C"/>
    <w:rPr>
      <w:vertAlign w:val="superscript"/>
    </w:rPr>
  </w:style>
  <w:style w:type="table" w:styleId="TableGrid">
    <w:name w:val="Table Grid"/>
    <w:basedOn w:val="TableNormal"/>
    <w:rsid w:val="0092187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D856A5"/>
    <w:rPr>
      <w:sz w:val="16"/>
      <w:szCs w:val="16"/>
    </w:rPr>
  </w:style>
  <w:style w:type="paragraph" w:styleId="CommentText">
    <w:name w:val="annotation text"/>
    <w:basedOn w:val="Normal"/>
    <w:link w:val="CommentTextChar"/>
    <w:uiPriority w:val="99"/>
    <w:rsid w:val="00D856A5"/>
  </w:style>
  <w:style w:type="character" w:customStyle="1" w:styleId="CommentTextChar">
    <w:name w:val="Comment Text Char"/>
    <w:basedOn w:val="DefaultParagraphFont"/>
    <w:link w:val="CommentText"/>
    <w:uiPriority w:val="99"/>
    <w:rsid w:val="00D856A5"/>
    <w:rPr>
      <w:rFonts w:ascii="Times New Roman" w:hAnsi="Times New Roman"/>
      <w:lang w:eastAsia="en-US"/>
    </w:rPr>
  </w:style>
  <w:style w:type="paragraph" w:styleId="BalloonText">
    <w:name w:val="Balloon Text"/>
    <w:basedOn w:val="Normal"/>
    <w:link w:val="BalloonTextChar"/>
    <w:rsid w:val="00D856A5"/>
    <w:rPr>
      <w:rFonts w:ascii="Tahoma" w:hAnsi="Tahoma" w:cs="Tahoma"/>
      <w:sz w:val="16"/>
      <w:szCs w:val="16"/>
    </w:rPr>
  </w:style>
  <w:style w:type="character" w:customStyle="1" w:styleId="BalloonTextChar">
    <w:name w:val="Balloon Text Char"/>
    <w:basedOn w:val="DefaultParagraphFont"/>
    <w:link w:val="BalloonText"/>
    <w:rsid w:val="00D856A5"/>
    <w:rPr>
      <w:rFonts w:ascii="Tahoma" w:hAnsi="Tahoma" w:cs="Tahoma"/>
      <w:sz w:val="16"/>
      <w:szCs w:val="16"/>
      <w:lang w:eastAsia="en-US"/>
    </w:rPr>
  </w:style>
  <w:style w:type="paragraph" w:styleId="TOCHeading">
    <w:name w:val="TOC Heading"/>
    <w:basedOn w:val="Heading1"/>
    <w:next w:val="Normal"/>
    <w:uiPriority w:val="39"/>
    <w:semiHidden/>
    <w:unhideWhenUsed/>
    <w:qFormat/>
    <w:rsid w:val="00293D58"/>
    <w:pPr>
      <w:outlineLvl w:val="9"/>
    </w:pPr>
    <w:rPr>
      <w:lang w:bidi="en-US"/>
    </w:rPr>
  </w:style>
  <w:style w:type="paragraph" w:styleId="TOC1">
    <w:name w:val="toc 1"/>
    <w:basedOn w:val="Normal"/>
    <w:next w:val="Normal"/>
    <w:autoRedefine/>
    <w:uiPriority w:val="39"/>
    <w:rsid w:val="005B0E30"/>
    <w:pPr>
      <w:tabs>
        <w:tab w:val="right" w:leader="dot" w:pos="9627"/>
      </w:tabs>
      <w:spacing w:after="100"/>
    </w:pPr>
  </w:style>
  <w:style w:type="paragraph" w:styleId="TOC2">
    <w:name w:val="toc 2"/>
    <w:basedOn w:val="Normal"/>
    <w:next w:val="Normal"/>
    <w:autoRedefine/>
    <w:uiPriority w:val="39"/>
    <w:rsid w:val="00F46543"/>
    <w:pPr>
      <w:tabs>
        <w:tab w:val="left" w:pos="709"/>
        <w:tab w:val="right" w:leader="dot" w:pos="9627"/>
      </w:tabs>
      <w:spacing w:after="100"/>
      <w:ind w:left="240"/>
    </w:pPr>
    <w:rPr>
      <w:rFonts w:ascii="Times New Roman" w:hAnsi="Times New Roman" w:cs="Times New Roman"/>
      <w:b/>
      <w:noProof/>
    </w:rPr>
  </w:style>
  <w:style w:type="character" w:styleId="Hyperlink">
    <w:name w:val="Hyperlink"/>
    <w:basedOn w:val="DefaultParagraphFont"/>
    <w:uiPriority w:val="99"/>
    <w:unhideWhenUsed/>
    <w:rsid w:val="00A47F1A"/>
    <w:rPr>
      <w:color w:val="D26900" w:themeColor="hyperlink"/>
      <w:u w:val="single"/>
    </w:rPr>
  </w:style>
  <w:style w:type="table" w:customStyle="1" w:styleId="TableGrid1">
    <w:name w:val="Table Grid1"/>
    <w:basedOn w:val="TableNormal"/>
    <w:next w:val="TableGrid"/>
    <w:rsid w:val="00D94EE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5F6F2F"/>
  </w:style>
  <w:style w:type="character" w:customStyle="1" w:styleId="NoSpacingChar">
    <w:name w:val="No Spacing Char"/>
    <w:basedOn w:val="DefaultParagraphFont"/>
    <w:link w:val="NoSpacing"/>
    <w:uiPriority w:val="1"/>
    <w:rsid w:val="00293D58"/>
    <w:rPr>
      <w:sz w:val="20"/>
      <w:szCs w:val="20"/>
    </w:rPr>
  </w:style>
  <w:style w:type="paragraph" w:styleId="CommentSubject">
    <w:name w:val="annotation subject"/>
    <w:basedOn w:val="CommentText"/>
    <w:next w:val="CommentText"/>
    <w:link w:val="CommentSubjectChar"/>
    <w:rsid w:val="00945C06"/>
    <w:pPr>
      <w:autoSpaceDE w:val="0"/>
      <w:autoSpaceDN w:val="0"/>
    </w:pPr>
    <w:rPr>
      <w:b/>
      <w:bCs/>
    </w:rPr>
  </w:style>
  <w:style w:type="character" w:customStyle="1" w:styleId="CommentSubjectChar">
    <w:name w:val="Comment Subject Char"/>
    <w:basedOn w:val="CommentTextChar"/>
    <w:link w:val="CommentSubject"/>
    <w:rsid w:val="00945C06"/>
    <w:rPr>
      <w:rFonts w:ascii="Times New Roman" w:hAnsi="Times New Roman"/>
      <w:b/>
      <w:bCs/>
      <w:lang w:eastAsia="en-US"/>
    </w:rPr>
  </w:style>
  <w:style w:type="paragraph" w:customStyle="1" w:styleId="Default">
    <w:name w:val="Default"/>
    <w:rsid w:val="00A77C21"/>
    <w:pPr>
      <w:autoSpaceDE w:val="0"/>
      <w:autoSpaceDN w:val="0"/>
      <w:adjustRightInd w:val="0"/>
    </w:pPr>
    <w:rPr>
      <w:rFonts w:cs="Calibri"/>
      <w:color w:val="000000"/>
      <w:sz w:val="24"/>
      <w:szCs w:val="24"/>
    </w:rPr>
  </w:style>
  <w:style w:type="paragraph" w:styleId="Header">
    <w:name w:val="header"/>
    <w:basedOn w:val="Normal"/>
    <w:link w:val="HeaderChar"/>
    <w:uiPriority w:val="99"/>
    <w:rsid w:val="009A6B42"/>
    <w:pPr>
      <w:tabs>
        <w:tab w:val="center" w:pos="4536"/>
        <w:tab w:val="right" w:pos="9072"/>
      </w:tabs>
    </w:pPr>
  </w:style>
  <w:style w:type="character" w:customStyle="1" w:styleId="HeaderChar">
    <w:name w:val="Header Char"/>
    <w:basedOn w:val="DefaultParagraphFont"/>
    <w:link w:val="Header"/>
    <w:uiPriority w:val="99"/>
    <w:rsid w:val="009A6B42"/>
    <w:rPr>
      <w:rFonts w:ascii="Times New Roman" w:hAnsi="Times New Roman"/>
      <w:sz w:val="24"/>
      <w:szCs w:val="24"/>
      <w:lang w:eastAsia="en-US"/>
    </w:rPr>
  </w:style>
  <w:style w:type="paragraph" w:styleId="Footer">
    <w:name w:val="footer"/>
    <w:basedOn w:val="Normal"/>
    <w:link w:val="FooterChar"/>
    <w:uiPriority w:val="99"/>
    <w:rsid w:val="009A6B42"/>
    <w:pPr>
      <w:tabs>
        <w:tab w:val="center" w:pos="4536"/>
        <w:tab w:val="right" w:pos="9072"/>
      </w:tabs>
    </w:pPr>
  </w:style>
  <w:style w:type="character" w:customStyle="1" w:styleId="FooterChar">
    <w:name w:val="Footer Char"/>
    <w:basedOn w:val="DefaultParagraphFont"/>
    <w:link w:val="Footer"/>
    <w:uiPriority w:val="99"/>
    <w:rsid w:val="009A6B42"/>
    <w:rPr>
      <w:rFonts w:ascii="Times New Roman" w:hAnsi="Times New Roman"/>
      <w:sz w:val="24"/>
      <w:szCs w:val="24"/>
      <w:lang w:eastAsia="en-US"/>
    </w:rPr>
  </w:style>
  <w:style w:type="paragraph" w:styleId="NormalWeb">
    <w:name w:val="Normal (Web)"/>
    <w:basedOn w:val="Normal"/>
    <w:uiPriority w:val="99"/>
    <w:unhideWhenUsed/>
    <w:rsid w:val="00322238"/>
    <w:pPr>
      <w:spacing w:before="100" w:beforeAutospacing="1" w:after="100" w:afterAutospacing="1"/>
    </w:pPr>
  </w:style>
  <w:style w:type="character" w:styleId="Strong">
    <w:name w:val="Strong"/>
    <w:uiPriority w:val="22"/>
    <w:qFormat/>
    <w:rsid w:val="00293D58"/>
    <w:rPr>
      <w:b/>
      <w:bCs/>
    </w:rPr>
  </w:style>
  <w:style w:type="paragraph" w:customStyle="1" w:styleId="Standard">
    <w:name w:val="Standard"/>
    <w:rsid w:val="00F87A2F"/>
    <w:pPr>
      <w:suppressAutoHyphens/>
      <w:autoSpaceDN w:val="0"/>
      <w:textAlignment w:val="baseline"/>
    </w:pPr>
    <w:rPr>
      <w:rFonts w:ascii="Times New Roman" w:hAnsi="Times New Roman" w:cs="Calibri"/>
      <w:color w:val="000000"/>
      <w:kern w:val="3"/>
      <w:sz w:val="24"/>
      <w:szCs w:val="24"/>
      <w:lang w:eastAsia="en-US"/>
    </w:rPr>
  </w:style>
  <w:style w:type="paragraph" w:customStyle="1" w:styleId="Textbody">
    <w:name w:val="Text body"/>
    <w:basedOn w:val="Standard"/>
    <w:rsid w:val="00F87A2F"/>
    <w:pPr>
      <w:jc w:val="both"/>
    </w:pPr>
  </w:style>
  <w:style w:type="paragraph" w:styleId="TOC3">
    <w:name w:val="toc 3"/>
    <w:basedOn w:val="Normal"/>
    <w:next w:val="Normal"/>
    <w:autoRedefine/>
    <w:uiPriority w:val="39"/>
    <w:rsid w:val="00044453"/>
    <w:pPr>
      <w:tabs>
        <w:tab w:val="right" w:leader="dot" w:pos="9627"/>
      </w:tabs>
      <w:spacing w:after="100"/>
      <w:ind w:left="709"/>
    </w:pPr>
  </w:style>
  <w:style w:type="table" w:styleId="TableColorful1">
    <w:name w:val="Table Colorful 1"/>
    <w:basedOn w:val="TableNormal"/>
    <w:rsid w:val="009D26AB"/>
    <w:pPr>
      <w:autoSpaceDE w:val="0"/>
      <w:autoSpaceDN w:val="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List8">
    <w:name w:val="Table List 8"/>
    <w:basedOn w:val="TableNormal"/>
    <w:rsid w:val="009D26AB"/>
    <w:pPr>
      <w:autoSpaceDE w:val="0"/>
      <w:autoSpaceDN w:val="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LightGrid-Accent2">
    <w:name w:val="Light Grid Accent 2"/>
    <w:basedOn w:val="TableNormal"/>
    <w:uiPriority w:val="62"/>
    <w:rsid w:val="009D26AB"/>
    <w:tblPr>
      <w:tblStyleRowBandSize w:val="1"/>
      <w:tblStyleColBandSize w:val="1"/>
      <w:tblBorders>
        <w:top w:val="single" w:sz="8" w:space="0" w:color="726056" w:themeColor="accent2"/>
        <w:left w:val="single" w:sz="8" w:space="0" w:color="726056" w:themeColor="accent2"/>
        <w:bottom w:val="single" w:sz="8" w:space="0" w:color="726056" w:themeColor="accent2"/>
        <w:right w:val="single" w:sz="8" w:space="0" w:color="726056" w:themeColor="accent2"/>
        <w:insideH w:val="single" w:sz="8" w:space="0" w:color="726056" w:themeColor="accent2"/>
        <w:insideV w:val="single" w:sz="8" w:space="0" w:color="72605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26056" w:themeColor="accent2"/>
          <w:left w:val="single" w:sz="8" w:space="0" w:color="726056" w:themeColor="accent2"/>
          <w:bottom w:val="single" w:sz="18" w:space="0" w:color="726056" w:themeColor="accent2"/>
          <w:right w:val="single" w:sz="8" w:space="0" w:color="726056" w:themeColor="accent2"/>
          <w:insideH w:val="nil"/>
          <w:insideV w:val="single" w:sz="8" w:space="0" w:color="72605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26056" w:themeColor="accent2"/>
          <w:left w:val="single" w:sz="8" w:space="0" w:color="726056" w:themeColor="accent2"/>
          <w:bottom w:val="single" w:sz="8" w:space="0" w:color="726056" w:themeColor="accent2"/>
          <w:right w:val="single" w:sz="8" w:space="0" w:color="726056" w:themeColor="accent2"/>
          <w:insideH w:val="nil"/>
          <w:insideV w:val="single" w:sz="8" w:space="0" w:color="72605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26056" w:themeColor="accent2"/>
          <w:left w:val="single" w:sz="8" w:space="0" w:color="726056" w:themeColor="accent2"/>
          <w:bottom w:val="single" w:sz="8" w:space="0" w:color="726056" w:themeColor="accent2"/>
          <w:right w:val="single" w:sz="8" w:space="0" w:color="726056" w:themeColor="accent2"/>
        </w:tcBorders>
      </w:tcPr>
    </w:tblStylePr>
    <w:tblStylePr w:type="band1Vert">
      <w:tblPr/>
      <w:tcPr>
        <w:tcBorders>
          <w:top w:val="single" w:sz="8" w:space="0" w:color="726056" w:themeColor="accent2"/>
          <w:left w:val="single" w:sz="8" w:space="0" w:color="726056" w:themeColor="accent2"/>
          <w:bottom w:val="single" w:sz="8" w:space="0" w:color="726056" w:themeColor="accent2"/>
          <w:right w:val="single" w:sz="8" w:space="0" w:color="726056" w:themeColor="accent2"/>
        </w:tcBorders>
        <w:shd w:val="clear" w:color="auto" w:fill="DED7D3" w:themeFill="accent2" w:themeFillTint="3F"/>
      </w:tcPr>
    </w:tblStylePr>
    <w:tblStylePr w:type="band1Horz">
      <w:tblPr/>
      <w:tcPr>
        <w:tcBorders>
          <w:top w:val="single" w:sz="8" w:space="0" w:color="726056" w:themeColor="accent2"/>
          <w:left w:val="single" w:sz="8" w:space="0" w:color="726056" w:themeColor="accent2"/>
          <w:bottom w:val="single" w:sz="8" w:space="0" w:color="726056" w:themeColor="accent2"/>
          <w:right w:val="single" w:sz="8" w:space="0" w:color="726056" w:themeColor="accent2"/>
          <w:insideV w:val="single" w:sz="8" w:space="0" w:color="726056" w:themeColor="accent2"/>
        </w:tcBorders>
        <w:shd w:val="clear" w:color="auto" w:fill="DED7D3" w:themeFill="accent2" w:themeFillTint="3F"/>
      </w:tcPr>
    </w:tblStylePr>
    <w:tblStylePr w:type="band2Horz">
      <w:tblPr/>
      <w:tcPr>
        <w:tcBorders>
          <w:top w:val="single" w:sz="8" w:space="0" w:color="726056" w:themeColor="accent2"/>
          <w:left w:val="single" w:sz="8" w:space="0" w:color="726056" w:themeColor="accent2"/>
          <w:bottom w:val="single" w:sz="8" w:space="0" w:color="726056" w:themeColor="accent2"/>
          <w:right w:val="single" w:sz="8" w:space="0" w:color="726056" w:themeColor="accent2"/>
          <w:insideV w:val="single" w:sz="8" w:space="0" w:color="726056" w:themeColor="accent2"/>
        </w:tcBorders>
      </w:tcPr>
    </w:tblStylePr>
  </w:style>
  <w:style w:type="paragraph" w:styleId="Caption">
    <w:name w:val="caption"/>
    <w:basedOn w:val="Normal"/>
    <w:next w:val="Normal"/>
    <w:uiPriority w:val="35"/>
    <w:semiHidden/>
    <w:unhideWhenUsed/>
    <w:qFormat/>
    <w:rsid w:val="00293D58"/>
    <w:rPr>
      <w:b/>
      <w:bCs/>
      <w:color w:val="810000" w:themeColor="accent1" w:themeShade="BF"/>
      <w:sz w:val="16"/>
      <w:szCs w:val="16"/>
    </w:rPr>
  </w:style>
  <w:style w:type="paragraph" w:styleId="Subtitle">
    <w:name w:val="Subtitle"/>
    <w:basedOn w:val="Normal"/>
    <w:next w:val="Normal"/>
    <w:link w:val="SubtitleChar"/>
    <w:uiPriority w:val="11"/>
    <w:qFormat/>
    <w:rsid w:val="00293D58"/>
    <w:pPr>
      <w:spacing w:after="1000"/>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293D58"/>
    <w:rPr>
      <w:caps/>
      <w:color w:val="595959" w:themeColor="text1" w:themeTint="A6"/>
      <w:spacing w:val="10"/>
      <w:sz w:val="24"/>
      <w:szCs w:val="24"/>
    </w:rPr>
  </w:style>
  <w:style w:type="paragraph" w:styleId="Quote">
    <w:name w:val="Quote"/>
    <w:basedOn w:val="Normal"/>
    <w:next w:val="Normal"/>
    <w:link w:val="QuoteChar"/>
    <w:uiPriority w:val="29"/>
    <w:qFormat/>
    <w:rsid w:val="00293D58"/>
    <w:rPr>
      <w:i/>
      <w:iCs/>
    </w:rPr>
  </w:style>
  <w:style w:type="character" w:customStyle="1" w:styleId="QuoteChar">
    <w:name w:val="Quote Char"/>
    <w:basedOn w:val="DefaultParagraphFont"/>
    <w:link w:val="Quote"/>
    <w:uiPriority w:val="29"/>
    <w:rsid w:val="00293D58"/>
    <w:rPr>
      <w:i/>
      <w:iCs/>
      <w:sz w:val="20"/>
      <w:szCs w:val="20"/>
    </w:rPr>
  </w:style>
  <w:style w:type="paragraph" w:styleId="IntenseQuote">
    <w:name w:val="Intense Quote"/>
    <w:basedOn w:val="Normal"/>
    <w:next w:val="Normal"/>
    <w:link w:val="IntenseQuoteChar"/>
    <w:uiPriority w:val="30"/>
    <w:qFormat/>
    <w:rsid w:val="00293D58"/>
    <w:pPr>
      <w:pBdr>
        <w:top w:val="single" w:sz="4" w:space="10" w:color="AD0101" w:themeColor="accent1"/>
        <w:left w:val="single" w:sz="4" w:space="10" w:color="AD0101" w:themeColor="accent1"/>
      </w:pBdr>
      <w:ind w:left="1296" w:right="1152"/>
      <w:jc w:val="both"/>
    </w:pPr>
    <w:rPr>
      <w:i/>
      <w:iCs/>
      <w:color w:val="AD0101" w:themeColor="accent1"/>
    </w:rPr>
  </w:style>
  <w:style w:type="character" w:customStyle="1" w:styleId="IntenseQuoteChar">
    <w:name w:val="Intense Quote Char"/>
    <w:basedOn w:val="DefaultParagraphFont"/>
    <w:link w:val="IntenseQuote"/>
    <w:uiPriority w:val="30"/>
    <w:rsid w:val="00293D58"/>
    <w:rPr>
      <w:i/>
      <w:iCs/>
      <w:color w:val="AD0101" w:themeColor="accent1"/>
      <w:sz w:val="20"/>
      <w:szCs w:val="20"/>
    </w:rPr>
  </w:style>
  <w:style w:type="character" w:styleId="SubtleEmphasis">
    <w:name w:val="Subtle Emphasis"/>
    <w:uiPriority w:val="19"/>
    <w:qFormat/>
    <w:rsid w:val="00293D58"/>
    <w:rPr>
      <w:i/>
      <w:iCs/>
      <w:color w:val="550000" w:themeColor="accent1" w:themeShade="7F"/>
    </w:rPr>
  </w:style>
  <w:style w:type="character" w:styleId="SubtleReference">
    <w:name w:val="Subtle Reference"/>
    <w:uiPriority w:val="31"/>
    <w:qFormat/>
    <w:rsid w:val="00293D58"/>
    <w:rPr>
      <w:b/>
      <w:bCs/>
      <w:color w:val="AD0101" w:themeColor="accent1"/>
    </w:rPr>
  </w:style>
  <w:style w:type="character" w:styleId="IntenseReference">
    <w:name w:val="Intense Reference"/>
    <w:uiPriority w:val="32"/>
    <w:qFormat/>
    <w:rsid w:val="00293D58"/>
    <w:rPr>
      <w:b/>
      <w:bCs/>
      <w:i/>
      <w:iCs/>
      <w:caps/>
      <w:color w:val="AD0101" w:themeColor="accent1"/>
    </w:rPr>
  </w:style>
  <w:style w:type="character" w:styleId="BookTitle">
    <w:name w:val="Book Title"/>
    <w:uiPriority w:val="33"/>
    <w:qFormat/>
    <w:rsid w:val="00293D58"/>
    <w:rPr>
      <w:b/>
      <w:bCs/>
      <w:i/>
      <w:iCs/>
      <w:spacing w:val="9"/>
    </w:rPr>
  </w:style>
  <w:style w:type="paragraph" w:customStyle="1" w:styleId="TableContents">
    <w:name w:val="Table Contents"/>
    <w:basedOn w:val="Normal"/>
    <w:rsid w:val="005C27DB"/>
    <w:pPr>
      <w:widowControl w:val="0"/>
      <w:suppressLineNumbers/>
      <w:suppressAutoHyphens/>
      <w:spacing w:line="238" w:lineRule="exact"/>
      <w:jc w:val="both"/>
    </w:pPr>
    <w:rPr>
      <w:rFonts w:ascii="Times New Roman" w:eastAsia="SimSun" w:hAnsi="Times New Roman" w:cs="Times New Roman"/>
      <w:kern w:val="1"/>
      <w:sz w:val="24"/>
      <w:szCs w:val="24"/>
      <w:lang w:eastAsia="zh-CN" w:bidi="hi-IN"/>
    </w:rPr>
  </w:style>
  <w:style w:type="paragraph" w:customStyle="1" w:styleId="AK">
    <w:name w:val="AK"/>
    <w:autoRedefine/>
    <w:qFormat/>
    <w:rsid w:val="00937973"/>
    <w:pPr>
      <w:keepNext/>
      <w:keepLines/>
      <w:suppressLineNumbers/>
      <w:tabs>
        <w:tab w:val="left" w:pos="171"/>
      </w:tabs>
      <w:jc w:val="right"/>
    </w:pPr>
    <w:rPr>
      <w:rFonts w:ascii="Times New Roman" w:eastAsia="SimSun" w:hAnsi="Times New Roman" w:cs="Times New Roman"/>
      <w:bCs/>
      <w:kern w:val="1"/>
      <w:sz w:val="20"/>
      <w:szCs w:val="20"/>
      <w:lang w:eastAsia="zh-CN" w:bidi="hi-IN"/>
    </w:rPr>
  </w:style>
  <w:style w:type="paragraph" w:customStyle="1" w:styleId="Liik">
    <w:name w:val="Liik"/>
    <w:autoRedefine/>
    <w:qFormat/>
    <w:rsid w:val="00D97A14"/>
    <w:rPr>
      <w:rFonts w:ascii="Times New Roman" w:eastAsia="SimSun" w:hAnsi="Times New Roman" w:cs="Times New Roman"/>
      <w:b/>
      <w:kern w:val="24"/>
      <w:sz w:val="24"/>
      <w:szCs w:val="24"/>
      <w:lang w:eastAsia="zh-CN" w:bidi="hi-IN"/>
    </w:rPr>
  </w:style>
  <w:style w:type="character" w:customStyle="1" w:styleId="italic1">
    <w:name w:val="italic1"/>
    <w:basedOn w:val="DefaultParagraphFont"/>
    <w:rsid w:val="006C782E"/>
    <w:rPr>
      <w:i/>
      <w:iCs/>
    </w:rPr>
  </w:style>
  <w:style w:type="paragraph" w:customStyle="1" w:styleId="Pealkiri">
    <w:name w:val="Pealkiri"/>
    <w:autoRedefine/>
    <w:qFormat/>
    <w:rsid w:val="00D42F9F"/>
    <w:pPr>
      <w:spacing w:after="560"/>
    </w:pPr>
    <w:rPr>
      <w:rFonts w:ascii="Times New Roman" w:eastAsia="SimSun" w:hAnsi="Times New Roman" w:cs="Times New Roman"/>
      <w:b/>
      <w:bCs/>
      <w:kern w:val="1"/>
      <w:sz w:val="36"/>
      <w:szCs w:val="36"/>
      <w:lang w:eastAsia="zh-CN" w:bidi="hi-IN"/>
    </w:rPr>
  </w:style>
  <w:style w:type="paragraph" w:customStyle="1" w:styleId="Kuupev1">
    <w:name w:val="Kuupäev1"/>
    <w:autoRedefine/>
    <w:qFormat/>
    <w:rsid w:val="00937973"/>
    <w:pPr>
      <w:spacing w:before="840"/>
    </w:pPr>
    <w:rPr>
      <w:rFonts w:ascii="Times New Roman" w:eastAsia="SimSun" w:hAnsi="Times New Roman" w:cs="Times New Roman"/>
      <w:kern w:val="24"/>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t-EE" w:eastAsia="et-EE"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footnote text" w:uiPriority="99" w:qFormat="1"/>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Title" w:uiPriority="10" w:qFormat="1"/>
    <w:lsdException w:name="Default Paragraph Font" w:uiPriority="1"/>
    <w:lsdException w:name="Subtitle" w:uiPriority="11" w:qFormat="1"/>
    <w:lsdException w:name="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2155"/>
    <w:rPr>
      <w:sz w:val="20"/>
      <w:szCs w:val="20"/>
    </w:rPr>
  </w:style>
  <w:style w:type="paragraph" w:styleId="Heading1">
    <w:name w:val="heading 1"/>
    <w:basedOn w:val="Normal"/>
    <w:next w:val="Normal"/>
    <w:link w:val="Heading1Char"/>
    <w:uiPriority w:val="9"/>
    <w:qFormat/>
    <w:rsid w:val="00293D58"/>
    <w:pPr>
      <w:pBdr>
        <w:top w:val="single" w:sz="24" w:space="0" w:color="AD0101" w:themeColor="accent1"/>
        <w:left w:val="single" w:sz="24" w:space="0" w:color="AD0101" w:themeColor="accent1"/>
        <w:bottom w:val="single" w:sz="24" w:space="0" w:color="AD0101" w:themeColor="accent1"/>
        <w:right w:val="single" w:sz="24" w:space="0" w:color="AD0101" w:themeColor="accent1"/>
      </w:pBdr>
      <w:shd w:val="clear" w:color="auto" w:fill="AD0101" w:themeFill="accent1"/>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293D58"/>
    <w:pPr>
      <w:pBdr>
        <w:top w:val="single" w:sz="24" w:space="0" w:color="FEBCBC" w:themeColor="accent1" w:themeTint="33"/>
        <w:left w:val="single" w:sz="24" w:space="0" w:color="FEBCBC" w:themeColor="accent1" w:themeTint="33"/>
        <w:bottom w:val="single" w:sz="24" w:space="0" w:color="FEBCBC" w:themeColor="accent1" w:themeTint="33"/>
        <w:right w:val="single" w:sz="24" w:space="0" w:color="FEBCBC" w:themeColor="accent1" w:themeTint="33"/>
      </w:pBdr>
      <w:shd w:val="clear" w:color="auto" w:fill="FEBCBC" w:themeFill="accent1" w:themeFillTint="33"/>
      <w:outlineLvl w:val="1"/>
    </w:pPr>
    <w:rPr>
      <w:caps/>
      <w:spacing w:val="15"/>
      <w:sz w:val="22"/>
      <w:szCs w:val="22"/>
    </w:rPr>
  </w:style>
  <w:style w:type="paragraph" w:styleId="Heading3">
    <w:name w:val="heading 3"/>
    <w:basedOn w:val="Normal"/>
    <w:next w:val="Normal"/>
    <w:link w:val="Heading3Char"/>
    <w:uiPriority w:val="9"/>
    <w:unhideWhenUsed/>
    <w:qFormat/>
    <w:rsid w:val="00543FB0"/>
    <w:pPr>
      <w:pBdr>
        <w:bottom w:val="single" w:sz="18" w:space="1" w:color="AD0101" w:themeColor="accent1"/>
      </w:pBdr>
      <w:spacing w:before="300"/>
      <w:outlineLvl w:val="2"/>
    </w:pPr>
    <w:rPr>
      <w:b/>
      <w:caps/>
      <w:color w:val="AD0101" w:themeColor="accent1"/>
      <w:spacing w:val="15"/>
      <w:sz w:val="28"/>
      <w:szCs w:val="22"/>
    </w:rPr>
  </w:style>
  <w:style w:type="paragraph" w:styleId="Heading4">
    <w:name w:val="heading 4"/>
    <w:basedOn w:val="Normal"/>
    <w:next w:val="Normal"/>
    <w:link w:val="Heading4Char"/>
    <w:uiPriority w:val="9"/>
    <w:semiHidden/>
    <w:unhideWhenUsed/>
    <w:qFormat/>
    <w:rsid w:val="00293D58"/>
    <w:pPr>
      <w:pBdr>
        <w:top w:val="dotted" w:sz="6" w:space="2" w:color="AD0101" w:themeColor="accent1"/>
        <w:left w:val="dotted" w:sz="6" w:space="2" w:color="AD0101" w:themeColor="accent1"/>
      </w:pBdr>
      <w:spacing w:before="300"/>
      <w:outlineLvl w:val="3"/>
    </w:pPr>
    <w:rPr>
      <w:caps/>
      <w:color w:val="810000" w:themeColor="accent1" w:themeShade="BF"/>
      <w:spacing w:val="10"/>
      <w:sz w:val="22"/>
      <w:szCs w:val="22"/>
    </w:rPr>
  </w:style>
  <w:style w:type="paragraph" w:styleId="Heading5">
    <w:name w:val="heading 5"/>
    <w:basedOn w:val="Normal"/>
    <w:next w:val="Normal"/>
    <w:link w:val="Heading5Char"/>
    <w:uiPriority w:val="9"/>
    <w:unhideWhenUsed/>
    <w:qFormat/>
    <w:rsid w:val="00293D58"/>
    <w:pPr>
      <w:pBdr>
        <w:bottom w:val="single" w:sz="6" w:space="1" w:color="AD0101" w:themeColor="accent1"/>
      </w:pBdr>
      <w:spacing w:before="300"/>
      <w:outlineLvl w:val="4"/>
    </w:pPr>
    <w:rPr>
      <w:caps/>
      <w:color w:val="810000" w:themeColor="accent1" w:themeShade="BF"/>
      <w:spacing w:val="10"/>
      <w:sz w:val="22"/>
      <w:szCs w:val="22"/>
    </w:rPr>
  </w:style>
  <w:style w:type="paragraph" w:styleId="Heading6">
    <w:name w:val="heading 6"/>
    <w:basedOn w:val="Normal"/>
    <w:next w:val="Normal"/>
    <w:link w:val="Heading6Char"/>
    <w:uiPriority w:val="9"/>
    <w:semiHidden/>
    <w:unhideWhenUsed/>
    <w:qFormat/>
    <w:rsid w:val="00293D58"/>
    <w:pPr>
      <w:pBdr>
        <w:bottom w:val="dotted" w:sz="6" w:space="1" w:color="AD0101" w:themeColor="accent1"/>
      </w:pBdr>
      <w:spacing w:before="300"/>
      <w:outlineLvl w:val="5"/>
    </w:pPr>
    <w:rPr>
      <w:caps/>
      <w:color w:val="810000" w:themeColor="accent1" w:themeShade="BF"/>
      <w:spacing w:val="10"/>
      <w:sz w:val="22"/>
      <w:szCs w:val="22"/>
    </w:rPr>
  </w:style>
  <w:style w:type="paragraph" w:styleId="Heading7">
    <w:name w:val="heading 7"/>
    <w:basedOn w:val="Normal"/>
    <w:next w:val="Normal"/>
    <w:link w:val="Heading7Char"/>
    <w:uiPriority w:val="9"/>
    <w:semiHidden/>
    <w:unhideWhenUsed/>
    <w:qFormat/>
    <w:rsid w:val="00293D58"/>
    <w:pPr>
      <w:spacing w:before="300"/>
      <w:outlineLvl w:val="6"/>
    </w:pPr>
    <w:rPr>
      <w:caps/>
      <w:color w:val="810000" w:themeColor="accent1" w:themeShade="BF"/>
      <w:spacing w:val="10"/>
      <w:sz w:val="22"/>
      <w:szCs w:val="22"/>
    </w:rPr>
  </w:style>
  <w:style w:type="paragraph" w:styleId="Heading8">
    <w:name w:val="heading 8"/>
    <w:basedOn w:val="Normal"/>
    <w:next w:val="Normal"/>
    <w:link w:val="Heading8Char"/>
    <w:uiPriority w:val="9"/>
    <w:semiHidden/>
    <w:unhideWhenUsed/>
    <w:qFormat/>
    <w:rsid w:val="00293D58"/>
    <w:pPr>
      <w:spacing w:before="300"/>
      <w:outlineLvl w:val="7"/>
    </w:pPr>
    <w:rPr>
      <w:caps/>
      <w:spacing w:val="10"/>
      <w:sz w:val="18"/>
      <w:szCs w:val="18"/>
    </w:rPr>
  </w:style>
  <w:style w:type="paragraph" w:styleId="Heading9">
    <w:name w:val="heading 9"/>
    <w:basedOn w:val="Normal"/>
    <w:next w:val="Normal"/>
    <w:link w:val="Heading9Char"/>
    <w:uiPriority w:val="9"/>
    <w:semiHidden/>
    <w:unhideWhenUsed/>
    <w:qFormat/>
    <w:rsid w:val="00293D58"/>
    <w:p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3D58"/>
    <w:rPr>
      <w:b/>
      <w:bCs/>
      <w:caps/>
      <w:color w:val="FFFFFF" w:themeColor="background1"/>
      <w:spacing w:val="15"/>
      <w:shd w:val="clear" w:color="auto" w:fill="AD0101" w:themeFill="accent1"/>
    </w:rPr>
  </w:style>
  <w:style w:type="character" w:customStyle="1" w:styleId="Heading2Char">
    <w:name w:val="Heading 2 Char"/>
    <w:basedOn w:val="DefaultParagraphFont"/>
    <w:link w:val="Heading2"/>
    <w:uiPriority w:val="9"/>
    <w:rsid w:val="00293D58"/>
    <w:rPr>
      <w:caps/>
      <w:spacing w:val="15"/>
      <w:shd w:val="clear" w:color="auto" w:fill="FEBCBC" w:themeFill="accent1" w:themeFillTint="33"/>
    </w:rPr>
  </w:style>
  <w:style w:type="character" w:customStyle="1" w:styleId="Heading3Char">
    <w:name w:val="Heading 3 Char"/>
    <w:basedOn w:val="DefaultParagraphFont"/>
    <w:link w:val="Heading3"/>
    <w:uiPriority w:val="9"/>
    <w:rsid w:val="00543FB0"/>
    <w:rPr>
      <w:b/>
      <w:caps/>
      <w:color w:val="AD0101" w:themeColor="accent1"/>
      <w:spacing w:val="15"/>
      <w:sz w:val="28"/>
    </w:rPr>
  </w:style>
  <w:style w:type="paragraph" w:styleId="NoSpacing">
    <w:name w:val="No Spacing"/>
    <w:basedOn w:val="Normal"/>
    <w:link w:val="NoSpacingChar"/>
    <w:uiPriority w:val="1"/>
    <w:qFormat/>
    <w:rsid w:val="00293D58"/>
  </w:style>
  <w:style w:type="paragraph" w:styleId="ListParagraph">
    <w:name w:val="List Paragraph"/>
    <w:basedOn w:val="Normal"/>
    <w:uiPriority w:val="34"/>
    <w:qFormat/>
    <w:rsid w:val="00293D58"/>
    <w:pPr>
      <w:ind w:left="720"/>
      <w:contextualSpacing/>
    </w:pPr>
  </w:style>
  <w:style w:type="character" w:styleId="IntenseEmphasis">
    <w:name w:val="Intense Emphasis"/>
    <w:uiPriority w:val="21"/>
    <w:qFormat/>
    <w:rsid w:val="00293D58"/>
    <w:rPr>
      <w:b/>
      <w:bCs/>
      <w:caps/>
      <w:color w:val="550000" w:themeColor="accent1" w:themeShade="7F"/>
      <w:spacing w:val="10"/>
    </w:rPr>
  </w:style>
  <w:style w:type="character" w:styleId="Emphasis">
    <w:name w:val="Emphasis"/>
    <w:uiPriority w:val="20"/>
    <w:qFormat/>
    <w:rsid w:val="00293D58"/>
    <w:rPr>
      <w:caps/>
      <w:color w:val="550000" w:themeColor="accent1" w:themeShade="7F"/>
      <w:spacing w:val="5"/>
    </w:rPr>
  </w:style>
  <w:style w:type="paragraph" w:styleId="Title">
    <w:name w:val="Title"/>
    <w:basedOn w:val="Normal"/>
    <w:next w:val="Normal"/>
    <w:link w:val="TitleChar"/>
    <w:uiPriority w:val="10"/>
    <w:qFormat/>
    <w:rsid w:val="00293D58"/>
    <w:pPr>
      <w:spacing w:before="720"/>
    </w:pPr>
    <w:rPr>
      <w:caps/>
      <w:color w:val="AD0101" w:themeColor="accent1"/>
      <w:spacing w:val="10"/>
      <w:kern w:val="28"/>
      <w:sz w:val="52"/>
      <w:szCs w:val="52"/>
    </w:rPr>
  </w:style>
  <w:style w:type="character" w:customStyle="1" w:styleId="TitleChar">
    <w:name w:val="Title Char"/>
    <w:basedOn w:val="DefaultParagraphFont"/>
    <w:link w:val="Title"/>
    <w:uiPriority w:val="10"/>
    <w:rsid w:val="00293D58"/>
    <w:rPr>
      <w:caps/>
      <w:color w:val="AD0101" w:themeColor="accent1"/>
      <w:spacing w:val="10"/>
      <w:kern w:val="28"/>
      <w:sz w:val="52"/>
      <w:szCs w:val="52"/>
    </w:rPr>
  </w:style>
  <w:style w:type="character" w:customStyle="1" w:styleId="Heading4Char">
    <w:name w:val="Heading 4 Char"/>
    <w:basedOn w:val="DefaultParagraphFont"/>
    <w:link w:val="Heading4"/>
    <w:uiPriority w:val="9"/>
    <w:semiHidden/>
    <w:rsid w:val="00293D58"/>
    <w:rPr>
      <w:caps/>
      <w:color w:val="810000" w:themeColor="accent1" w:themeShade="BF"/>
      <w:spacing w:val="10"/>
    </w:rPr>
  </w:style>
  <w:style w:type="character" w:customStyle="1" w:styleId="Heading5Char">
    <w:name w:val="Heading 5 Char"/>
    <w:basedOn w:val="DefaultParagraphFont"/>
    <w:link w:val="Heading5"/>
    <w:uiPriority w:val="9"/>
    <w:rsid w:val="00293D58"/>
    <w:rPr>
      <w:caps/>
      <w:color w:val="810000" w:themeColor="accent1" w:themeShade="BF"/>
      <w:spacing w:val="10"/>
    </w:rPr>
  </w:style>
  <w:style w:type="character" w:customStyle="1" w:styleId="Heading6Char">
    <w:name w:val="Heading 6 Char"/>
    <w:basedOn w:val="DefaultParagraphFont"/>
    <w:link w:val="Heading6"/>
    <w:uiPriority w:val="9"/>
    <w:semiHidden/>
    <w:rsid w:val="00293D58"/>
    <w:rPr>
      <w:caps/>
      <w:color w:val="810000" w:themeColor="accent1" w:themeShade="BF"/>
      <w:spacing w:val="10"/>
    </w:rPr>
  </w:style>
  <w:style w:type="character" w:customStyle="1" w:styleId="Heading7Char">
    <w:name w:val="Heading 7 Char"/>
    <w:basedOn w:val="DefaultParagraphFont"/>
    <w:link w:val="Heading7"/>
    <w:uiPriority w:val="9"/>
    <w:semiHidden/>
    <w:rsid w:val="00293D58"/>
    <w:rPr>
      <w:caps/>
      <w:color w:val="810000" w:themeColor="accent1" w:themeShade="BF"/>
      <w:spacing w:val="10"/>
    </w:rPr>
  </w:style>
  <w:style w:type="character" w:customStyle="1" w:styleId="Heading8Char">
    <w:name w:val="Heading 8 Char"/>
    <w:basedOn w:val="DefaultParagraphFont"/>
    <w:link w:val="Heading8"/>
    <w:uiPriority w:val="9"/>
    <w:semiHidden/>
    <w:rsid w:val="00293D58"/>
    <w:rPr>
      <w:caps/>
      <w:spacing w:val="10"/>
      <w:sz w:val="18"/>
      <w:szCs w:val="18"/>
    </w:rPr>
  </w:style>
  <w:style w:type="character" w:customStyle="1" w:styleId="Heading9Char">
    <w:name w:val="Heading 9 Char"/>
    <w:basedOn w:val="DefaultParagraphFont"/>
    <w:link w:val="Heading9"/>
    <w:uiPriority w:val="9"/>
    <w:semiHidden/>
    <w:rsid w:val="00293D58"/>
    <w:rPr>
      <w:i/>
      <w:caps/>
      <w:spacing w:val="10"/>
      <w:sz w:val="18"/>
      <w:szCs w:val="18"/>
    </w:rPr>
  </w:style>
  <w:style w:type="paragraph" w:styleId="BodyText">
    <w:name w:val="Body Text"/>
    <w:aliases w:val="Body,block style"/>
    <w:basedOn w:val="Normal"/>
    <w:link w:val="BodyTextChar"/>
    <w:rsid w:val="0092187C"/>
    <w:pPr>
      <w:jc w:val="both"/>
    </w:pPr>
  </w:style>
  <w:style w:type="character" w:customStyle="1" w:styleId="BodyTextChar">
    <w:name w:val="Body Text Char"/>
    <w:aliases w:val="Body Char,block style Char"/>
    <w:basedOn w:val="DefaultParagraphFont"/>
    <w:link w:val="BodyText"/>
    <w:rsid w:val="0092187C"/>
    <w:rPr>
      <w:rFonts w:ascii="Times New Roman" w:hAnsi="Times New Roman"/>
      <w:sz w:val="24"/>
      <w:szCs w:val="24"/>
      <w:lang w:eastAsia="en-US"/>
    </w:rPr>
  </w:style>
  <w:style w:type="paragraph" w:styleId="FootnoteText">
    <w:name w:val="footnote text"/>
    <w:basedOn w:val="Normal"/>
    <w:link w:val="FootnoteTextChar"/>
    <w:uiPriority w:val="99"/>
    <w:qFormat/>
    <w:rsid w:val="0092187C"/>
    <w:rPr>
      <w:lang w:val="en-GB"/>
    </w:rPr>
  </w:style>
  <w:style w:type="character" w:customStyle="1" w:styleId="FootnoteTextChar">
    <w:name w:val="Footnote Text Char"/>
    <w:basedOn w:val="DefaultParagraphFont"/>
    <w:link w:val="FootnoteText"/>
    <w:uiPriority w:val="99"/>
    <w:rsid w:val="0092187C"/>
    <w:rPr>
      <w:rFonts w:ascii="Times New Roman" w:hAnsi="Times New Roman"/>
      <w:lang w:val="en-GB" w:eastAsia="en-US"/>
    </w:rPr>
  </w:style>
  <w:style w:type="character" w:styleId="FootnoteReference">
    <w:name w:val="footnote reference"/>
    <w:aliases w:val="Footnote symbol,fr"/>
    <w:basedOn w:val="DefaultParagraphFont"/>
    <w:rsid w:val="0092187C"/>
    <w:rPr>
      <w:vertAlign w:val="superscript"/>
    </w:rPr>
  </w:style>
  <w:style w:type="table" w:styleId="TableGrid">
    <w:name w:val="Table Grid"/>
    <w:basedOn w:val="TableNormal"/>
    <w:rsid w:val="0092187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D856A5"/>
    <w:rPr>
      <w:sz w:val="16"/>
      <w:szCs w:val="16"/>
    </w:rPr>
  </w:style>
  <w:style w:type="paragraph" w:styleId="CommentText">
    <w:name w:val="annotation text"/>
    <w:basedOn w:val="Normal"/>
    <w:link w:val="CommentTextChar"/>
    <w:uiPriority w:val="99"/>
    <w:rsid w:val="00D856A5"/>
  </w:style>
  <w:style w:type="character" w:customStyle="1" w:styleId="CommentTextChar">
    <w:name w:val="Comment Text Char"/>
    <w:basedOn w:val="DefaultParagraphFont"/>
    <w:link w:val="CommentText"/>
    <w:uiPriority w:val="99"/>
    <w:rsid w:val="00D856A5"/>
    <w:rPr>
      <w:rFonts w:ascii="Times New Roman" w:hAnsi="Times New Roman"/>
      <w:lang w:eastAsia="en-US"/>
    </w:rPr>
  </w:style>
  <w:style w:type="paragraph" w:styleId="BalloonText">
    <w:name w:val="Balloon Text"/>
    <w:basedOn w:val="Normal"/>
    <w:link w:val="BalloonTextChar"/>
    <w:rsid w:val="00D856A5"/>
    <w:rPr>
      <w:rFonts w:ascii="Tahoma" w:hAnsi="Tahoma" w:cs="Tahoma"/>
      <w:sz w:val="16"/>
      <w:szCs w:val="16"/>
    </w:rPr>
  </w:style>
  <w:style w:type="character" w:customStyle="1" w:styleId="BalloonTextChar">
    <w:name w:val="Balloon Text Char"/>
    <w:basedOn w:val="DefaultParagraphFont"/>
    <w:link w:val="BalloonText"/>
    <w:rsid w:val="00D856A5"/>
    <w:rPr>
      <w:rFonts w:ascii="Tahoma" w:hAnsi="Tahoma" w:cs="Tahoma"/>
      <w:sz w:val="16"/>
      <w:szCs w:val="16"/>
      <w:lang w:eastAsia="en-US"/>
    </w:rPr>
  </w:style>
  <w:style w:type="paragraph" w:styleId="TOCHeading">
    <w:name w:val="TOC Heading"/>
    <w:basedOn w:val="Heading1"/>
    <w:next w:val="Normal"/>
    <w:uiPriority w:val="39"/>
    <w:semiHidden/>
    <w:unhideWhenUsed/>
    <w:qFormat/>
    <w:rsid w:val="00293D58"/>
    <w:pPr>
      <w:outlineLvl w:val="9"/>
    </w:pPr>
    <w:rPr>
      <w:lang w:bidi="en-US"/>
    </w:rPr>
  </w:style>
  <w:style w:type="paragraph" w:styleId="TOC1">
    <w:name w:val="toc 1"/>
    <w:basedOn w:val="Normal"/>
    <w:next w:val="Normal"/>
    <w:autoRedefine/>
    <w:uiPriority w:val="39"/>
    <w:rsid w:val="005B0E30"/>
    <w:pPr>
      <w:tabs>
        <w:tab w:val="right" w:leader="dot" w:pos="9627"/>
      </w:tabs>
      <w:spacing w:after="100"/>
    </w:pPr>
  </w:style>
  <w:style w:type="paragraph" w:styleId="TOC2">
    <w:name w:val="toc 2"/>
    <w:basedOn w:val="Normal"/>
    <w:next w:val="Normal"/>
    <w:autoRedefine/>
    <w:uiPriority w:val="39"/>
    <w:rsid w:val="00F46543"/>
    <w:pPr>
      <w:tabs>
        <w:tab w:val="left" w:pos="709"/>
        <w:tab w:val="right" w:leader="dot" w:pos="9627"/>
      </w:tabs>
      <w:spacing w:after="100"/>
      <w:ind w:left="240"/>
    </w:pPr>
    <w:rPr>
      <w:rFonts w:ascii="Times New Roman" w:hAnsi="Times New Roman" w:cs="Times New Roman"/>
      <w:b/>
      <w:noProof/>
    </w:rPr>
  </w:style>
  <w:style w:type="character" w:styleId="Hyperlink">
    <w:name w:val="Hyperlink"/>
    <w:basedOn w:val="DefaultParagraphFont"/>
    <w:uiPriority w:val="99"/>
    <w:unhideWhenUsed/>
    <w:rsid w:val="00A47F1A"/>
    <w:rPr>
      <w:color w:val="D26900" w:themeColor="hyperlink"/>
      <w:u w:val="single"/>
    </w:rPr>
  </w:style>
  <w:style w:type="table" w:customStyle="1" w:styleId="TableGrid1">
    <w:name w:val="Table Grid1"/>
    <w:basedOn w:val="TableNormal"/>
    <w:next w:val="TableGrid"/>
    <w:rsid w:val="00D94EE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5F6F2F"/>
  </w:style>
  <w:style w:type="character" w:customStyle="1" w:styleId="NoSpacingChar">
    <w:name w:val="No Spacing Char"/>
    <w:basedOn w:val="DefaultParagraphFont"/>
    <w:link w:val="NoSpacing"/>
    <w:uiPriority w:val="1"/>
    <w:rsid w:val="00293D58"/>
    <w:rPr>
      <w:sz w:val="20"/>
      <w:szCs w:val="20"/>
    </w:rPr>
  </w:style>
  <w:style w:type="paragraph" w:styleId="CommentSubject">
    <w:name w:val="annotation subject"/>
    <w:basedOn w:val="CommentText"/>
    <w:next w:val="CommentText"/>
    <w:link w:val="CommentSubjectChar"/>
    <w:rsid w:val="00945C06"/>
    <w:pPr>
      <w:autoSpaceDE w:val="0"/>
      <w:autoSpaceDN w:val="0"/>
    </w:pPr>
    <w:rPr>
      <w:b/>
      <w:bCs/>
    </w:rPr>
  </w:style>
  <w:style w:type="character" w:customStyle="1" w:styleId="CommentSubjectChar">
    <w:name w:val="Comment Subject Char"/>
    <w:basedOn w:val="CommentTextChar"/>
    <w:link w:val="CommentSubject"/>
    <w:rsid w:val="00945C06"/>
    <w:rPr>
      <w:rFonts w:ascii="Times New Roman" w:hAnsi="Times New Roman"/>
      <w:b/>
      <w:bCs/>
      <w:lang w:eastAsia="en-US"/>
    </w:rPr>
  </w:style>
  <w:style w:type="paragraph" w:customStyle="1" w:styleId="Default">
    <w:name w:val="Default"/>
    <w:rsid w:val="00A77C21"/>
    <w:pPr>
      <w:autoSpaceDE w:val="0"/>
      <w:autoSpaceDN w:val="0"/>
      <w:adjustRightInd w:val="0"/>
    </w:pPr>
    <w:rPr>
      <w:rFonts w:cs="Calibri"/>
      <w:color w:val="000000"/>
      <w:sz w:val="24"/>
      <w:szCs w:val="24"/>
    </w:rPr>
  </w:style>
  <w:style w:type="paragraph" w:styleId="Header">
    <w:name w:val="header"/>
    <w:basedOn w:val="Normal"/>
    <w:link w:val="HeaderChar"/>
    <w:uiPriority w:val="99"/>
    <w:rsid w:val="009A6B42"/>
    <w:pPr>
      <w:tabs>
        <w:tab w:val="center" w:pos="4536"/>
        <w:tab w:val="right" w:pos="9072"/>
      </w:tabs>
    </w:pPr>
  </w:style>
  <w:style w:type="character" w:customStyle="1" w:styleId="HeaderChar">
    <w:name w:val="Header Char"/>
    <w:basedOn w:val="DefaultParagraphFont"/>
    <w:link w:val="Header"/>
    <w:uiPriority w:val="99"/>
    <w:rsid w:val="009A6B42"/>
    <w:rPr>
      <w:rFonts w:ascii="Times New Roman" w:hAnsi="Times New Roman"/>
      <w:sz w:val="24"/>
      <w:szCs w:val="24"/>
      <w:lang w:eastAsia="en-US"/>
    </w:rPr>
  </w:style>
  <w:style w:type="paragraph" w:styleId="Footer">
    <w:name w:val="footer"/>
    <w:basedOn w:val="Normal"/>
    <w:link w:val="FooterChar"/>
    <w:uiPriority w:val="99"/>
    <w:rsid w:val="009A6B42"/>
    <w:pPr>
      <w:tabs>
        <w:tab w:val="center" w:pos="4536"/>
        <w:tab w:val="right" w:pos="9072"/>
      </w:tabs>
    </w:pPr>
  </w:style>
  <w:style w:type="character" w:customStyle="1" w:styleId="FooterChar">
    <w:name w:val="Footer Char"/>
    <w:basedOn w:val="DefaultParagraphFont"/>
    <w:link w:val="Footer"/>
    <w:uiPriority w:val="99"/>
    <w:rsid w:val="009A6B42"/>
    <w:rPr>
      <w:rFonts w:ascii="Times New Roman" w:hAnsi="Times New Roman"/>
      <w:sz w:val="24"/>
      <w:szCs w:val="24"/>
      <w:lang w:eastAsia="en-US"/>
    </w:rPr>
  </w:style>
  <w:style w:type="paragraph" w:styleId="NormalWeb">
    <w:name w:val="Normal (Web)"/>
    <w:basedOn w:val="Normal"/>
    <w:uiPriority w:val="99"/>
    <w:unhideWhenUsed/>
    <w:rsid w:val="00322238"/>
    <w:pPr>
      <w:spacing w:before="100" w:beforeAutospacing="1" w:after="100" w:afterAutospacing="1"/>
    </w:pPr>
  </w:style>
  <w:style w:type="character" w:styleId="Strong">
    <w:name w:val="Strong"/>
    <w:uiPriority w:val="22"/>
    <w:qFormat/>
    <w:rsid w:val="00293D58"/>
    <w:rPr>
      <w:b/>
      <w:bCs/>
    </w:rPr>
  </w:style>
  <w:style w:type="paragraph" w:customStyle="1" w:styleId="Standard">
    <w:name w:val="Standard"/>
    <w:rsid w:val="00F87A2F"/>
    <w:pPr>
      <w:suppressAutoHyphens/>
      <w:autoSpaceDN w:val="0"/>
      <w:textAlignment w:val="baseline"/>
    </w:pPr>
    <w:rPr>
      <w:rFonts w:ascii="Times New Roman" w:hAnsi="Times New Roman" w:cs="Calibri"/>
      <w:color w:val="000000"/>
      <w:kern w:val="3"/>
      <w:sz w:val="24"/>
      <w:szCs w:val="24"/>
      <w:lang w:eastAsia="en-US"/>
    </w:rPr>
  </w:style>
  <w:style w:type="paragraph" w:customStyle="1" w:styleId="Textbody">
    <w:name w:val="Text body"/>
    <w:basedOn w:val="Standard"/>
    <w:rsid w:val="00F87A2F"/>
    <w:pPr>
      <w:jc w:val="both"/>
    </w:pPr>
  </w:style>
  <w:style w:type="paragraph" w:styleId="TOC3">
    <w:name w:val="toc 3"/>
    <w:basedOn w:val="Normal"/>
    <w:next w:val="Normal"/>
    <w:autoRedefine/>
    <w:uiPriority w:val="39"/>
    <w:rsid w:val="00044453"/>
    <w:pPr>
      <w:tabs>
        <w:tab w:val="right" w:leader="dot" w:pos="9627"/>
      </w:tabs>
      <w:spacing w:after="100"/>
      <w:ind w:left="709"/>
    </w:pPr>
  </w:style>
  <w:style w:type="table" w:styleId="TableColorful1">
    <w:name w:val="Table Colorful 1"/>
    <w:basedOn w:val="TableNormal"/>
    <w:rsid w:val="009D26AB"/>
    <w:pPr>
      <w:autoSpaceDE w:val="0"/>
      <w:autoSpaceDN w:val="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List8">
    <w:name w:val="Table List 8"/>
    <w:basedOn w:val="TableNormal"/>
    <w:rsid w:val="009D26AB"/>
    <w:pPr>
      <w:autoSpaceDE w:val="0"/>
      <w:autoSpaceDN w:val="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LightGrid-Accent2">
    <w:name w:val="Light Grid Accent 2"/>
    <w:basedOn w:val="TableNormal"/>
    <w:uiPriority w:val="62"/>
    <w:rsid w:val="009D26AB"/>
    <w:tblPr>
      <w:tblStyleRowBandSize w:val="1"/>
      <w:tblStyleColBandSize w:val="1"/>
      <w:tblBorders>
        <w:top w:val="single" w:sz="8" w:space="0" w:color="726056" w:themeColor="accent2"/>
        <w:left w:val="single" w:sz="8" w:space="0" w:color="726056" w:themeColor="accent2"/>
        <w:bottom w:val="single" w:sz="8" w:space="0" w:color="726056" w:themeColor="accent2"/>
        <w:right w:val="single" w:sz="8" w:space="0" w:color="726056" w:themeColor="accent2"/>
        <w:insideH w:val="single" w:sz="8" w:space="0" w:color="726056" w:themeColor="accent2"/>
        <w:insideV w:val="single" w:sz="8" w:space="0" w:color="72605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26056" w:themeColor="accent2"/>
          <w:left w:val="single" w:sz="8" w:space="0" w:color="726056" w:themeColor="accent2"/>
          <w:bottom w:val="single" w:sz="18" w:space="0" w:color="726056" w:themeColor="accent2"/>
          <w:right w:val="single" w:sz="8" w:space="0" w:color="726056" w:themeColor="accent2"/>
          <w:insideH w:val="nil"/>
          <w:insideV w:val="single" w:sz="8" w:space="0" w:color="72605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26056" w:themeColor="accent2"/>
          <w:left w:val="single" w:sz="8" w:space="0" w:color="726056" w:themeColor="accent2"/>
          <w:bottom w:val="single" w:sz="8" w:space="0" w:color="726056" w:themeColor="accent2"/>
          <w:right w:val="single" w:sz="8" w:space="0" w:color="726056" w:themeColor="accent2"/>
          <w:insideH w:val="nil"/>
          <w:insideV w:val="single" w:sz="8" w:space="0" w:color="72605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26056" w:themeColor="accent2"/>
          <w:left w:val="single" w:sz="8" w:space="0" w:color="726056" w:themeColor="accent2"/>
          <w:bottom w:val="single" w:sz="8" w:space="0" w:color="726056" w:themeColor="accent2"/>
          <w:right w:val="single" w:sz="8" w:space="0" w:color="726056" w:themeColor="accent2"/>
        </w:tcBorders>
      </w:tcPr>
    </w:tblStylePr>
    <w:tblStylePr w:type="band1Vert">
      <w:tblPr/>
      <w:tcPr>
        <w:tcBorders>
          <w:top w:val="single" w:sz="8" w:space="0" w:color="726056" w:themeColor="accent2"/>
          <w:left w:val="single" w:sz="8" w:space="0" w:color="726056" w:themeColor="accent2"/>
          <w:bottom w:val="single" w:sz="8" w:space="0" w:color="726056" w:themeColor="accent2"/>
          <w:right w:val="single" w:sz="8" w:space="0" w:color="726056" w:themeColor="accent2"/>
        </w:tcBorders>
        <w:shd w:val="clear" w:color="auto" w:fill="DED7D3" w:themeFill="accent2" w:themeFillTint="3F"/>
      </w:tcPr>
    </w:tblStylePr>
    <w:tblStylePr w:type="band1Horz">
      <w:tblPr/>
      <w:tcPr>
        <w:tcBorders>
          <w:top w:val="single" w:sz="8" w:space="0" w:color="726056" w:themeColor="accent2"/>
          <w:left w:val="single" w:sz="8" w:space="0" w:color="726056" w:themeColor="accent2"/>
          <w:bottom w:val="single" w:sz="8" w:space="0" w:color="726056" w:themeColor="accent2"/>
          <w:right w:val="single" w:sz="8" w:space="0" w:color="726056" w:themeColor="accent2"/>
          <w:insideV w:val="single" w:sz="8" w:space="0" w:color="726056" w:themeColor="accent2"/>
        </w:tcBorders>
        <w:shd w:val="clear" w:color="auto" w:fill="DED7D3" w:themeFill="accent2" w:themeFillTint="3F"/>
      </w:tcPr>
    </w:tblStylePr>
    <w:tblStylePr w:type="band2Horz">
      <w:tblPr/>
      <w:tcPr>
        <w:tcBorders>
          <w:top w:val="single" w:sz="8" w:space="0" w:color="726056" w:themeColor="accent2"/>
          <w:left w:val="single" w:sz="8" w:space="0" w:color="726056" w:themeColor="accent2"/>
          <w:bottom w:val="single" w:sz="8" w:space="0" w:color="726056" w:themeColor="accent2"/>
          <w:right w:val="single" w:sz="8" w:space="0" w:color="726056" w:themeColor="accent2"/>
          <w:insideV w:val="single" w:sz="8" w:space="0" w:color="726056" w:themeColor="accent2"/>
        </w:tcBorders>
      </w:tcPr>
    </w:tblStylePr>
  </w:style>
  <w:style w:type="paragraph" w:styleId="Caption">
    <w:name w:val="caption"/>
    <w:basedOn w:val="Normal"/>
    <w:next w:val="Normal"/>
    <w:uiPriority w:val="35"/>
    <w:semiHidden/>
    <w:unhideWhenUsed/>
    <w:qFormat/>
    <w:rsid w:val="00293D58"/>
    <w:rPr>
      <w:b/>
      <w:bCs/>
      <w:color w:val="810000" w:themeColor="accent1" w:themeShade="BF"/>
      <w:sz w:val="16"/>
      <w:szCs w:val="16"/>
    </w:rPr>
  </w:style>
  <w:style w:type="paragraph" w:styleId="Subtitle">
    <w:name w:val="Subtitle"/>
    <w:basedOn w:val="Normal"/>
    <w:next w:val="Normal"/>
    <w:link w:val="SubtitleChar"/>
    <w:uiPriority w:val="11"/>
    <w:qFormat/>
    <w:rsid w:val="00293D58"/>
    <w:pPr>
      <w:spacing w:after="1000"/>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293D58"/>
    <w:rPr>
      <w:caps/>
      <w:color w:val="595959" w:themeColor="text1" w:themeTint="A6"/>
      <w:spacing w:val="10"/>
      <w:sz w:val="24"/>
      <w:szCs w:val="24"/>
    </w:rPr>
  </w:style>
  <w:style w:type="paragraph" w:styleId="Quote">
    <w:name w:val="Quote"/>
    <w:basedOn w:val="Normal"/>
    <w:next w:val="Normal"/>
    <w:link w:val="QuoteChar"/>
    <w:uiPriority w:val="29"/>
    <w:qFormat/>
    <w:rsid w:val="00293D58"/>
    <w:rPr>
      <w:i/>
      <w:iCs/>
    </w:rPr>
  </w:style>
  <w:style w:type="character" w:customStyle="1" w:styleId="QuoteChar">
    <w:name w:val="Quote Char"/>
    <w:basedOn w:val="DefaultParagraphFont"/>
    <w:link w:val="Quote"/>
    <w:uiPriority w:val="29"/>
    <w:rsid w:val="00293D58"/>
    <w:rPr>
      <w:i/>
      <w:iCs/>
      <w:sz w:val="20"/>
      <w:szCs w:val="20"/>
    </w:rPr>
  </w:style>
  <w:style w:type="paragraph" w:styleId="IntenseQuote">
    <w:name w:val="Intense Quote"/>
    <w:basedOn w:val="Normal"/>
    <w:next w:val="Normal"/>
    <w:link w:val="IntenseQuoteChar"/>
    <w:uiPriority w:val="30"/>
    <w:qFormat/>
    <w:rsid w:val="00293D58"/>
    <w:pPr>
      <w:pBdr>
        <w:top w:val="single" w:sz="4" w:space="10" w:color="AD0101" w:themeColor="accent1"/>
        <w:left w:val="single" w:sz="4" w:space="10" w:color="AD0101" w:themeColor="accent1"/>
      </w:pBdr>
      <w:ind w:left="1296" w:right="1152"/>
      <w:jc w:val="both"/>
    </w:pPr>
    <w:rPr>
      <w:i/>
      <w:iCs/>
      <w:color w:val="AD0101" w:themeColor="accent1"/>
    </w:rPr>
  </w:style>
  <w:style w:type="character" w:customStyle="1" w:styleId="IntenseQuoteChar">
    <w:name w:val="Intense Quote Char"/>
    <w:basedOn w:val="DefaultParagraphFont"/>
    <w:link w:val="IntenseQuote"/>
    <w:uiPriority w:val="30"/>
    <w:rsid w:val="00293D58"/>
    <w:rPr>
      <w:i/>
      <w:iCs/>
      <w:color w:val="AD0101" w:themeColor="accent1"/>
      <w:sz w:val="20"/>
      <w:szCs w:val="20"/>
    </w:rPr>
  </w:style>
  <w:style w:type="character" w:styleId="SubtleEmphasis">
    <w:name w:val="Subtle Emphasis"/>
    <w:uiPriority w:val="19"/>
    <w:qFormat/>
    <w:rsid w:val="00293D58"/>
    <w:rPr>
      <w:i/>
      <w:iCs/>
      <w:color w:val="550000" w:themeColor="accent1" w:themeShade="7F"/>
    </w:rPr>
  </w:style>
  <w:style w:type="character" w:styleId="SubtleReference">
    <w:name w:val="Subtle Reference"/>
    <w:uiPriority w:val="31"/>
    <w:qFormat/>
    <w:rsid w:val="00293D58"/>
    <w:rPr>
      <w:b/>
      <w:bCs/>
      <w:color w:val="AD0101" w:themeColor="accent1"/>
    </w:rPr>
  </w:style>
  <w:style w:type="character" w:styleId="IntenseReference">
    <w:name w:val="Intense Reference"/>
    <w:uiPriority w:val="32"/>
    <w:qFormat/>
    <w:rsid w:val="00293D58"/>
    <w:rPr>
      <w:b/>
      <w:bCs/>
      <w:i/>
      <w:iCs/>
      <w:caps/>
      <w:color w:val="AD0101" w:themeColor="accent1"/>
    </w:rPr>
  </w:style>
  <w:style w:type="character" w:styleId="BookTitle">
    <w:name w:val="Book Title"/>
    <w:uiPriority w:val="33"/>
    <w:qFormat/>
    <w:rsid w:val="00293D58"/>
    <w:rPr>
      <w:b/>
      <w:bCs/>
      <w:i/>
      <w:iCs/>
      <w:spacing w:val="9"/>
    </w:rPr>
  </w:style>
  <w:style w:type="paragraph" w:customStyle="1" w:styleId="TableContents">
    <w:name w:val="Table Contents"/>
    <w:basedOn w:val="Normal"/>
    <w:rsid w:val="005C27DB"/>
    <w:pPr>
      <w:widowControl w:val="0"/>
      <w:suppressLineNumbers/>
      <w:suppressAutoHyphens/>
      <w:spacing w:line="238" w:lineRule="exact"/>
      <w:jc w:val="both"/>
    </w:pPr>
    <w:rPr>
      <w:rFonts w:ascii="Times New Roman" w:eastAsia="SimSun" w:hAnsi="Times New Roman" w:cs="Times New Roman"/>
      <w:kern w:val="1"/>
      <w:sz w:val="24"/>
      <w:szCs w:val="24"/>
      <w:lang w:eastAsia="zh-CN" w:bidi="hi-IN"/>
    </w:rPr>
  </w:style>
  <w:style w:type="paragraph" w:customStyle="1" w:styleId="AK">
    <w:name w:val="AK"/>
    <w:autoRedefine/>
    <w:qFormat/>
    <w:rsid w:val="00937973"/>
    <w:pPr>
      <w:keepNext/>
      <w:keepLines/>
      <w:suppressLineNumbers/>
      <w:tabs>
        <w:tab w:val="left" w:pos="171"/>
      </w:tabs>
      <w:jc w:val="right"/>
    </w:pPr>
    <w:rPr>
      <w:rFonts w:ascii="Times New Roman" w:eastAsia="SimSun" w:hAnsi="Times New Roman" w:cs="Times New Roman"/>
      <w:bCs/>
      <w:kern w:val="1"/>
      <w:sz w:val="20"/>
      <w:szCs w:val="20"/>
      <w:lang w:eastAsia="zh-CN" w:bidi="hi-IN"/>
    </w:rPr>
  </w:style>
  <w:style w:type="paragraph" w:customStyle="1" w:styleId="Liik">
    <w:name w:val="Liik"/>
    <w:autoRedefine/>
    <w:qFormat/>
    <w:rsid w:val="00D97A14"/>
    <w:rPr>
      <w:rFonts w:ascii="Times New Roman" w:eastAsia="SimSun" w:hAnsi="Times New Roman" w:cs="Times New Roman"/>
      <w:b/>
      <w:kern w:val="24"/>
      <w:sz w:val="24"/>
      <w:szCs w:val="24"/>
      <w:lang w:eastAsia="zh-CN" w:bidi="hi-IN"/>
    </w:rPr>
  </w:style>
  <w:style w:type="character" w:customStyle="1" w:styleId="italic1">
    <w:name w:val="italic1"/>
    <w:basedOn w:val="DefaultParagraphFont"/>
    <w:rsid w:val="006C782E"/>
    <w:rPr>
      <w:i/>
      <w:iCs/>
    </w:rPr>
  </w:style>
  <w:style w:type="paragraph" w:customStyle="1" w:styleId="Pealkiri">
    <w:name w:val="Pealkiri"/>
    <w:autoRedefine/>
    <w:qFormat/>
    <w:rsid w:val="00D42F9F"/>
    <w:pPr>
      <w:spacing w:after="560"/>
    </w:pPr>
    <w:rPr>
      <w:rFonts w:ascii="Times New Roman" w:eastAsia="SimSun" w:hAnsi="Times New Roman" w:cs="Times New Roman"/>
      <w:b/>
      <w:bCs/>
      <w:kern w:val="1"/>
      <w:sz w:val="36"/>
      <w:szCs w:val="36"/>
      <w:lang w:eastAsia="zh-CN" w:bidi="hi-IN"/>
    </w:rPr>
  </w:style>
  <w:style w:type="paragraph" w:customStyle="1" w:styleId="Kuupev1">
    <w:name w:val="Kuupäev1"/>
    <w:autoRedefine/>
    <w:qFormat/>
    <w:rsid w:val="00937973"/>
    <w:pPr>
      <w:spacing w:before="840"/>
    </w:pPr>
    <w:rPr>
      <w:rFonts w:ascii="Times New Roman" w:eastAsia="SimSun" w:hAnsi="Times New Roman" w:cs="Times New Roman"/>
      <w:kern w:val="24"/>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45210">
      <w:bodyDiv w:val="1"/>
      <w:marLeft w:val="0"/>
      <w:marRight w:val="0"/>
      <w:marTop w:val="0"/>
      <w:marBottom w:val="0"/>
      <w:divBdr>
        <w:top w:val="none" w:sz="0" w:space="0" w:color="auto"/>
        <w:left w:val="none" w:sz="0" w:space="0" w:color="auto"/>
        <w:bottom w:val="none" w:sz="0" w:space="0" w:color="auto"/>
        <w:right w:val="none" w:sz="0" w:space="0" w:color="auto"/>
      </w:divBdr>
    </w:div>
    <w:div w:id="199099791">
      <w:bodyDiv w:val="1"/>
      <w:marLeft w:val="0"/>
      <w:marRight w:val="0"/>
      <w:marTop w:val="0"/>
      <w:marBottom w:val="0"/>
      <w:divBdr>
        <w:top w:val="none" w:sz="0" w:space="0" w:color="auto"/>
        <w:left w:val="none" w:sz="0" w:space="0" w:color="auto"/>
        <w:bottom w:val="none" w:sz="0" w:space="0" w:color="auto"/>
        <w:right w:val="none" w:sz="0" w:space="0" w:color="auto"/>
      </w:divBdr>
    </w:div>
    <w:div w:id="295259598">
      <w:bodyDiv w:val="1"/>
      <w:marLeft w:val="0"/>
      <w:marRight w:val="0"/>
      <w:marTop w:val="0"/>
      <w:marBottom w:val="0"/>
      <w:divBdr>
        <w:top w:val="none" w:sz="0" w:space="0" w:color="auto"/>
        <w:left w:val="none" w:sz="0" w:space="0" w:color="auto"/>
        <w:bottom w:val="none" w:sz="0" w:space="0" w:color="auto"/>
        <w:right w:val="none" w:sz="0" w:space="0" w:color="auto"/>
      </w:divBdr>
      <w:divsChild>
        <w:div w:id="116072741">
          <w:marLeft w:val="1166"/>
          <w:marRight w:val="0"/>
          <w:marTop w:val="115"/>
          <w:marBottom w:val="0"/>
          <w:divBdr>
            <w:top w:val="none" w:sz="0" w:space="0" w:color="auto"/>
            <w:left w:val="none" w:sz="0" w:space="0" w:color="auto"/>
            <w:bottom w:val="none" w:sz="0" w:space="0" w:color="auto"/>
            <w:right w:val="none" w:sz="0" w:space="0" w:color="auto"/>
          </w:divBdr>
        </w:div>
      </w:divsChild>
    </w:div>
    <w:div w:id="395472382">
      <w:bodyDiv w:val="1"/>
      <w:marLeft w:val="0"/>
      <w:marRight w:val="0"/>
      <w:marTop w:val="0"/>
      <w:marBottom w:val="0"/>
      <w:divBdr>
        <w:top w:val="none" w:sz="0" w:space="0" w:color="auto"/>
        <w:left w:val="none" w:sz="0" w:space="0" w:color="auto"/>
        <w:bottom w:val="none" w:sz="0" w:space="0" w:color="auto"/>
        <w:right w:val="none" w:sz="0" w:space="0" w:color="auto"/>
      </w:divBdr>
      <w:divsChild>
        <w:div w:id="1661814676">
          <w:marLeft w:val="0"/>
          <w:marRight w:val="0"/>
          <w:marTop w:val="0"/>
          <w:marBottom w:val="0"/>
          <w:divBdr>
            <w:top w:val="none" w:sz="0" w:space="0" w:color="auto"/>
            <w:left w:val="none" w:sz="0" w:space="0" w:color="auto"/>
            <w:bottom w:val="none" w:sz="0" w:space="0" w:color="auto"/>
            <w:right w:val="none" w:sz="0" w:space="0" w:color="auto"/>
          </w:divBdr>
          <w:divsChild>
            <w:div w:id="1396464589">
              <w:marLeft w:val="3000"/>
              <w:marRight w:val="0"/>
              <w:marTop w:val="0"/>
              <w:marBottom w:val="0"/>
              <w:divBdr>
                <w:top w:val="none" w:sz="0" w:space="0" w:color="auto"/>
                <w:left w:val="none" w:sz="0" w:space="0" w:color="auto"/>
                <w:bottom w:val="none" w:sz="0" w:space="0" w:color="auto"/>
                <w:right w:val="none" w:sz="0" w:space="0" w:color="auto"/>
              </w:divBdr>
              <w:divsChild>
                <w:div w:id="1637419007">
                  <w:marLeft w:val="0"/>
                  <w:marRight w:val="0"/>
                  <w:marTop w:val="0"/>
                  <w:marBottom w:val="0"/>
                  <w:divBdr>
                    <w:top w:val="none" w:sz="0" w:space="0" w:color="auto"/>
                    <w:left w:val="none" w:sz="0" w:space="0" w:color="auto"/>
                    <w:bottom w:val="none" w:sz="0" w:space="0" w:color="auto"/>
                    <w:right w:val="none" w:sz="0" w:space="0" w:color="auto"/>
                  </w:divBdr>
                  <w:divsChild>
                    <w:div w:id="300311368">
                      <w:marLeft w:val="0"/>
                      <w:marRight w:val="0"/>
                      <w:marTop w:val="0"/>
                      <w:marBottom w:val="0"/>
                      <w:divBdr>
                        <w:top w:val="none" w:sz="0" w:space="0" w:color="auto"/>
                        <w:left w:val="none" w:sz="0" w:space="0" w:color="auto"/>
                        <w:bottom w:val="none" w:sz="0" w:space="0" w:color="auto"/>
                        <w:right w:val="none" w:sz="0" w:space="0" w:color="auto"/>
                      </w:divBdr>
                      <w:divsChild>
                        <w:div w:id="507449459">
                          <w:marLeft w:val="0"/>
                          <w:marRight w:val="0"/>
                          <w:marTop w:val="0"/>
                          <w:marBottom w:val="0"/>
                          <w:divBdr>
                            <w:top w:val="none" w:sz="0" w:space="0" w:color="auto"/>
                            <w:left w:val="none" w:sz="0" w:space="0" w:color="auto"/>
                            <w:bottom w:val="none" w:sz="0" w:space="0" w:color="auto"/>
                            <w:right w:val="none" w:sz="0" w:space="0" w:color="auto"/>
                          </w:divBdr>
                          <w:divsChild>
                            <w:div w:id="22824519">
                              <w:marLeft w:val="0"/>
                              <w:marRight w:val="0"/>
                              <w:marTop w:val="0"/>
                              <w:marBottom w:val="0"/>
                              <w:divBdr>
                                <w:top w:val="none" w:sz="0" w:space="0" w:color="auto"/>
                                <w:left w:val="none" w:sz="0" w:space="0" w:color="auto"/>
                                <w:bottom w:val="none" w:sz="0" w:space="0" w:color="auto"/>
                                <w:right w:val="none" w:sz="0" w:space="0" w:color="auto"/>
                              </w:divBdr>
                            </w:div>
                            <w:div w:id="525796516">
                              <w:marLeft w:val="0"/>
                              <w:marRight w:val="0"/>
                              <w:marTop w:val="0"/>
                              <w:marBottom w:val="0"/>
                              <w:divBdr>
                                <w:top w:val="none" w:sz="0" w:space="0" w:color="auto"/>
                                <w:left w:val="none" w:sz="0" w:space="0" w:color="auto"/>
                                <w:bottom w:val="none" w:sz="0" w:space="0" w:color="auto"/>
                                <w:right w:val="none" w:sz="0" w:space="0" w:color="auto"/>
                              </w:divBdr>
                            </w:div>
                            <w:div w:id="548762940">
                              <w:marLeft w:val="0"/>
                              <w:marRight w:val="0"/>
                              <w:marTop w:val="0"/>
                              <w:marBottom w:val="0"/>
                              <w:divBdr>
                                <w:top w:val="none" w:sz="0" w:space="0" w:color="auto"/>
                                <w:left w:val="none" w:sz="0" w:space="0" w:color="auto"/>
                                <w:bottom w:val="none" w:sz="0" w:space="0" w:color="auto"/>
                                <w:right w:val="none" w:sz="0" w:space="0" w:color="auto"/>
                              </w:divBdr>
                            </w:div>
                            <w:div w:id="828404973">
                              <w:marLeft w:val="0"/>
                              <w:marRight w:val="0"/>
                              <w:marTop w:val="0"/>
                              <w:marBottom w:val="0"/>
                              <w:divBdr>
                                <w:top w:val="none" w:sz="0" w:space="0" w:color="auto"/>
                                <w:left w:val="none" w:sz="0" w:space="0" w:color="auto"/>
                                <w:bottom w:val="none" w:sz="0" w:space="0" w:color="auto"/>
                                <w:right w:val="none" w:sz="0" w:space="0" w:color="auto"/>
                              </w:divBdr>
                            </w:div>
                            <w:div w:id="1643734246">
                              <w:marLeft w:val="0"/>
                              <w:marRight w:val="0"/>
                              <w:marTop w:val="0"/>
                              <w:marBottom w:val="0"/>
                              <w:divBdr>
                                <w:top w:val="none" w:sz="0" w:space="0" w:color="auto"/>
                                <w:left w:val="none" w:sz="0" w:space="0" w:color="auto"/>
                                <w:bottom w:val="none" w:sz="0" w:space="0" w:color="auto"/>
                                <w:right w:val="none" w:sz="0" w:space="0" w:color="auto"/>
                              </w:divBdr>
                            </w:div>
                            <w:div w:id="168396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271293">
      <w:bodyDiv w:val="1"/>
      <w:marLeft w:val="0"/>
      <w:marRight w:val="0"/>
      <w:marTop w:val="0"/>
      <w:marBottom w:val="0"/>
      <w:divBdr>
        <w:top w:val="none" w:sz="0" w:space="0" w:color="auto"/>
        <w:left w:val="none" w:sz="0" w:space="0" w:color="auto"/>
        <w:bottom w:val="none" w:sz="0" w:space="0" w:color="auto"/>
        <w:right w:val="none" w:sz="0" w:space="0" w:color="auto"/>
      </w:divBdr>
    </w:div>
    <w:div w:id="706493626">
      <w:bodyDiv w:val="1"/>
      <w:marLeft w:val="0"/>
      <w:marRight w:val="0"/>
      <w:marTop w:val="0"/>
      <w:marBottom w:val="0"/>
      <w:divBdr>
        <w:top w:val="none" w:sz="0" w:space="0" w:color="auto"/>
        <w:left w:val="none" w:sz="0" w:space="0" w:color="auto"/>
        <w:bottom w:val="none" w:sz="0" w:space="0" w:color="auto"/>
        <w:right w:val="none" w:sz="0" w:space="0" w:color="auto"/>
      </w:divBdr>
    </w:div>
    <w:div w:id="862281638">
      <w:bodyDiv w:val="1"/>
      <w:marLeft w:val="0"/>
      <w:marRight w:val="0"/>
      <w:marTop w:val="0"/>
      <w:marBottom w:val="0"/>
      <w:divBdr>
        <w:top w:val="none" w:sz="0" w:space="0" w:color="auto"/>
        <w:left w:val="none" w:sz="0" w:space="0" w:color="auto"/>
        <w:bottom w:val="none" w:sz="0" w:space="0" w:color="auto"/>
        <w:right w:val="none" w:sz="0" w:space="0" w:color="auto"/>
      </w:divBdr>
      <w:divsChild>
        <w:div w:id="841354245">
          <w:marLeft w:val="418"/>
          <w:marRight w:val="0"/>
          <w:marTop w:val="72"/>
          <w:marBottom w:val="0"/>
          <w:divBdr>
            <w:top w:val="none" w:sz="0" w:space="0" w:color="auto"/>
            <w:left w:val="none" w:sz="0" w:space="0" w:color="auto"/>
            <w:bottom w:val="none" w:sz="0" w:space="0" w:color="auto"/>
            <w:right w:val="none" w:sz="0" w:space="0" w:color="auto"/>
          </w:divBdr>
        </w:div>
      </w:divsChild>
    </w:div>
    <w:div w:id="898443140">
      <w:bodyDiv w:val="1"/>
      <w:marLeft w:val="0"/>
      <w:marRight w:val="0"/>
      <w:marTop w:val="0"/>
      <w:marBottom w:val="0"/>
      <w:divBdr>
        <w:top w:val="none" w:sz="0" w:space="0" w:color="auto"/>
        <w:left w:val="none" w:sz="0" w:space="0" w:color="auto"/>
        <w:bottom w:val="none" w:sz="0" w:space="0" w:color="auto"/>
        <w:right w:val="none" w:sz="0" w:space="0" w:color="auto"/>
      </w:divBdr>
      <w:divsChild>
        <w:div w:id="1972321609">
          <w:marLeft w:val="418"/>
          <w:marRight w:val="0"/>
          <w:marTop w:val="72"/>
          <w:marBottom w:val="0"/>
          <w:divBdr>
            <w:top w:val="none" w:sz="0" w:space="0" w:color="auto"/>
            <w:left w:val="none" w:sz="0" w:space="0" w:color="auto"/>
            <w:bottom w:val="none" w:sz="0" w:space="0" w:color="auto"/>
            <w:right w:val="none" w:sz="0" w:space="0" w:color="auto"/>
          </w:divBdr>
        </w:div>
      </w:divsChild>
    </w:div>
    <w:div w:id="935943855">
      <w:bodyDiv w:val="1"/>
      <w:marLeft w:val="0"/>
      <w:marRight w:val="0"/>
      <w:marTop w:val="0"/>
      <w:marBottom w:val="0"/>
      <w:divBdr>
        <w:top w:val="none" w:sz="0" w:space="0" w:color="auto"/>
        <w:left w:val="none" w:sz="0" w:space="0" w:color="auto"/>
        <w:bottom w:val="none" w:sz="0" w:space="0" w:color="auto"/>
        <w:right w:val="none" w:sz="0" w:space="0" w:color="auto"/>
      </w:divBdr>
    </w:div>
    <w:div w:id="958494819">
      <w:bodyDiv w:val="1"/>
      <w:marLeft w:val="0"/>
      <w:marRight w:val="0"/>
      <w:marTop w:val="0"/>
      <w:marBottom w:val="0"/>
      <w:divBdr>
        <w:top w:val="none" w:sz="0" w:space="0" w:color="auto"/>
        <w:left w:val="none" w:sz="0" w:space="0" w:color="auto"/>
        <w:bottom w:val="none" w:sz="0" w:space="0" w:color="auto"/>
        <w:right w:val="none" w:sz="0" w:space="0" w:color="auto"/>
      </w:divBdr>
    </w:div>
    <w:div w:id="1072387950">
      <w:bodyDiv w:val="1"/>
      <w:marLeft w:val="0"/>
      <w:marRight w:val="0"/>
      <w:marTop w:val="0"/>
      <w:marBottom w:val="0"/>
      <w:divBdr>
        <w:top w:val="none" w:sz="0" w:space="0" w:color="auto"/>
        <w:left w:val="none" w:sz="0" w:space="0" w:color="auto"/>
        <w:bottom w:val="none" w:sz="0" w:space="0" w:color="auto"/>
        <w:right w:val="none" w:sz="0" w:space="0" w:color="auto"/>
      </w:divBdr>
    </w:div>
    <w:div w:id="1237588348">
      <w:bodyDiv w:val="1"/>
      <w:marLeft w:val="0"/>
      <w:marRight w:val="0"/>
      <w:marTop w:val="0"/>
      <w:marBottom w:val="0"/>
      <w:divBdr>
        <w:top w:val="none" w:sz="0" w:space="0" w:color="auto"/>
        <w:left w:val="none" w:sz="0" w:space="0" w:color="auto"/>
        <w:bottom w:val="none" w:sz="0" w:space="0" w:color="auto"/>
        <w:right w:val="none" w:sz="0" w:space="0" w:color="auto"/>
      </w:divBdr>
    </w:div>
    <w:div w:id="1509056288">
      <w:bodyDiv w:val="1"/>
      <w:marLeft w:val="0"/>
      <w:marRight w:val="0"/>
      <w:marTop w:val="0"/>
      <w:marBottom w:val="0"/>
      <w:divBdr>
        <w:top w:val="none" w:sz="0" w:space="0" w:color="auto"/>
        <w:left w:val="none" w:sz="0" w:space="0" w:color="auto"/>
        <w:bottom w:val="none" w:sz="0" w:space="0" w:color="auto"/>
        <w:right w:val="none" w:sz="0" w:space="0" w:color="auto"/>
      </w:divBdr>
    </w:div>
    <w:div w:id="1612665702">
      <w:bodyDiv w:val="1"/>
      <w:marLeft w:val="0"/>
      <w:marRight w:val="0"/>
      <w:marTop w:val="0"/>
      <w:marBottom w:val="0"/>
      <w:divBdr>
        <w:top w:val="none" w:sz="0" w:space="0" w:color="auto"/>
        <w:left w:val="none" w:sz="0" w:space="0" w:color="auto"/>
        <w:bottom w:val="none" w:sz="0" w:space="0" w:color="auto"/>
        <w:right w:val="none" w:sz="0" w:space="0" w:color="auto"/>
      </w:divBdr>
      <w:divsChild>
        <w:div w:id="178394686">
          <w:marLeft w:val="418"/>
          <w:marRight w:val="0"/>
          <w:marTop w:val="72"/>
          <w:marBottom w:val="0"/>
          <w:divBdr>
            <w:top w:val="none" w:sz="0" w:space="0" w:color="auto"/>
            <w:left w:val="none" w:sz="0" w:space="0" w:color="auto"/>
            <w:bottom w:val="none" w:sz="0" w:space="0" w:color="auto"/>
            <w:right w:val="none" w:sz="0" w:space="0" w:color="auto"/>
          </w:divBdr>
        </w:div>
        <w:div w:id="279453444">
          <w:marLeft w:val="418"/>
          <w:marRight w:val="0"/>
          <w:marTop w:val="72"/>
          <w:marBottom w:val="0"/>
          <w:divBdr>
            <w:top w:val="none" w:sz="0" w:space="0" w:color="auto"/>
            <w:left w:val="none" w:sz="0" w:space="0" w:color="auto"/>
            <w:bottom w:val="none" w:sz="0" w:space="0" w:color="auto"/>
            <w:right w:val="none" w:sz="0" w:space="0" w:color="auto"/>
          </w:divBdr>
        </w:div>
        <w:div w:id="411708648">
          <w:marLeft w:val="418"/>
          <w:marRight w:val="0"/>
          <w:marTop w:val="72"/>
          <w:marBottom w:val="0"/>
          <w:divBdr>
            <w:top w:val="none" w:sz="0" w:space="0" w:color="auto"/>
            <w:left w:val="none" w:sz="0" w:space="0" w:color="auto"/>
            <w:bottom w:val="none" w:sz="0" w:space="0" w:color="auto"/>
            <w:right w:val="none" w:sz="0" w:space="0" w:color="auto"/>
          </w:divBdr>
        </w:div>
      </w:divsChild>
    </w:div>
    <w:div w:id="2041200538">
      <w:bodyDiv w:val="1"/>
      <w:marLeft w:val="0"/>
      <w:marRight w:val="0"/>
      <w:marTop w:val="0"/>
      <w:marBottom w:val="0"/>
      <w:divBdr>
        <w:top w:val="none" w:sz="0" w:space="0" w:color="auto"/>
        <w:left w:val="none" w:sz="0" w:space="0" w:color="auto"/>
        <w:bottom w:val="none" w:sz="0" w:space="0" w:color="auto"/>
        <w:right w:val="none" w:sz="0" w:space="0" w:color="auto"/>
      </w:divBdr>
      <w:divsChild>
        <w:div w:id="2130515078">
          <w:marLeft w:val="0"/>
          <w:marRight w:val="0"/>
          <w:marTop w:val="0"/>
          <w:marBottom w:val="0"/>
          <w:divBdr>
            <w:top w:val="none" w:sz="0" w:space="0" w:color="auto"/>
            <w:left w:val="none" w:sz="0" w:space="0" w:color="auto"/>
            <w:bottom w:val="none" w:sz="0" w:space="0" w:color="auto"/>
            <w:right w:val="none" w:sz="0" w:space="0" w:color="auto"/>
          </w:divBdr>
          <w:divsChild>
            <w:div w:id="1534802881">
              <w:marLeft w:val="0"/>
              <w:marRight w:val="0"/>
              <w:marTop w:val="0"/>
              <w:marBottom w:val="0"/>
              <w:divBdr>
                <w:top w:val="none" w:sz="0" w:space="0" w:color="auto"/>
                <w:left w:val="none" w:sz="0" w:space="0" w:color="auto"/>
                <w:bottom w:val="none" w:sz="0" w:space="0" w:color="auto"/>
                <w:right w:val="none" w:sz="0" w:space="0" w:color="auto"/>
              </w:divBdr>
              <w:divsChild>
                <w:div w:id="90325009">
                  <w:marLeft w:val="0"/>
                  <w:marRight w:val="0"/>
                  <w:marTop w:val="0"/>
                  <w:marBottom w:val="0"/>
                  <w:divBdr>
                    <w:top w:val="none" w:sz="0" w:space="0" w:color="auto"/>
                    <w:left w:val="none" w:sz="0" w:space="0" w:color="auto"/>
                    <w:bottom w:val="none" w:sz="0" w:space="0" w:color="auto"/>
                    <w:right w:val="none" w:sz="0" w:space="0" w:color="auto"/>
                  </w:divBdr>
                  <w:divsChild>
                    <w:div w:id="1658921443">
                      <w:marLeft w:val="0"/>
                      <w:marRight w:val="0"/>
                      <w:marTop w:val="0"/>
                      <w:marBottom w:val="0"/>
                      <w:divBdr>
                        <w:top w:val="none" w:sz="0" w:space="0" w:color="auto"/>
                        <w:left w:val="none" w:sz="0" w:space="0" w:color="auto"/>
                        <w:bottom w:val="none" w:sz="0" w:space="0" w:color="auto"/>
                        <w:right w:val="none" w:sz="0" w:space="0" w:color="auto"/>
                      </w:divBdr>
                      <w:divsChild>
                        <w:div w:id="597565902">
                          <w:marLeft w:val="-15"/>
                          <w:marRight w:val="0"/>
                          <w:marTop w:val="0"/>
                          <w:marBottom w:val="0"/>
                          <w:divBdr>
                            <w:top w:val="none" w:sz="0" w:space="0" w:color="auto"/>
                            <w:left w:val="none" w:sz="0" w:space="0" w:color="auto"/>
                            <w:bottom w:val="none" w:sz="0" w:space="0" w:color="auto"/>
                            <w:right w:val="none" w:sz="0" w:space="0" w:color="auto"/>
                          </w:divBdr>
                          <w:divsChild>
                            <w:div w:id="1590578242">
                              <w:marLeft w:val="0"/>
                              <w:marRight w:val="0"/>
                              <w:marTop w:val="0"/>
                              <w:marBottom w:val="0"/>
                              <w:divBdr>
                                <w:top w:val="none" w:sz="0" w:space="0" w:color="auto"/>
                                <w:left w:val="none" w:sz="0" w:space="0" w:color="auto"/>
                                <w:bottom w:val="none" w:sz="0" w:space="0" w:color="auto"/>
                                <w:right w:val="none" w:sz="0" w:space="0" w:color="auto"/>
                              </w:divBdr>
                              <w:divsChild>
                                <w:div w:id="727844043">
                                  <w:marLeft w:val="0"/>
                                  <w:marRight w:val="-15"/>
                                  <w:marTop w:val="0"/>
                                  <w:marBottom w:val="0"/>
                                  <w:divBdr>
                                    <w:top w:val="none" w:sz="0" w:space="0" w:color="auto"/>
                                    <w:left w:val="none" w:sz="0" w:space="0" w:color="auto"/>
                                    <w:bottom w:val="none" w:sz="0" w:space="0" w:color="auto"/>
                                    <w:right w:val="none" w:sz="0" w:space="0" w:color="auto"/>
                                  </w:divBdr>
                                  <w:divsChild>
                                    <w:div w:id="1526754072">
                                      <w:marLeft w:val="0"/>
                                      <w:marRight w:val="0"/>
                                      <w:marTop w:val="0"/>
                                      <w:marBottom w:val="0"/>
                                      <w:divBdr>
                                        <w:top w:val="none" w:sz="0" w:space="0" w:color="auto"/>
                                        <w:left w:val="none" w:sz="0" w:space="0" w:color="auto"/>
                                        <w:bottom w:val="none" w:sz="0" w:space="0" w:color="auto"/>
                                        <w:right w:val="none" w:sz="0" w:space="0" w:color="auto"/>
                                      </w:divBdr>
                                      <w:divsChild>
                                        <w:div w:id="866869307">
                                          <w:marLeft w:val="0"/>
                                          <w:marRight w:val="0"/>
                                          <w:marTop w:val="0"/>
                                          <w:marBottom w:val="0"/>
                                          <w:divBdr>
                                            <w:top w:val="none" w:sz="0" w:space="0" w:color="auto"/>
                                            <w:left w:val="none" w:sz="0" w:space="0" w:color="auto"/>
                                            <w:bottom w:val="none" w:sz="0" w:space="0" w:color="auto"/>
                                            <w:right w:val="none" w:sz="0" w:space="0" w:color="auto"/>
                                          </w:divBdr>
                                          <w:divsChild>
                                            <w:div w:id="247495760">
                                              <w:marLeft w:val="0"/>
                                              <w:marRight w:val="0"/>
                                              <w:marTop w:val="0"/>
                                              <w:marBottom w:val="0"/>
                                              <w:divBdr>
                                                <w:top w:val="single" w:sz="2" w:space="0" w:color="E0E0E0"/>
                                                <w:left w:val="single" w:sz="6" w:space="0" w:color="E0E0E0"/>
                                                <w:bottom w:val="single" w:sz="2" w:space="0" w:color="E0E0E0"/>
                                                <w:right w:val="single" w:sz="6" w:space="0" w:color="E0E0E0"/>
                                              </w:divBdr>
                                              <w:divsChild>
                                                <w:div w:id="1718971793">
                                                  <w:marLeft w:val="0"/>
                                                  <w:marRight w:val="0"/>
                                                  <w:marTop w:val="0"/>
                                                  <w:marBottom w:val="0"/>
                                                  <w:divBdr>
                                                    <w:top w:val="none" w:sz="0" w:space="0" w:color="auto"/>
                                                    <w:left w:val="single" w:sz="6" w:space="0" w:color="E0E0E0"/>
                                                    <w:bottom w:val="none" w:sz="0" w:space="0" w:color="auto"/>
                                                    <w:right w:val="none" w:sz="0" w:space="0" w:color="auto"/>
                                                  </w:divBdr>
                                                  <w:divsChild>
                                                    <w:div w:id="12462966">
                                                      <w:marLeft w:val="0"/>
                                                      <w:marRight w:val="0"/>
                                                      <w:marTop w:val="0"/>
                                                      <w:marBottom w:val="0"/>
                                                      <w:divBdr>
                                                        <w:top w:val="none" w:sz="0" w:space="0" w:color="auto"/>
                                                        <w:left w:val="none" w:sz="0" w:space="0" w:color="auto"/>
                                                        <w:bottom w:val="none" w:sz="0" w:space="0" w:color="auto"/>
                                                        <w:right w:val="none" w:sz="0" w:space="0" w:color="auto"/>
                                                      </w:divBdr>
                                                      <w:divsChild>
                                                        <w:div w:id="979580782">
                                                          <w:marLeft w:val="0"/>
                                                          <w:marRight w:val="0"/>
                                                          <w:marTop w:val="0"/>
                                                          <w:marBottom w:val="0"/>
                                                          <w:divBdr>
                                                            <w:top w:val="none" w:sz="0" w:space="0" w:color="auto"/>
                                                            <w:left w:val="none" w:sz="0" w:space="0" w:color="auto"/>
                                                            <w:bottom w:val="none" w:sz="0" w:space="0" w:color="auto"/>
                                                            <w:right w:val="none" w:sz="0" w:space="0" w:color="auto"/>
                                                          </w:divBdr>
                                                          <w:divsChild>
                                                            <w:div w:id="996300647">
                                                              <w:marLeft w:val="0"/>
                                                              <w:marRight w:val="0"/>
                                                              <w:marTop w:val="0"/>
                                                              <w:marBottom w:val="0"/>
                                                              <w:divBdr>
                                                                <w:top w:val="none" w:sz="0" w:space="0" w:color="auto"/>
                                                                <w:left w:val="none" w:sz="0" w:space="0" w:color="auto"/>
                                                                <w:bottom w:val="none" w:sz="0" w:space="0" w:color="auto"/>
                                                                <w:right w:val="none" w:sz="0" w:space="0" w:color="auto"/>
                                                              </w:divBdr>
                                                              <w:divsChild>
                                                                <w:div w:id="1800297753">
                                                                  <w:marLeft w:val="0"/>
                                                                  <w:marRight w:val="0"/>
                                                                  <w:marTop w:val="0"/>
                                                                  <w:marBottom w:val="0"/>
                                                                  <w:divBdr>
                                                                    <w:top w:val="none" w:sz="0" w:space="0" w:color="auto"/>
                                                                    <w:left w:val="none" w:sz="0" w:space="0" w:color="auto"/>
                                                                    <w:bottom w:val="none" w:sz="0" w:space="0" w:color="auto"/>
                                                                    <w:right w:val="none" w:sz="0" w:space="0" w:color="auto"/>
                                                                  </w:divBdr>
                                                                  <w:divsChild>
                                                                    <w:div w:id="1713649123">
                                                                      <w:marLeft w:val="0"/>
                                                                      <w:marRight w:val="-8550"/>
                                                                      <w:marTop w:val="0"/>
                                                                      <w:marBottom w:val="0"/>
                                                                      <w:divBdr>
                                                                        <w:top w:val="none" w:sz="0" w:space="0" w:color="auto"/>
                                                                        <w:left w:val="none" w:sz="0" w:space="0" w:color="auto"/>
                                                                        <w:bottom w:val="none" w:sz="0" w:space="0" w:color="auto"/>
                                                                        <w:right w:val="none" w:sz="0" w:space="0" w:color="auto"/>
                                                                      </w:divBdr>
                                                                      <w:divsChild>
                                                                        <w:div w:id="2104759253">
                                                                          <w:marLeft w:val="0"/>
                                                                          <w:marRight w:val="0"/>
                                                                          <w:marTop w:val="0"/>
                                                                          <w:marBottom w:val="0"/>
                                                                          <w:divBdr>
                                                                            <w:top w:val="none" w:sz="0" w:space="0" w:color="auto"/>
                                                                            <w:left w:val="none" w:sz="0" w:space="0" w:color="auto"/>
                                                                            <w:bottom w:val="none" w:sz="0" w:space="0" w:color="auto"/>
                                                                            <w:right w:val="none" w:sz="0" w:space="0" w:color="auto"/>
                                                                          </w:divBdr>
                                                                          <w:divsChild>
                                                                            <w:div w:id="1096637927">
                                                                              <w:marLeft w:val="0"/>
                                                                              <w:marRight w:val="0"/>
                                                                              <w:marTop w:val="0"/>
                                                                              <w:marBottom w:val="0"/>
                                                                              <w:divBdr>
                                                                                <w:top w:val="none" w:sz="0" w:space="0" w:color="auto"/>
                                                                                <w:left w:val="none" w:sz="0" w:space="0" w:color="auto"/>
                                                                                <w:bottom w:val="none" w:sz="0" w:space="0" w:color="auto"/>
                                                                                <w:right w:val="none" w:sz="0" w:space="0" w:color="auto"/>
                                                                              </w:divBdr>
                                                                              <w:divsChild>
                                                                                <w:div w:id="659700034">
                                                                                  <w:marLeft w:val="0"/>
                                                                                  <w:marRight w:val="0"/>
                                                                                  <w:marTop w:val="0"/>
                                                                                  <w:marBottom w:val="0"/>
                                                                                  <w:divBdr>
                                                                                    <w:top w:val="none" w:sz="0" w:space="0" w:color="auto"/>
                                                                                    <w:left w:val="none" w:sz="0" w:space="0" w:color="auto"/>
                                                                                    <w:bottom w:val="none" w:sz="0" w:space="0" w:color="auto"/>
                                                                                    <w:right w:val="none" w:sz="0" w:space="0" w:color="auto"/>
                                                                                  </w:divBdr>
                                                                                  <w:divsChild>
                                                                                    <w:div w:id="1547256831">
                                                                                      <w:marLeft w:val="0"/>
                                                                                      <w:marRight w:val="0"/>
                                                                                      <w:marTop w:val="0"/>
                                                                                      <w:marBottom w:val="0"/>
                                                                                      <w:divBdr>
                                                                                        <w:top w:val="none" w:sz="0" w:space="0" w:color="auto"/>
                                                                                        <w:left w:val="none" w:sz="0" w:space="0" w:color="auto"/>
                                                                                        <w:bottom w:val="none" w:sz="0" w:space="0" w:color="auto"/>
                                                                                        <w:right w:val="none" w:sz="0" w:space="0" w:color="auto"/>
                                                                                      </w:divBdr>
                                                                                      <w:divsChild>
                                                                                        <w:div w:id="80805944">
                                                                                          <w:marLeft w:val="0"/>
                                                                                          <w:marRight w:val="0"/>
                                                                                          <w:marTop w:val="0"/>
                                                                                          <w:marBottom w:val="0"/>
                                                                                          <w:divBdr>
                                                                                            <w:top w:val="none" w:sz="0" w:space="0" w:color="auto"/>
                                                                                            <w:left w:val="none" w:sz="0" w:space="0" w:color="auto"/>
                                                                                            <w:bottom w:val="none" w:sz="0" w:space="0" w:color="auto"/>
                                                                                            <w:right w:val="none" w:sz="0" w:space="0" w:color="auto"/>
                                                                                          </w:divBdr>
                                                                                          <w:divsChild>
                                                                                            <w:div w:id="570776482">
                                                                                              <w:marLeft w:val="0"/>
                                                                                              <w:marRight w:val="0"/>
                                                                                              <w:marTop w:val="0"/>
                                                                                              <w:marBottom w:val="0"/>
                                                                                              <w:divBdr>
                                                                                                <w:top w:val="none" w:sz="0" w:space="0" w:color="auto"/>
                                                                                                <w:left w:val="none" w:sz="0" w:space="0" w:color="auto"/>
                                                                                                <w:bottom w:val="none" w:sz="0" w:space="0" w:color="auto"/>
                                                                                                <w:right w:val="none" w:sz="0" w:space="0" w:color="auto"/>
                                                                                              </w:divBdr>
                                                                                              <w:divsChild>
                                                                                                <w:div w:id="1836650404">
                                                                                                  <w:marLeft w:val="0"/>
                                                                                                  <w:marRight w:val="0"/>
                                                                                                  <w:marTop w:val="0"/>
                                                                                                  <w:marBottom w:val="0"/>
                                                                                                  <w:divBdr>
                                                                                                    <w:top w:val="none" w:sz="0" w:space="0" w:color="auto"/>
                                                                                                    <w:left w:val="none" w:sz="0" w:space="0" w:color="auto"/>
                                                                                                    <w:bottom w:val="none" w:sz="0" w:space="0" w:color="auto"/>
                                                                                                    <w:right w:val="none" w:sz="0" w:space="0" w:color="auto"/>
                                                                                                  </w:divBdr>
                                                                                                  <w:divsChild>
                                                                                                    <w:div w:id="154297053">
                                                                                                      <w:marLeft w:val="0"/>
                                                                                                      <w:marRight w:val="0"/>
                                                                                                      <w:marTop w:val="0"/>
                                                                                                      <w:marBottom w:val="0"/>
                                                                                                      <w:divBdr>
                                                                                                        <w:top w:val="none" w:sz="0" w:space="0" w:color="auto"/>
                                                                                                        <w:left w:val="none" w:sz="0" w:space="0" w:color="auto"/>
                                                                                                        <w:bottom w:val="none" w:sz="0" w:space="0" w:color="auto"/>
                                                                                                        <w:right w:val="none" w:sz="0" w:space="0" w:color="auto"/>
                                                                                                      </w:divBdr>
                                                                                                      <w:divsChild>
                                                                                                        <w:div w:id="701981032">
                                                                                                          <w:marLeft w:val="0"/>
                                                                                                          <w:marRight w:val="0"/>
                                                                                                          <w:marTop w:val="0"/>
                                                                                                          <w:marBottom w:val="0"/>
                                                                                                          <w:divBdr>
                                                                                                            <w:top w:val="none" w:sz="0" w:space="0" w:color="auto"/>
                                                                                                            <w:left w:val="none" w:sz="0" w:space="0" w:color="auto"/>
                                                                                                            <w:bottom w:val="none" w:sz="0" w:space="0" w:color="auto"/>
                                                                                                            <w:right w:val="none" w:sz="0" w:space="0" w:color="auto"/>
                                                                                                          </w:divBdr>
                                                                                                          <w:divsChild>
                                                                                                            <w:div w:id="759908080">
                                                                                                              <w:marLeft w:val="0"/>
                                                                                                              <w:marRight w:val="0"/>
                                                                                                              <w:marTop w:val="0"/>
                                                                                                              <w:marBottom w:val="0"/>
                                                                                                              <w:divBdr>
                                                                                                                <w:top w:val="none" w:sz="0" w:space="0" w:color="auto"/>
                                                                                                                <w:left w:val="none" w:sz="0" w:space="0" w:color="auto"/>
                                                                                                                <w:bottom w:val="none" w:sz="0" w:space="0" w:color="auto"/>
                                                                                                                <w:right w:val="none" w:sz="0" w:space="0" w:color="auto"/>
                                                                                                              </w:divBdr>
                                                                                                              <w:divsChild>
                                                                                                                <w:div w:id="1621956264">
                                                                                                                  <w:marLeft w:val="0"/>
                                                                                                                  <w:marRight w:val="0"/>
                                                                                                                  <w:marTop w:val="0"/>
                                                                                                                  <w:marBottom w:val="0"/>
                                                                                                                  <w:divBdr>
                                                                                                                    <w:top w:val="none" w:sz="0" w:space="0" w:color="auto"/>
                                                                                                                    <w:left w:val="none" w:sz="0" w:space="0" w:color="auto"/>
                                                                                                                    <w:bottom w:val="none" w:sz="0" w:space="0" w:color="auto"/>
                                                                                                                    <w:right w:val="none" w:sz="0" w:space="0" w:color="auto"/>
                                                                                                                  </w:divBdr>
                                                                                                                </w:div>
                                                                                                              </w:divsChild>
                                                                                                            </w:div>
                                                                                                            <w:div w:id="1865318256">
                                                                                                              <w:marLeft w:val="0"/>
                                                                                                              <w:marRight w:val="0"/>
                                                                                                              <w:marTop w:val="0"/>
                                                                                                              <w:marBottom w:val="0"/>
                                                                                                              <w:divBdr>
                                                                                                                <w:top w:val="none" w:sz="0" w:space="0" w:color="auto"/>
                                                                                                                <w:left w:val="none" w:sz="0" w:space="0" w:color="auto"/>
                                                                                                                <w:bottom w:val="none" w:sz="0" w:space="0" w:color="auto"/>
                                                                                                                <w:right w:val="none" w:sz="0" w:space="0" w:color="auto"/>
                                                                                                              </w:divBdr>
                                                                                                              <w:divsChild>
                                                                                                                <w:div w:id="28103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7482938">
      <w:bodyDiv w:val="1"/>
      <w:marLeft w:val="0"/>
      <w:marRight w:val="0"/>
      <w:marTop w:val="0"/>
      <w:marBottom w:val="0"/>
      <w:divBdr>
        <w:top w:val="none" w:sz="0" w:space="0" w:color="auto"/>
        <w:left w:val="none" w:sz="0" w:space="0" w:color="auto"/>
        <w:bottom w:val="none" w:sz="0" w:space="0" w:color="auto"/>
        <w:right w:val="none" w:sz="0" w:space="0" w:color="auto"/>
      </w:divBdr>
      <w:divsChild>
        <w:div w:id="904687020">
          <w:marLeft w:val="418"/>
          <w:marRight w:val="0"/>
          <w:marTop w:val="72"/>
          <w:marBottom w:val="0"/>
          <w:divBdr>
            <w:top w:val="none" w:sz="0" w:space="0" w:color="auto"/>
            <w:left w:val="none" w:sz="0" w:space="0" w:color="auto"/>
            <w:bottom w:val="none" w:sz="0" w:space="0" w:color="auto"/>
            <w:right w:val="none" w:sz="0" w:space="0" w:color="auto"/>
          </w:divBdr>
        </w:div>
      </w:divsChild>
    </w:div>
    <w:div w:id="2112705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hyperlink" Target="http://et.wikipedia.org/w/index.php?title=P%C3%B5hk&amp;action=edit&amp;redlink=1" TargetMode="External"/><Relationship Id="rId39" Type="http://schemas.openxmlformats.org/officeDocument/2006/relationships/chart" Target="charts/chart14.xml"/><Relationship Id="rId21" Type="http://schemas.openxmlformats.org/officeDocument/2006/relationships/chart" Target="charts/chart5.xml"/><Relationship Id="rId34" Type="http://schemas.openxmlformats.org/officeDocument/2006/relationships/chart" Target="charts/chart10.xml"/><Relationship Id="rId42" Type="http://schemas.openxmlformats.org/officeDocument/2006/relationships/chart" Target="charts/chart17.xml"/><Relationship Id="rId47" Type="http://schemas.openxmlformats.org/officeDocument/2006/relationships/chart" Target="charts/chart22.xml"/><Relationship Id="rId50" Type="http://schemas.openxmlformats.org/officeDocument/2006/relationships/chart" Target="charts/chart25.xml"/><Relationship Id="rId55" Type="http://schemas.openxmlformats.org/officeDocument/2006/relationships/chart" Target="charts/chart30.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chart" Target="charts/chart4.xml"/><Relationship Id="rId29" Type="http://schemas.openxmlformats.org/officeDocument/2006/relationships/hyperlink" Target="http://et.wikipedia.org/w/index.php?title=Haljass%C3%B6%C3%B6t&amp;action=edit&amp;redlink=1" TargetMode="External"/><Relationship Id="rId41" Type="http://schemas.openxmlformats.org/officeDocument/2006/relationships/chart" Target="charts/chart16.xml"/><Relationship Id="rId54" Type="http://schemas.openxmlformats.org/officeDocument/2006/relationships/chart" Target="charts/chart29.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chart" Target="charts/chart8.xml"/><Relationship Id="rId32" Type="http://schemas.openxmlformats.org/officeDocument/2006/relationships/hyperlink" Target="http://et.wikipedia.org/w/index.php?title=Kaerahelbed&amp;action=edit&amp;redlink=1" TargetMode="External"/><Relationship Id="rId37" Type="http://schemas.openxmlformats.org/officeDocument/2006/relationships/chart" Target="charts/chart13.xml"/><Relationship Id="rId40" Type="http://schemas.openxmlformats.org/officeDocument/2006/relationships/chart" Target="charts/chart15.xml"/><Relationship Id="rId45" Type="http://schemas.openxmlformats.org/officeDocument/2006/relationships/chart" Target="charts/chart20.xml"/><Relationship Id="rId53" Type="http://schemas.openxmlformats.org/officeDocument/2006/relationships/chart" Target="charts/chart28.xml"/><Relationship Id="rId58" Type="http://schemas.openxmlformats.org/officeDocument/2006/relationships/chart" Target="charts/chart33.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chart" Target="charts/chart7.xml"/><Relationship Id="rId28" Type="http://schemas.openxmlformats.org/officeDocument/2006/relationships/hyperlink" Target="http://et.wikipedia.org/w/index.php?title=Aganad&amp;action=edit&amp;redlink=1" TargetMode="External"/><Relationship Id="rId36" Type="http://schemas.openxmlformats.org/officeDocument/2006/relationships/chart" Target="charts/chart12.xml"/><Relationship Id="rId49" Type="http://schemas.openxmlformats.org/officeDocument/2006/relationships/chart" Target="charts/chart24.xml"/><Relationship Id="rId57" Type="http://schemas.openxmlformats.org/officeDocument/2006/relationships/chart" Target="charts/chart32.xml"/><Relationship Id="rId61"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chart" Target="charts/chart3.xml"/><Relationship Id="rId31" Type="http://schemas.openxmlformats.org/officeDocument/2006/relationships/hyperlink" Target="http://et.wikipedia.org/w/index.php?title=Kaerajahu&amp;action=edit&amp;redlink=1" TargetMode="External"/><Relationship Id="rId44" Type="http://schemas.openxmlformats.org/officeDocument/2006/relationships/chart" Target="charts/chart19.xml"/><Relationship Id="rId52" Type="http://schemas.openxmlformats.org/officeDocument/2006/relationships/chart" Target="charts/chart27.xml"/><Relationship Id="rId60" Type="http://schemas.openxmlformats.org/officeDocument/2006/relationships/footer" Target="foot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chart" Target="charts/chart6.xml"/><Relationship Id="rId27" Type="http://schemas.openxmlformats.org/officeDocument/2006/relationships/hyperlink" Target="http://et.wikipedia.org/wiki/Silo" TargetMode="External"/><Relationship Id="rId30" Type="http://schemas.openxmlformats.org/officeDocument/2006/relationships/hyperlink" Target="http://et.wikipedia.org/w/index.php?title=Kaerahelbepuder&amp;action=edit&amp;redlink=1" TargetMode="External"/><Relationship Id="rId35" Type="http://schemas.openxmlformats.org/officeDocument/2006/relationships/chart" Target="charts/chart11.xml"/><Relationship Id="rId43" Type="http://schemas.openxmlformats.org/officeDocument/2006/relationships/chart" Target="charts/chart18.xml"/><Relationship Id="rId48" Type="http://schemas.openxmlformats.org/officeDocument/2006/relationships/chart" Target="charts/chart23.xml"/><Relationship Id="rId56" Type="http://schemas.openxmlformats.org/officeDocument/2006/relationships/chart" Target="charts/chart31.xml"/><Relationship Id="rId8" Type="http://schemas.openxmlformats.org/officeDocument/2006/relationships/footnotes" Target="footnotes.xml"/><Relationship Id="rId51" Type="http://schemas.openxmlformats.org/officeDocument/2006/relationships/chart" Target="charts/chart26.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hyperlink" Target="http://et.wikipedia.org/w/index.php?title=Kaerakliid&amp;action=edit&amp;redlink=1" TargetMode="External"/><Relationship Id="rId38" Type="http://schemas.openxmlformats.org/officeDocument/2006/relationships/image" Target="media/image2.jpeg"/><Relationship Id="rId46" Type="http://schemas.openxmlformats.org/officeDocument/2006/relationships/chart" Target="charts/chart21.xml"/><Relationship Id="rId59" Type="http://schemas.openxmlformats.org/officeDocument/2006/relationships/chart" Target="charts/chart34.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rpaju\Teraviljastrateegia\AK%20tekst\Joonised%20teksti%20jaoks%20-%202013%20okt.xlsx" TargetMode="Externa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oleObject" Target="../embeddings/oleObject4.bin"/><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oleObject" Target="../embeddings/oleObject5.bin"/><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oleObject" Target="../embeddings/oleObject6.bin"/><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oleObject" Target="file:///C:\rpaju\Teraviljastrateegia\AK%20tekst\Maheteravili%202006%20-%202012.xlsx" TargetMode="External"/><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1" Type="http://schemas.openxmlformats.org/officeDocument/2006/relationships/oleObject" Target="file:///C:\Users\rpaju\AppData\Local\Temp\notesACD805\jooniste%20alustabelid.xlsx" TargetMode="Externa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C:\Users\rpaju\AppData\Local\Temp\notesACD805\jooniste%20alustabelid.xlsx" TargetMode="Externa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9.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oleObject" Target="../embeddings/oleObject7.bin"/><Relationship Id="rId1" Type="http://schemas.openxmlformats.org/officeDocument/2006/relationships/themeOverride" Target="../theme/themeOverride10.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oleObject" Target="../embeddings/oleObject8.bin"/><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rpaju\Teraviljastrateegia\AK%20tekst\Kattetulu%20ja%20majandusn&#228;itajate%20osa\Tabelid&amp;joonised_12.11.13.xlsx" TargetMode="Externa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package" Target="../embeddings/Microsoft_Excel_Worksheet3.xlsx"/><Relationship Id="rId1" Type="http://schemas.openxmlformats.org/officeDocument/2006/relationships/themeOverride" Target="../theme/themeOverride12.xm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oleObject" Target="file:///C:\Users\mmager\Documents\Materjal\Arengukavad\TV%20arengukava\TV_arengukava.xlsx" TargetMode="External"/><Relationship Id="rId1" Type="http://schemas.openxmlformats.org/officeDocument/2006/relationships/themeOverride" Target="../theme/themeOverride13.xml"/></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oleObject" Target="file:///C:\Users\mmager\Documents\Materjal\Arengukavad\TV%20arengukava\TV_arengukava.xlsx" TargetMode="External"/><Relationship Id="rId1" Type="http://schemas.openxmlformats.org/officeDocument/2006/relationships/themeOverride" Target="../theme/themeOverride14.xml"/></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oleObject" Target="../embeddings/oleObject9.bin"/><Relationship Id="rId1" Type="http://schemas.openxmlformats.org/officeDocument/2006/relationships/themeOverride" Target="../theme/themeOverride15.xml"/></Relationships>
</file>

<file path=word/charts/_rels/chart24.xml.rels><?xml version="1.0" encoding="UTF-8" standalone="yes"?>
<Relationships xmlns="http://schemas.openxmlformats.org/package/2006/relationships"><Relationship Id="rId1" Type="http://schemas.openxmlformats.org/officeDocument/2006/relationships/oleObject" Target="file:///C:\rpaju\Teraviljastrateegia\AK%20tekst\Joonised%20teksti%20jaoks%20-%202013%20okt.xlsx" TargetMode="External"/></Relationships>
</file>

<file path=word/charts/_rels/chart25.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themeOverride" Target="../theme/themeOverride16.xml"/></Relationships>
</file>

<file path=word/charts/_rels/chart26.xml.rels><?xml version="1.0" encoding="UTF-8" standalone="yes"?>
<Relationships xmlns="http://schemas.openxmlformats.org/package/2006/relationships"><Relationship Id="rId2" Type="http://schemas.openxmlformats.org/officeDocument/2006/relationships/oleObject" Target="../embeddings/oleObject11.bin"/><Relationship Id="rId1" Type="http://schemas.openxmlformats.org/officeDocument/2006/relationships/themeOverride" Target="../theme/themeOverride17.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oleObject" Target="../embeddings/oleObject12.bin"/><Relationship Id="rId1" Type="http://schemas.openxmlformats.org/officeDocument/2006/relationships/themeOverride" Target="../theme/themeOverride18.xml"/></Relationships>
</file>

<file path=word/charts/_rels/chart28.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themeOverride" Target="../theme/themeOverride19.xm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oleObject" Target="../embeddings/oleObject14.bin"/><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rpaju\Teraviljastrateegia\AK%20tekst\Joonised%20teksti%20jaoks%20-%202013%20okt.xlsx" TargetMode="Externa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1.xml"/></Relationships>
</file>

<file path=word/charts/_rels/chart31.xml.rels><?xml version="1.0" encoding="UTF-8" standalone="yes"?>
<Relationships xmlns="http://schemas.openxmlformats.org/package/2006/relationships"><Relationship Id="rId2" Type="http://schemas.openxmlformats.org/officeDocument/2006/relationships/oleObject" Target="../embeddings/oleObject15.bin"/><Relationship Id="rId1" Type="http://schemas.openxmlformats.org/officeDocument/2006/relationships/themeOverride" Target="../theme/themeOverride22.xml"/></Relationships>
</file>

<file path=word/charts/_rels/chart32.xml.rels><?xml version="1.0" encoding="UTF-8" standalone="yes"?>
<Relationships xmlns="http://schemas.openxmlformats.org/package/2006/relationships"><Relationship Id="rId2" Type="http://schemas.openxmlformats.org/officeDocument/2006/relationships/oleObject" Target="../embeddings/oleObject16.bin"/><Relationship Id="rId1" Type="http://schemas.openxmlformats.org/officeDocument/2006/relationships/themeOverride" Target="../theme/themeOverride23.xml"/></Relationships>
</file>

<file path=word/charts/_rels/chart33.xml.rels><?xml version="1.0" encoding="UTF-8" standalone="yes"?>
<Relationships xmlns="http://schemas.openxmlformats.org/package/2006/relationships"><Relationship Id="rId3" Type="http://schemas.openxmlformats.org/officeDocument/2006/relationships/chartUserShapes" Target="../drawings/drawing23.xml"/><Relationship Id="rId2" Type="http://schemas.openxmlformats.org/officeDocument/2006/relationships/package" Target="../embeddings/Microsoft_Excel_Worksheet5.xlsx"/><Relationship Id="rId1" Type="http://schemas.openxmlformats.org/officeDocument/2006/relationships/themeOverride" Target="../theme/themeOverride24.xml"/></Relationships>
</file>

<file path=word/charts/_rels/chart34.xml.rels><?xml version="1.0" encoding="UTF-8" standalone="yes"?>
<Relationships xmlns="http://schemas.openxmlformats.org/package/2006/relationships"><Relationship Id="rId3" Type="http://schemas.openxmlformats.org/officeDocument/2006/relationships/chartUserShapes" Target="../drawings/drawing24.xml"/><Relationship Id="rId2" Type="http://schemas.openxmlformats.org/officeDocument/2006/relationships/oleObject" Target="../embeddings/oleObject17.bin"/><Relationship Id="rId1" Type="http://schemas.openxmlformats.org/officeDocument/2006/relationships/themeOverride" Target="../theme/themeOverride25.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rpaju\Teraviljastrateegia\AK%20tekst\Joonised%20teksti%20jaoks%20-%202013%20okt.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rpaju\Teraviljastrateegia\AK%20tekst\Joonised%20teksti%20jaoks%20-%202014%20m&#228;rts.xlsx" TargetMode="Externa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C:\rpaju\Teraviljastrateegia\AK%20tekst\Joonised%20teksti%20jaoks%20-%20teraviljad_suurusklassiti.xlsx" TargetMode="External"/><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embeddings/oleObject2.bin"/><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oleObject" Target="../embeddings/oleObject3.bin"/><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8892823308329066E-2"/>
          <c:y val="3.7241151258204826E-2"/>
          <c:w val="0.94728925748186799"/>
          <c:h val="0.85860237262386341"/>
        </c:manualLayout>
      </c:layout>
      <c:barChart>
        <c:barDir val="col"/>
        <c:grouping val="clustered"/>
        <c:varyColors val="0"/>
        <c:ser>
          <c:idx val="0"/>
          <c:order val="0"/>
          <c:tx>
            <c:strRef>
              <c:f>'Kasvupind ja saak'!$C$14</c:f>
              <c:strCache>
                <c:ptCount val="1"/>
                <c:pt idx="0">
                  <c:v>Nisu</c:v>
                </c:pt>
              </c:strCache>
            </c:strRef>
          </c:tx>
          <c:spPr>
            <a:solidFill>
              <a:srgbClr val="00B050"/>
            </a:solidFill>
          </c:spPr>
          <c:invertIfNegative val="0"/>
          <c:cat>
            <c:strRef>
              <c:f>'Kasvupind ja saak'!$E$13:$N$13</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'Kasvupind ja saak'!$E$14:$N$14</c:f>
              <c:numCache>
                <c:formatCode>General</c:formatCode>
                <c:ptCount val="10"/>
                <c:pt idx="0">
                  <c:v>78.400000000000006</c:v>
                </c:pt>
                <c:pt idx="1">
                  <c:v>85.4</c:v>
                </c:pt>
                <c:pt idx="2">
                  <c:v>90.9</c:v>
                </c:pt>
                <c:pt idx="3">
                  <c:v>99.5</c:v>
                </c:pt>
                <c:pt idx="4">
                  <c:v>107.6</c:v>
                </c:pt>
                <c:pt idx="5">
                  <c:v>113.6</c:v>
                </c:pt>
                <c:pt idx="6">
                  <c:v>119.4</c:v>
                </c:pt>
                <c:pt idx="7">
                  <c:v>128.4</c:v>
                </c:pt>
                <c:pt idx="8">
                  <c:v>124.3</c:v>
                </c:pt>
                <c:pt idx="9">
                  <c:v>124.7</c:v>
                </c:pt>
              </c:numCache>
            </c:numRef>
          </c:val>
        </c:ser>
        <c:ser>
          <c:idx val="1"/>
          <c:order val="1"/>
          <c:tx>
            <c:strRef>
              <c:f>'Kasvupind ja saak'!$C$15</c:f>
              <c:strCache>
                <c:ptCount val="1"/>
                <c:pt idx="0">
                  <c:v>Oder</c:v>
                </c:pt>
              </c:strCache>
            </c:strRef>
          </c:tx>
          <c:spPr>
            <a:solidFill>
              <a:srgbClr val="FF0000"/>
            </a:solidFill>
          </c:spPr>
          <c:invertIfNegative val="0"/>
          <c:cat>
            <c:strRef>
              <c:f>'Kasvupind ja saak'!$E$13:$N$13</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'Kasvupind ja saak'!$E$15:$N$15</c:f>
              <c:numCache>
                <c:formatCode>General</c:formatCode>
                <c:ptCount val="10"/>
                <c:pt idx="0">
                  <c:v>127.2</c:v>
                </c:pt>
                <c:pt idx="1">
                  <c:v>144.19999999999999</c:v>
                </c:pt>
                <c:pt idx="2">
                  <c:v>142</c:v>
                </c:pt>
                <c:pt idx="3">
                  <c:v>136.1</c:v>
                </c:pt>
                <c:pt idx="4">
                  <c:v>136.5</c:v>
                </c:pt>
                <c:pt idx="5">
                  <c:v>140.69999999999999</c:v>
                </c:pt>
                <c:pt idx="6">
                  <c:v>104.8</c:v>
                </c:pt>
                <c:pt idx="7">
                  <c:v>118.3</c:v>
                </c:pt>
                <c:pt idx="8">
                  <c:v>109</c:v>
                </c:pt>
                <c:pt idx="9">
                  <c:v>133</c:v>
                </c:pt>
              </c:numCache>
            </c:numRef>
          </c:val>
        </c:ser>
        <c:ser>
          <c:idx val="2"/>
          <c:order val="2"/>
          <c:tx>
            <c:strRef>
              <c:f>'Kasvupind ja saak'!$C$16</c:f>
              <c:strCache>
                <c:ptCount val="1"/>
                <c:pt idx="0">
                  <c:v>Rukis</c:v>
                </c:pt>
              </c:strCache>
            </c:strRef>
          </c:tx>
          <c:spPr>
            <a:solidFill>
              <a:srgbClr val="00B0F0"/>
            </a:solidFill>
          </c:spPr>
          <c:invertIfNegative val="0"/>
          <c:cat>
            <c:strRef>
              <c:f>'Kasvupind ja saak'!$E$13:$N$13</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'Kasvupind ja saak'!$E$16:$N$16</c:f>
              <c:numCache>
                <c:formatCode>General</c:formatCode>
                <c:ptCount val="10"/>
                <c:pt idx="0">
                  <c:v>8.1</c:v>
                </c:pt>
                <c:pt idx="1">
                  <c:v>7.4</c:v>
                </c:pt>
                <c:pt idx="2">
                  <c:v>7.3</c:v>
                </c:pt>
                <c:pt idx="3">
                  <c:v>16.8</c:v>
                </c:pt>
                <c:pt idx="4">
                  <c:v>21.4</c:v>
                </c:pt>
                <c:pt idx="5">
                  <c:v>15.3</c:v>
                </c:pt>
                <c:pt idx="6">
                  <c:v>12.6</c:v>
                </c:pt>
                <c:pt idx="7">
                  <c:v>13.3</c:v>
                </c:pt>
                <c:pt idx="8">
                  <c:v>16.899999999999999</c:v>
                </c:pt>
                <c:pt idx="9">
                  <c:v>11.5</c:v>
                </c:pt>
              </c:numCache>
            </c:numRef>
          </c:val>
        </c:ser>
        <c:ser>
          <c:idx val="3"/>
          <c:order val="3"/>
          <c:tx>
            <c:strRef>
              <c:f>'Kasvupind ja saak'!$C$17</c:f>
              <c:strCache>
                <c:ptCount val="1"/>
                <c:pt idx="0">
                  <c:v>Kaer</c:v>
                </c:pt>
              </c:strCache>
            </c:strRef>
          </c:tx>
          <c:spPr>
            <a:solidFill>
              <a:srgbClr val="FFC000"/>
            </a:solidFill>
          </c:spPr>
          <c:invertIfNegative val="0"/>
          <c:cat>
            <c:strRef>
              <c:f>'Kasvupind ja saak'!$E$13:$N$13</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'Kasvupind ja saak'!$E$17:$N$17</c:f>
              <c:numCache>
                <c:formatCode>General</c:formatCode>
                <c:ptCount val="10"/>
                <c:pt idx="0">
                  <c:v>35.4</c:v>
                </c:pt>
                <c:pt idx="1">
                  <c:v>33.700000000000003</c:v>
                </c:pt>
                <c:pt idx="2">
                  <c:v>32.6</c:v>
                </c:pt>
                <c:pt idx="3">
                  <c:v>31.5</c:v>
                </c:pt>
                <c:pt idx="4">
                  <c:v>34.200000000000003</c:v>
                </c:pt>
                <c:pt idx="5">
                  <c:v>36.1</c:v>
                </c:pt>
                <c:pt idx="6">
                  <c:v>30.4</c:v>
                </c:pt>
                <c:pt idx="7">
                  <c:v>28.4</c:v>
                </c:pt>
                <c:pt idx="8">
                  <c:v>31.8</c:v>
                </c:pt>
                <c:pt idx="9">
                  <c:v>34.9</c:v>
                </c:pt>
              </c:numCache>
            </c:numRef>
          </c:val>
        </c:ser>
        <c:ser>
          <c:idx val="4"/>
          <c:order val="4"/>
          <c:tx>
            <c:strRef>
              <c:f>'Kasvupind ja saak'!$C$18</c:f>
              <c:strCache>
                <c:ptCount val="1"/>
                <c:pt idx="0">
                  <c:v>Raps</c:v>
                </c:pt>
              </c:strCache>
            </c:strRef>
          </c:tx>
          <c:spPr>
            <a:solidFill>
              <a:srgbClr val="7030A0"/>
            </a:solidFill>
          </c:spPr>
          <c:invertIfNegative val="0"/>
          <c:cat>
            <c:strRef>
              <c:f>'Kasvupind ja saak'!$E$13:$N$13</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'Kasvupind ja saak'!$E$18:$N$18</c:f>
              <c:numCache>
                <c:formatCode>General</c:formatCode>
                <c:ptCount val="10"/>
                <c:pt idx="0">
                  <c:v>46.3</c:v>
                </c:pt>
                <c:pt idx="1">
                  <c:v>46.6</c:v>
                </c:pt>
                <c:pt idx="2">
                  <c:v>62.5</c:v>
                </c:pt>
                <c:pt idx="3">
                  <c:v>73.599999999999994</c:v>
                </c:pt>
                <c:pt idx="4">
                  <c:v>77.7</c:v>
                </c:pt>
                <c:pt idx="5">
                  <c:v>82.1</c:v>
                </c:pt>
                <c:pt idx="6">
                  <c:v>98.2</c:v>
                </c:pt>
                <c:pt idx="7">
                  <c:v>89</c:v>
                </c:pt>
                <c:pt idx="8">
                  <c:v>87.1</c:v>
                </c:pt>
                <c:pt idx="9">
                  <c:v>86.1</c:v>
                </c:pt>
              </c:numCache>
            </c:numRef>
          </c:val>
        </c:ser>
        <c:dLbls>
          <c:showLegendKey val="0"/>
          <c:showVal val="0"/>
          <c:showCatName val="0"/>
          <c:showSerName val="0"/>
          <c:showPercent val="0"/>
          <c:showBubbleSize val="0"/>
        </c:dLbls>
        <c:gapWidth val="31"/>
        <c:axId val="78921728"/>
        <c:axId val="78923264"/>
      </c:barChart>
      <c:lineChart>
        <c:grouping val="standard"/>
        <c:varyColors val="0"/>
        <c:ser>
          <c:idx val="5"/>
          <c:order val="5"/>
          <c:tx>
            <c:strRef>
              <c:f>'Kasvupind ja saak'!$C$19</c:f>
              <c:strCache>
                <c:ptCount val="1"/>
                <c:pt idx="0">
                  <c:v>Kokku (teravili + raps)</c:v>
                </c:pt>
              </c:strCache>
            </c:strRef>
          </c:tx>
          <c:spPr>
            <a:ln w="63500">
              <a:solidFill>
                <a:schemeClr val="accent4">
                  <a:lumMod val="40000"/>
                  <a:lumOff val="60000"/>
                </a:schemeClr>
              </a:solidFill>
            </a:ln>
          </c:spPr>
          <c:marker>
            <c:symbol val="none"/>
          </c:marker>
          <c:cat>
            <c:strRef>
              <c:f>'Kasvupind ja saak'!$E$13:$N$13</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'Kasvupind ja saak'!$E$19:$N$19</c:f>
              <c:numCache>
                <c:formatCode>General</c:formatCode>
                <c:ptCount val="10"/>
                <c:pt idx="0">
                  <c:v>295.40000000000003</c:v>
                </c:pt>
                <c:pt idx="1">
                  <c:v>317.3</c:v>
                </c:pt>
                <c:pt idx="2">
                  <c:v>335.3</c:v>
                </c:pt>
                <c:pt idx="3">
                  <c:v>357.5</c:v>
                </c:pt>
                <c:pt idx="4">
                  <c:v>377.4</c:v>
                </c:pt>
                <c:pt idx="5">
                  <c:v>387.79999999999995</c:v>
                </c:pt>
                <c:pt idx="6">
                  <c:v>365.4</c:v>
                </c:pt>
                <c:pt idx="7">
                  <c:v>377.4</c:v>
                </c:pt>
                <c:pt idx="8">
                  <c:v>369.1</c:v>
                </c:pt>
                <c:pt idx="9">
                  <c:v>390.19999999999993</c:v>
                </c:pt>
              </c:numCache>
            </c:numRef>
          </c:val>
          <c:smooth val="0"/>
        </c:ser>
        <c:dLbls>
          <c:showLegendKey val="0"/>
          <c:showVal val="0"/>
          <c:showCatName val="0"/>
          <c:showSerName val="0"/>
          <c:showPercent val="0"/>
          <c:showBubbleSize val="0"/>
        </c:dLbls>
        <c:marker val="1"/>
        <c:smooth val="0"/>
        <c:axId val="78930688"/>
        <c:axId val="78924800"/>
      </c:lineChart>
      <c:catAx>
        <c:axId val="78921728"/>
        <c:scaling>
          <c:orientation val="minMax"/>
        </c:scaling>
        <c:delete val="0"/>
        <c:axPos val="b"/>
        <c:majorTickMark val="out"/>
        <c:minorTickMark val="none"/>
        <c:tickLblPos val="nextTo"/>
        <c:crossAx val="78923264"/>
        <c:crosses val="autoZero"/>
        <c:auto val="1"/>
        <c:lblAlgn val="ctr"/>
        <c:lblOffset val="100"/>
        <c:noMultiLvlLbl val="0"/>
      </c:catAx>
      <c:valAx>
        <c:axId val="78923264"/>
        <c:scaling>
          <c:orientation val="minMax"/>
        </c:scaling>
        <c:delete val="0"/>
        <c:axPos val="l"/>
        <c:majorGridlines/>
        <c:numFmt formatCode="General" sourceLinked="1"/>
        <c:majorTickMark val="out"/>
        <c:minorTickMark val="none"/>
        <c:tickLblPos val="nextTo"/>
        <c:crossAx val="78921728"/>
        <c:crosses val="autoZero"/>
        <c:crossBetween val="between"/>
      </c:valAx>
      <c:valAx>
        <c:axId val="78924800"/>
        <c:scaling>
          <c:orientation val="minMax"/>
        </c:scaling>
        <c:delete val="0"/>
        <c:axPos val="r"/>
        <c:numFmt formatCode="General" sourceLinked="1"/>
        <c:majorTickMark val="out"/>
        <c:minorTickMark val="none"/>
        <c:tickLblPos val="nextTo"/>
        <c:crossAx val="78930688"/>
        <c:crosses val="max"/>
        <c:crossBetween val="between"/>
      </c:valAx>
      <c:catAx>
        <c:axId val="78930688"/>
        <c:scaling>
          <c:orientation val="minMax"/>
        </c:scaling>
        <c:delete val="1"/>
        <c:axPos val="b"/>
        <c:majorTickMark val="out"/>
        <c:minorTickMark val="none"/>
        <c:tickLblPos val="nextTo"/>
        <c:crossAx val="78924800"/>
        <c:crosses val="autoZero"/>
        <c:auto val="1"/>
        <c:lblAlgn val="ctr"/>
        <c:lblOffset val="100"/>
        <c:noMultiLvlLbl val="0"/>
      </c:catAx>
    </c:plotArea>
    <c:legend>
      <c:legendPos val="r"/>
      <c:layout>
        <c:manualLayout>
          <c:xMode val="edge"/>
          <c:yMode val="edge"/>
          <c:x val="0.11785030771309593"/>
          <c:y val="4.9967936087695591E-2"/>
          <c:w val="0.81244708685985234"/>
          <c:h val="8.4596133229825149E-2"/>
        </c:manualLayout>
      </c:layout>
      <c:overlay val="0"/>
    </c:legend>
    <c:plotVisOnly val="1"/>
    <c:dispBlanksAs val="gap"/>
    <c:showDLblsOverMax val="0"/>
  </c:chart>
  <c:spPr>
    <a:ln>
      <a:solidFill>
        <a:schemeClr val="bg1"/>
      </a:solidFill>
    </a:ln>
  </c:spPr>
  <c:txPr>
    <a:bodyPr/>
    <a:lstStyle/>
    <a:p>
      <a:pPr>
        <a:defRPr sz="1000"/>
      </a:pPr>
      <a:endParaRPr lang="et-EE"/>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0743896738935025E-2"/>
          <c:y val="3.753559376506508E-2"/>
          <c:w val="0.85213029878114555"/>
          <c:h val="0.85333976110129095"/>
        </c:manualLayout>
      </c:layout>
      <c:barChart>
        <c:barDir val="col"/>
        <c:grouping val="clustered"/>
        <c:varyColors val="0"/>
        <c:ser>
          <c:idx val="1"/>
          <c:order val="1"/>
          <c:tx>
            <c:strRef>
              <c:f>Kõik!$A$91</c:f>
              <c:strCache>
                <c:ptCount val="1"/>
                <c:pt idx="0">
                  <c:v>Saak</c:v>
                </c:pt>
              </c:strCache>
            </c:strRef>
          </c:tx>
          <c:spPr>
            <a:solidFill>
              <a:srgbClr val="FFC000"/>
            </a:solidFill>
          </c:spPr>
          <c:invertIfNegative val="0"/>
          <c:cat>
            <c:numRef>
              <c:f>Kõik!$B$89:$K$89</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Kõik!$B$91:$K$91</c:f>
              <c:numCache>
                <c:formatCode>General</c:formatCode>
                <c:ptCount val="10"/>
                <c:pt idx="0">
                  <c:v>72.7</c:v>
                </c:pt>
                <c:pt idx="1">
                  <c:v>84.2</c:v>
                </c:pt>
                <c:pt idx="2">
                  <c:v>63.6</c:v>
                </c:pt>
                <c:pt idx="3">
                  <c:v>85.2</c:v>
                </c:pt>
                <c:pt idx="4">
                  <c:v>77.5</c:v>
                </c:pt>
                <c:pt idx="5">
                  <c:v>86.5</c:v>
                </c:pt>
                <c:pt idx="6">
                  <c:v>54.5</c:v>
                </c:pt>
                <c:pt idx="7">
                  <c:v>62.8</c:v>
                </c:pt>
                <c:pt idx="8">
                  <c:v>78.400000000000006</c:v>
                </c:pt>
                <c:pt idx="9">
                  <c:v>84.8</c:v>
                </c:pt>
              </c:numCache>
            </c:numRef>
          </c:val>
        </c:ser>
        <c:dLbls>
          <c:showLegendKey val="0"/>
          <c:showVal val="0"/>
          <c:showCatName val="0"/>
          <c:showSerName val="0"/>
          <c:showPercent val="0"/>
          <c:showBubbleSize val="0"/>
        </c:dLbls>
        <c:gapWidth val="45"/>
        <c:axId val="80278272"/>
        <c:axId val="80279808"/>
      </c:barChart>
      <c:lineChart>
        <c:grouping val="standard"/>
        <c:varyColors val="0"/>
        <c:ser>
          <c:idx val="0"/>
          <c:order val="0"/>
          <c:tx>
            <c:strRef>
              <c:f>Kõik!$A$90</c:f>
              <c:strCache>
                <c:ptCount val="1"/>
                <c:pt idx="0">
                  <c:v>Kasvupind</c:v>
                </c:pt>
              </c:strCache>
            </c:strRef>
          </c:tx>
          <c:spPr>
            <a:ln w="50800">
              <a:solidFill>
                <a:schemeClr val="tx2">
                  <a:lumMod val="60000"/>
                  <a:lumOff val="40000"/>
                </a:schemeClr>
              </a:solidFill>
            </a:ln>
          </c:spPr>
          <c:marker>
            <c:symbol val="circle"/>
            <c:size val="15"/>
            <c:spPr>
              <a:solidFill>
                <a:schemeClr val="tx2">
                  <a:lumMod val="60000"/>
                  <a:lumOff val="40000"/>
                </a:schemeClr>
              </a:solidFill>
              <a:ln>
                <a:solidFill>
                  <a:schemeClr val="tx2">
                    <a:lumMod val="60000"/>
                    <a:lumOff val="40000"/>
                  </a:schemeClr>
                </a:solidFill>
              </a:ln>
            </c:spPr>
          </c:marker>
          <c:dLbls>
            <c:dLblPos val="ctr"/>
            <c:showLegendKey val="0"/>
            <c:showVal val="1"/>
            <c:showCatName val="0"/>
            <c:showSerName val="0"/>
            <c:showPercent val="0"/>
            <c:showBubbleSize val="0"/>
            <c:showLeaderLines val="0"/>
          </c:dLbls>
          <c:cat>
            <c:numRef>
              <c:f>Kõik!$B$89:$K$89</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Kõik!$B$90:$K$90</c:f>
              <c:numCache>
                <c:formatCode>General</c:formatCode>
                <c:ptCount val="10"/>
                <c:pt idx="0">
                  <c:v>35.4</c:v>
                </c:pt>
                <c:pt idx="1">
                  <c:v>33.700000000000003</c:v>
                </c:pt>
                <c:pt idx="2">
                  <c:v>32.6</c:v>
                </c:pt>
                <c:pt idx="3">
                  <c:v>31.5</c:v>
                </c:pt>
                <c:pt idx="4">
                  <c:v>34.200000000000003</c:v>
                </c:pt>
                <c:pt idx="5">
                  <c:v>36.1</c:v>
                </c:pt>
                <c:pt idx="6">
                  <c:v>30.4</c:v>
                </c:pt>
                <c:pt idx="7">
                  <c:v>28.4</c:v>
                </c:pt>
                <c:pt idx="8">
                  <c:v>31.8</c:v>
                </c:pt>
                <c:pt idx="9">
                  <c:v>34.9</c:v>
                </c:pt>
              </c:numCache>
            </c:numRef>
          </c:val>
          <c:smooth val="0"/>
        </c:ser>
        <c:dLbls>
          <c:showLegendKey val="0"/>
          <c:showVal val="0"/>
          <c:showCatName val="0"/>
          <c:showSerName val="0"/>
          <c:showPercent val="0"/>
          <c:showBubbleSize val="0"/>
        </c:dLbls>
        <c:marker val="1"/>
        <c:smooth val="0"/>
        <c:axId val="80278272"/>
        <c:axId val="80279808"/>
      </c:lineChart>
      <c:lineChart>
        <c:grouping val="standard"/>
        <c:varyColors val="0"/>
        <c:ser>
          <c:idx val="2"/>
          <c:order val="2"/>
          <c:tx>
            <c:strRef>
              <c:f>Kõik!$A$92</c:f>
              <c:strCache>
                <c:ptCount val="1"/>
                <c:pt idx="0">
                  <c:v>Saagikus</c:v>
                </c:pt>
              </c:strCache>
            </c:strRef>
          </c:tx>
          <c:spPr>
            <a:ln w="50800"/>
          </c:spPr>
          <c:marker>
            <c:symbol val="none"/>
          </c:marker>
          <c:cat>
            <c:numRef>
              <c:f>Kõik!$B$89:$K$89</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Kõik!$B$92:$K$92</c:f>
              <c:numCache>
                <c:formatCode>0</c:formatCode>
                <c:ptCount val="10"/>
                <c:pt idx="0">
                  <c:v>2053.6723163841807</c:v>
                </c:pt>
                <c:pt idx="1">
                  <c:v>2498.5163204747773</c:v>
                </c:pt>
                <c:pt idx="2">
                  <c:v>1950.920245398773</c:v>
                </c:pt>
                <c:pt idx="3">
                  <c:v>2704.761904761905</c:v>
                </c:pt>
                <c:pt idx="4">
                  <c:v>2266.0818713450294</c:v>
                </c:pt>
                <c:pt idx="5">
                  <c:v>2396.1218836565099</c:v>
                </c:pt>
                <c:pt idx="6">
                  <c:v>1792.7631578947369</c:v>
                </c:pt>
                <c:pt idx="7">
                  <c:v>2211.2676056338028</c:v>
                </c:pt>
                <c:pt idx="8">
                  <c:v>2465.4088050314467</c:v>
                </c:pt>
                <c:pt idx="9">
                  <c:v>2429.7994269340975</c:v>
                </c:pt>
              </c:numCache>
            </c:numRef>
          </c:val>
          <c:smooth val="1"/>
        </c:ser>
        <c:dLbls>
          <c:showLegendKey val="0"/>
          <c:showVal val="0"/>
          <c:showCatName val="0"/>
          <c:showSerName val="0"/>
          <c:showPercent val="0"/>
          <c:showBubbleSize val="0"/>
        </c:dLbls>
        <c:marker val="1"/>
        <c:smooth val="0"/>
        <c:axId val="80360960"/>
        <c:axId val="80359424"/>
      </c:lineChart>
      <c:catAx>
        <c:axId val="80278272"/>
        <c:scaling>
          <c:orientation val="minMax"/>
        </c:scaling>
        <c:delete val="0"/>
        <c:axPos val="b"/>
        <c:numFmt formatCode="General" sourceLinked="1"/>
        <c:majorTickMark val="out"/>
        <c:minorTickMark val="none"/>
        <c:tickLblPos val="nextTo"/>
        <c:crossAx val="80279808"/>
        <c:crosses val="autoZero"/>
        <c:auto val="1"/>
        <c:lblAlgn val="ctr"/>
        <c:lblOffset val="100"/>
        <c:noMultiLvlLbl val="0"/>
      </c:catAx>
      <c:valAx>
        <c:axId val="80279808"/>
        <c:scaling>
          <c:orientation val="minMax"/>
        </c:scaling>
        <c:delete val="0"/>
        <c:axPos val="l"/>
        <c:majorGridlines/>
        <c:numFmt formatCode="General" sourceLinked="1"/>
        <c:majorTickMark val="out"/>
        <c:minorTickMark val="none"/>
        <c:tickLblPos val="nextTo"/>
        <c:crossAx val="80278272"/>
        <c:crosses val="autoZero"/>
        <c:crossBetween val="between"/>
      </c:valAx>
      <c:valAx>
        <c:axId val="80359424"/>
        <c:scaling>
          <c:orientation val="minMax"/>
        </c:scaling>
        <c:delete val="0"/>
        <c:axPos val="r"/>
        <c:numFmt formatCode="0" sourceLinked="1"/>
        <c:majorTickMark val="out"/>
        <c:minorTickMark val="none"/>
        <c:tickLblPos val="nextTo"/>
        <c:crossAx val="80360960"/>
        <c:crosses val="max"/>
        <c:crossBetween val="between"/>
      </c:valAx>
      <c:catAx>
        <c:axId val="80360960"/>
        <c:scaling>
          <c:orientation val="minMax"/>
        </c:scaling>
        <c:delete val="1"/>
        <c:axPos val="b"/>
        <c:numFmt formatCode="General" sourceLinked="1"/>
        <c:majorTickMark val="out"/>
        <c:minorTickMark val="none"/>
        <c:tickLblPos val="nextTo"/>
        <c:crossAx val="80359424"/>
        <c:crosses val="autoZero"/>
        <c:auto val="1"/>
        <c:lblAlgn val="ctr"/>
        <c:lblOffset val="100"/>
        <c:noMultiLvlLbl val="0"/>
      </c:catAx>
    </c:plotArea>
    <c:legend>
      <c:legendPos val="r"/>
      <c:layout>
        <c:manualLayout>
          <c:xMode val="edge"/>
          <c:yMode val="edge"/>
          <c:x val="0.26755068897637796"/>
          <c:y val="0.79431228239327223"/>
          <c:w val="0.45142756984144106"/>
          <c:h val="8.1609305619497571E-2"/>
        </c:manualLayout>
      </c:layout>
      <c:overlay val="0"/>
      <c:spPr>
        <a:solidFill>
          <a:sysClr val="window" lastClr="FFFFFF"/>
        </a:solidFill>
      </c:spPr>
    </c:legend>
    <c:plotVisOnly val="1"/>
    <c:dispBlanksAs val="gap"/>
    <c:showDLblsOverMax val="0"/>
  </c:chart>
  <c:spPr>
    <a:ln>
      <a:noFill/>
    </a:ln>
  </c:sp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8768756323667223E-2"/>
          <c:y val="3.5800139542394381E-2"/>
          <c:w val="0.89682941125958116"/>
          <c:h val="0.88342065735233033"/>
        </c:manualLayout>
      </c:layout>
      <c:barChart>
        <c:barDir val="col"/>
        <c:grouping val="stacked"/>
        <c:varyColors val="0"/>
        <c:ser>
          <c:idx val="2"/>
          <c:order val="2"/>
          <c:tx>
            <c:strRef>
              <c:f>Kõik!$B$114</c:f>
              <c:strCache>
                <c:ptCount val="1"/>
                <c:pt idx="0">
                  <c:v>SR saak</c:v>
                </c:pt>
              </c:strCache>
            </c:strRef>
          </c:tx>
          <c:invertIfNegative val="0"/>
          <c:cat>
            <c:numRef>
              <c:f>Kõik!$C$111:$L$111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Kõik!$C$114:$L$114</c:f>
              <c:numCache>
                <c:formatCode>General</c:formatCode>
                <c:ptCount val="10"/>
                <c:pt idx="0">
                  <c:v>65.599999999999994</c:v>
                </c:pt>
                <c:pt idx="1">
                  <c:v>80.7</c:v>
                </c:pt>
                <c:pt idx="2">
                  <c:v>83.1</c:v>
                </c:pt>
                <c:pt idx="3">
                  <c:v>126.5</c:v>
                </c:pt>
                <c:pt idx="4">
                  <c:v>97.5</c:v>
                </c:pt>
                <c:pt idx="5">
                  <c:v>126.5</c:v>
                </c:pt>
                <c:pt idx="6">
                  <c:v>109.3</c:v>
                </c:pt>
                <c:pt idx="7">
                  <c:v>124.4</c:v>
                </c:pt>
                <c:pt idx="8">
                  <c:v>103.3</c:v>
                </c:pt>
                <c:pt idx="9">
                  <c:v>114.1</c:v>
                </c:pt>
              </c:numCache>
            </c:numRef>
          </c:val>
        </c:ser>
        <c:ser>
          <c:idx val="3"/>
          <c:order val="3"/>
          <c:tx>
            <c:strRef>
              <c:f>Kõik!$B$115</c:f>
              <c:strCache>
                <c:ptCount val="1"/>
                <c:pt idx="0">
                  <c:v>TR saak</c:v>
                </c:pt>
              </c:strCache>
            </c:strRef>
          </c:tx>
          <c:invertIfNegative val="0"/>
          <c:cat>
            <c:numRef>
              <c:f>Kõik!$C$111:$L$111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Kõik!$C$115:$L$115</c:f>
              <c:numCache>
                <c:formatCode>General</c:formatCode>
                <c:ptCount val="10"/>
                <c:pt idx="0">
                  <c:v>3</c:v>
                </c:pt>
                <c:pt idx="1">
                  <c:v>2.4</c:v>
                </c:pt>
                <c:pt idx="2">
                  <c:v>1.5</c:v>
                </c:pt>
                <c:pt idx="3">
                  <c:v>6.8</c:v>
                </c:pt>
                <c:pt idx="4">
                  <c:v>13.6</c:v>
                </c:pt>
                <c:pt idx="5">
                  <c:v>9.5</c:v>
                </c:pt>
                <c:pt idx="6">
                  <c:v>21.7</c:v>
                </c:pt>
                <c:pt idx="7">
                  <c:v>19.8</c:v>
                </c:pt>
                <c:pt idx="8">
                  <c:v>54.5</c:v>
                </c:pt>
                <c:pt idx="9">
                  <c:v>59.8</c:v>
                </c:pt>
              </c:numCache>
            </c:numRef>
          </c:val>
        </c:ser>
        <c:dLbls>
          <c:showLegendKey val="0"/>
          <c:showVal val="0"/>
          <c:showCatName val="0"/>
          <c:showSerName val="0"/>
          <c:showPercent val="0"/>
          <c:showBubbleSize val="0"/>
        </c:dLbls>
        <c:gapWidth val="73"/>
        <c:overlap val="100"/>
        <c:axId val="80392960"/>
        <c:axId val="80394496"/>
      </c:barChart>
      <c:lineChart>
        <c:grouping val="standard"/>
        <c:varyColors val="0"/>
        <c:ser>
          <c:idx val="0"/>
          <c:order val="0"/>
          <c:tx>
            <c:strRef>
              <c:f>Kõik!$B$112</c:f>
              <c:strCache>
                <c:ptCount val="1"/>
                <c:pt idx="0">
                  <c:v>SR kasvupind</c:v>
                </c:pt>
              </c:strCache>
            </c:strRef>
          </c:tx>
          <c:spPr>
            <a:ln w="63500"/>
          </c:spPr>
          <c:marker>
            <c:symbol val="circle"/>
            <c:size val="15"/>
          </c:marker>
          <c:dLbls>
            <c:dLblPos val="ctr"/>
            <c:showLegendKey val="0"/>
            <c:showVal val="1"/>
            <c:showCatName val="0"/>
            <c:showSerName val="0"/>
            <c:showPercent val="0"/>
            <c:showBubbleSize val="0"/>
            <c:showLeaderLines val="0"/>
          </c:dLbls>
          <c:cat>
            <c:numRef>
              <c:f>Kõik!$C$111:$L$111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Kõik!$C$112:$L$112</c:f>
              <c:numCache>
                <c:formatCode>General</c:formatCode>
                <c:ptCount val="10"/>
                <c:pt idx="0">
                  <c:v>48.4</c:v>
                </c:pt>
                <c:pt idx="1">
                  <c:v>45.4</c:v>
                </c:pt>
                <c:pt idx="2">
                  <c:v>61.6</c:v>
                </c:pt>
                <c:pt idx="3">
                  <c:v>70</c:v>
                </c:pt>
                <c:pt idx="4">
                  <c:v>70.400000000000006</c:v>
                </c:pt>
                <c:pt idx="5">
                  <c:v>76.400000000000006</c:v>
                </c:pt>
                <c:pt idx="6">
                  <c:v>85.9</c:v>
                </c:pt>
                <c:pt idx="7">
                  <c:v>77.900000000000006</c:v>
                </c:pt>
                <c:pt idx="8">
                  <c:v>65.7</c:v>
                </c:pt>
                <c:pt idx="9">
                  <c:v>61.8</c:v>
                </c:pt>
              </c:numCache>
            </c:numRef>
          </c:val>
          <c:smooth val="0"/>
        </c:ser>
        <c:ser>
          <c:idx val="1"/>
          <c:order val="1"/>
          <c:tx>
            <c:strRef>
              <c:f>Kõik!$B$113</c:f>
              <c:strCache>
                <c:ptCount val="1"/>
                <c:pt idx="0">
                  <c:v>TR kasvupind</c:v>
                </c:pt>
              </c:strCache>
            </c:strRef>
          </c:tx>
          <c:spPr>
            <a:ln w="50800"/>
          </c:spPr>
          <c:marker>
            <c:symbol val="circle"/>
            <c:size val="15"/>
          </c:marker>
          <c:dLbls>
            <c:dLblPos val="ctr"/>
            <c:showLegendKey val="0"/>
            <c:showVal val="1"/>
            <c:showCatName val="0"/>
            <c:showSerName val="0"/>
            <c:showPercent val="0"/>
            <c:showBubbleSize val="0"/>
            <c:showLeaderLines val="0"/>
          </c:dLbls>
          <c:cat>
            <c:numRef>
              <c:f>Kõik!$C$111:$L$111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Kõik!$C$113:$L$113</c:f>
              <c:numCache>
                <c:formatCode>General</c:formatCode>
                <c:ptCount val="10"/>
                <c:pt idx="0">
                  <c:v>2</c:v>
                </c:pt>
                <c:pt idx="1">
                  <c:v>1.2</c:v>
                </c:pt>
                <c:pt idx="2">
                  <c:v>0.9</c:v>
                </c:pt>
                <c:pt idx="3">
                  <c:v>3.6</c:v>
                </c:pt>
                <c:pt idx="4">
                  <c:v>7.3</c:v>
                </c:pt>
                <c:pt idx="5">
                  <c:v>5.7</c:v>
                </c:pt>
                <c:pt idx="6">
                  <c:v>12.3</c:v>
                </c:pt>
                <c:pt idx="7">
                  <c:v>11.1</c:v>
                </c:pt>
                <c:pt idx="8">
                  <c:v>21.4</c:v>
                </c:pt>
                <c:pt idx="9">
                  <c:v>24.3</c:v>
                </c:pt>
              </c:numCache>
            </c:numRef>
          </c:val>
          <c:smooth val="0"/>
        </c:ser>
        <c:dLbls>
          <c:showLegendKey val="0"/>
          <c:showVal val="0"/>
          <c:showCatName val="0"/>
          <c:showSerName val="0"/>
          <c:showPercent val="0"/>
          <c:showBubbleSize val="0"/>
        </c:dLbls>
        <c:marker val="1"/>
        <c:smooth val="0"/>
        <c:axId val="80392960"/>
        <c:axId val="80394496"/>
      </c:lineChart>
      <c:lineChart>
        <c:grouping val="standard"/>
        <c:varyColors val="0"/>
        <c:ser>
          <c:idx val="4"/>
          <c:order val="4"/>
          <c:tx>
            <c:strRef>
              <c:f>Kõik!$B$116</c:f>
              <c:strCache>
                <c:ptCount val="1"/>
                <c:pt idx="0">
                  <c:v>SR saagikus</c:v>
                </c:pt>
              </c:strCache>
            </c:strRef>
          </c:tx>
          <c:spPr>
            <a:ln w="50800">
              <a:solidFill>
                <a:srgbClr val="FFFF00"/>
              </a:solidFill>
            </a:ln>
          </c:spPr>
          <c:marker>
            <c:symbol val="none"/>
          </c:marker>
          <c:cat>
            <c:numRef>
              <c:f>Kõik!$C$111:$L$111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Kõik!$C$116:$L$116</c:f>
              <c:numCache>
                <c:formatCode>General</c:formatCode>
                <c:ptCount val="10"/>
                <c:pt idx="0">
                  <c:v>1.3560000000000001</c:v>
                </c:pt>
                <c:pt idx="1">
                  <c:v>1.774</c:v>
                </c:pt>
                <c:pt idx="2">
                  <c:v>1.349</c:v>
                </c:pt>
                <c:pt idx="3">
                  <c:v>1.8080000000000001</c:v>
                </c:pt>
                <c:pt idx="4">
                  <c:v>1.385</c:v>
                </c:pt>
                <c:pt idx="5">
                  <c:v>1.657</c:v>
                </c:pt>
                <c:pt idx="6">
                  <c:v>1.274</c:v>
                </c:pt>
                <c:pt idx="7">
                  <c:v>1.597</c:v>
                </c:pt>
                <c:pt idx="8">
                  <c:v>1.5720000000000001</c:v>
                </c:pt>
                <c:pt idx="9">
                  <c:v>1.827</c:v>
                </c:pt>
              </c:numCache>
            </c:numRef>
          </c:val>
          <c:smooth val="1"/>
        </c:ser>
        <c:ser>
          <c:idx val="5"/>
          <c:order val="5"/>
          <c:tx>
            <c:strRef>
              <c:f>Kõik!$B$117</c:f>
              <c:strCache>
                <c:ptCount val="1"/>
                <c:pt idx="0">
                  <c:v>TR saagikus</c:v>
                </c:pt>
              </c:strCache>
            </c:strRef>
          </c:tx>
          <c:spPr>
            <a:ln w="50800"/>
          </c:spPr>
          <c:marker>
            <c:symbol val="none"/>
          </c:marker>
          <c:cat>
            <c:numRef>
              <c:f>Kõik!$C$111:$L$111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Kõik!$C$117:$L$117</c:f>
              <c:numCache>
                <c:formatCode>General</c:formatCode>
                <c:ptCount val="10"/>
                <c:pt idx="0">
                  <c:v>1.496</c:v>
                </c:pt>
                <c:pt idx="1">
                  <c:v>2.0489999999999999</c:v>
                </c:pt>
                <c:pt idx="2">
                  <c:v>1.7430000000000001</c:v>
                </c:pt>
                <c:pt idx="3">
                  <c:v>1.8959999999999999</c:v>
                </c:pt>
                <c:pt idx="4">
                  <c:v>1.871</c:v>
                </c:pt>
                <c:pt idx="5">
                  <c:v>1.659</c:v>
                </c:pt>
                <c:pt idx="6">
                  <c:v>1.7569999999999999</c:v>
                </c:pt>
                <c:pt idx="7">
                  <c:v>1.7829999999999999</c:v>
                </c:pt>
                <c:pt idx="8">
                  <c:v>2.5409999999999999</c:v>
                </c:pt>
                <c:pt idx="9">
                  <c:v>2.46</c:v>
                </c:pt>
              </c:numCache>
            </c:numRef>
          </c:val>
          <c:smooth val="1"/>
        </c:ser>
        <c:dLbls>
          <c:showLegendKey val="0"/>
          <c:showVal val="0"/>
          <c:showCatName val="0"/>
          <c:showSerName val="0"/>
          <c:showPercent val="0"/>
          <c:showBubbleSize val="0"/>
        </c:dLbls>
        <c:marker val="1"/>
        <c:smooth val="0"/>
        <c:axId val="80401920"/>
        <c:axId val="80400384"/>
      </c:lineChart>
      <c:catAx>
        <c:axId val="80392960"/>
        <c:scaling>
          <c:orientation val="minMax"/>
        </c:scaling>
        <c:delete val="0"/>
        <c:axPos val="b"/>
        <c:numFmt formatCode="General" sourceLinked="1"/>
        <c:majorTickMark val="out"/>
        <c:minorTickMark val="none"/>
        <c:tickLblPos val="nextTo"/>
        <c:crossAx val="80394496"/>
        <c:crosses val="autoZero"/>
        <c:auto val="1"/>
        <c:lblAlgn val="ctr"/>
        <c:lblOffset val="100"/>
        <c:noMultiLvlLbl val="0"/>
      </c:catAx>
      <c:valAx>
        <c:axId val="80394496"/>
        <c:scaling>
          <c:orientation val="minMax"/>
        </c:scaling>
        <c:delete val="0"/>
        <c:axPos val="l"/>
        <c:majorGridlines/>
        <c:numFmt formatCode="General" sourceLinked="1"/>
        <c:majorTickMark val="out"/>
        <c:minorTickMark val="none"/>
        <c:tickLblPos val="nextTo"/>
        <c:crossAx val="80392960"/>
        <c:crosses val="autoZero"/>
        <c:crossBetween val="between"/>
      </c:valAx>
      <c:valAx>
        <c:axId val="80400384"/>
        <c:scaling>
          <c:orientation val="minMax"/>
          <c:max val="2.7"/>
          <c:min val="0"/>
        </c:scaling>
        <c:delete val="0"/>
        <c:axPos val="r"/>
        <c:numFmt formatCode="General" sourceLinked="1"/>
        <c:majorTickMark val="out"/>
        <c:minorTickMark val="none"/>
        <c:tickLblPos val="nextTo"/>
        <c:crossAx val="80401920"/>
        <c:crosses val="max"/>
        <c:crossBetween val="between"/>
      </c:valAx>
      <c:catAx>
        <c:axId val="80401920"/>
        <c:scaling>
          <c:orientation val="minMax"/>
        </c:scaling>
        <c:delete val="1"/>
        <c:axPos val="b"/>
        <c:numFmt formatCode="General" sourceLinked="1"/>
        <c:majorTickMark val="out"/>
        <c:minorTickMark val="none"/>
        <c:tickLblPos val="nextTo"/>
        <c:crossAx val="80400384"/>
        <c:crosses val="autoZero"/>
        <c:auto val="1"/>
        <c:lblAlgn val="ctr"/>
        <c:lblOffset val="100"/>
        <c:noMultiLvlLbl val="0"/>
      </c:catAx>
    </c:plotArea>
    <c:legend>
      <c:legendPos val="r"/>
      <c:layout>
        <c:manualLayout>
          <c:xMode val="edge"/>
          <c:yMode val="edge"/>
          <c:x val="0.23823553350283561"/>
          <c:y val="2.1971071866364288E-2"/>
          <c:w val="0.46294941828115382"/>
          <c:h val="0.21442151349671507"/>
        </c:manualLayout>
      </c:layout>
      <c:overlay val="0"/>
      <c:spPr>
        <a:solidFill>
          <a:schemeClr val="bg1"/>
        </a:solidFill>
      </c:spPr>
    </c:legend>
    <c:plotVisOnly val="1"/>
    <c:dispBlanksAs val="gap"/>
    <c:showDLblsOverMax val="0"/>
  </c:chart>
  <c:spPr>
    <a:ln>
      <a:solidFill>
        <a:schemeClr val="bg1"/>
      </a:solidFill>
    </a:ln>
  </c:sp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988407699037624E-2"/>
          <c:y val="5.1400554097404488E-2"/>
          <c:w val="0.85855571850986978"/>
          <c:h val="0.8483028776440158"/>
        </c:manualLayout>
      </c:layout>
      <c:barChart>
        <c:barDir val="col"/>
        <c:grouping val="clustered"/>
        <c:varyColors val="0"/>
        <c:ser>
          <c:idx val="1"/>
          <c:order val="1"/>
          <c:tx>
            <c:strRef>
              <c:f>Kõik!$A$142</c:f>
              <c:strCache>
                <c:ptCount val="1"/>
                <c:pt idx="0">
                  <c:v>Saak</c:v>
                </c:pt>
              </c:strCache>
            </c:strRef>
          </c:tx>
          <c:spPr>
            <a:solidFill>
              <a:schemeClr val="accent1">
                <a:lumMod val="60000"/>
                <a:lumOff val="40000"/>
              </a:schemeClr>
            </a:solidFill>
          </c:spPr>
          <c:invertIfNegative val="0"/>
          <c:cat>
            <c:numRef>
              <c:f>Kõik!$B$140:$K$140</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Kõik!$B$142:$K$142</c:f>
              <c:numCache>
                <c:formatCode>General</c:formatCode>
                <c:ptCount val="10"/>
                <c:pt idx="0">
                  <c:v>3.3</c:v>
                </c:pt>
                <c:pt idx="1">
                  <c:v>5.7</c:v>
                </c:pt>
                <c:pt idx="2">
                  <c:v>5.5</c:v>
                </c:pt>
                <c:pt idx="3">
                  <c:v>9.5</c:v>
                </c:pt>
                <c:pt idx="4">
                  <c:v>3.3</c:v>
                </c:pt>
                <c:pt idx="5">
                  <c:v>7.6</c:v>
                </c:pt>
                <c:pt idx="6">
                  <c:v>12.6</c:v>
                </c:pt>
                <c:pt idx="7">
                  <c:v>15.5</c:v>
                </c:pt>
                <c:pt idx="8">
                  <c:v>12.9</c:v>
                </c:pt>
                <c:pt idx="9">
                  <c:v>32.799999999999997</c:v>
                </c:pt>
              </c:numCache>
            </c:numRef>
          </c:val>
        </c:ser>
        <c:dLbls>
          <c:showLegendKey val="0"/>
          <c:showVal val="0"/>
          <c:showCatName val="0"/>
          <c:showSerName val="0"/>
          <c:showPercent val="0"/>
          <c:showBubbleSize val="0"/>
        </c:dLbls>
        <c:gapWidth val="54"/>
        <c:axId val="80418304"/>
        <c:axId val="80419840"/>
      </c:barChart>
      <c:lineChart>
        <c:grouping val="standard"/>
        <c:varyColors val="0"/>
        <c:ser>
          <c:idx val="0"/>
          <c:order val="0"/>
          <c:tx>
            <c:strRef>
              <c:f>Kõik!$A$141</c:f>
              <c:strCache>
                <c:ptCount val="1"/>
                <c:pt idx="0">
                  <c:v>Kasvupind</c:v>
                </c:pt>
              </c:strCache>
            </c:strRef>
          </c:tx>
          <c:spPr>
            <a:ln w="50800">
              <a:solidFill>
                <a:schemeClr val="accent2">
                  <a:lumMod val="40000"/>
                  <a:lumOff val="60000"/>
                </a:schemeClr>
              </a:solidFill>
            </a:ln>
          </c:spPr>
          <c:marker>
            <c:symbol val="circle"/>
            <c:size val="15"/>
            <c:spPr>
              <a:solidFill>
                <a:schemeClr val="accent2">
                  <a:lumMod val="40000"/>
                  <a:lumOff val="60000"/>
                </a:schemeClr>
              </a:solidFill>
              <a:ln>
                <a:solidFill>
                  <a:schemeClr val="accent2">
                    <a:lumMod val="40000"/>
                    <a:lumOff val="60000"/>
                  </a:schemeClr>
                </a:solidFill>
              </a:ln>
            </c:spPr>
          </c:marker>
          <c:dLbls>
            <c:dLblPos val="ctr"/>
            <c:showLegendKey val="0"/>
            <c:showVal val="1"/>
            <c:showCatName val="0"/>
            <c:showSerName val="0"/>
            <c:showPercent val="0"/>
            <c:showBubbleSize val="0"/>
            <c:showLeaderLines val="0"/>
          </c:dLbls>
          <c:cat>
            <c:numRef>
              <c:f>Kõik!$B$140:$K$140</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Kõik!$B$141:$K$141</c:f>
              <c:numCache>
                <c:formatCode>General</c:formatCode>
                <c:ptCount val="10"/>
                <c:pt idx="0">
                  <c:v>4.3</c:v>
                </c:pt>
                <c:pt idx="1">
                  <c:v>4.4000000000000004</c:v>
                </c:pt>
                <c:pt idx="2">
                  <c:v>4.5999999999999996</c:v>
                </c:pt>
                <c:pt idx="3">
                  <c:v>5.7</c:v>
                </c:pt>
                <c:pt idx="4">
                  <c:v>4.8</c:v>
                </c:pt>
                <c:pt idx="5">
                  <c:v>4.9000000000000004</c:v>
                </c:pt>
                <c:pt idx="6">
                  <c:v>7.3</c:v>
                </c:pt>
                <c:pt idx="7">
                  <c:v>8.5</c:v>
                </c:pt>
                <c:pt idx="8">
                  <c:v>11</c:v>
                </c:pt>
                <c:pt idx="9">
                  <c:v>14.2</c:v>
                </c:pt>
              </c:numCache>
            </c:numRef>
          </c:val>
          <c:smooth val="0"/>
        </c:ser>
        <c:dLbls>
          <c:showLegendKey val="0"/>
          <c:showVal val="0"/>
          <c:showCatName val="0"/>
          <c:showSerName val="0"/>
          <c:showPercent val="0"/>
          <c:showBubbleSize val="0"/>
        </c:dLbls>
        <c:marker val="1"/>
        <c:smooth val="0"/>
        <c:axId val="80418304"/>
        <c:axId val="80419840"/>
      </c:lineChart>
      <c:lineChart>
        <c:grouping val="standard"/>
        <c:varyColors val="0"/>
        <c:ser>
          <c:idx val="2"/>
          <c:order val="2"/>
          <c:tx>
            <c:strRef>
              <c:f>Kõik!$A$143</c:f>
              <c:strCache>
                <c:ptCount val="1"/>
                <c:pt idx="0">
                  <c:v>Saagikus</c:v>
                </c:pt>
              </c:strCache>
            </c:strRef>
          </c:tx>
          <c:spPr>
            <a:ln w="50800">
              <a:solidFill>
                <a:schemeClr val="accent3"/>
              </a:solidFill>
            </a:ln>
          </c:spPr>
          <c:marker>
            <c:symbol val="none"/>
          </c:marker>
          <c:cat>
            <c:numRef>
              <c:f>Kõik!$B$140:$K$140</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Kõik!$B$143:$K$143</c:f>
              <c:numCache>
                <c:formatCode>General</c:formatCode>
                <c:ptCount val="10"/>
                <c:pt idx="0">
                  <c:v>0.75700000000000001</c:v>
                </c:pt>
                <c:pt idx="1">
                  <c:v>1.282</c:v>
                </c:pt>
                <c:pt idx="2">
                  <c:v>1.198</c:v>
                </c:pt>
                <c:pt idx="3">
                  <c:v>1.6679999999999999</c:v>
                </c:pt>
                <c:pt idx="4">
                  <c:v>0.69099999999999995</c:v>
                </c:pt>
                <c:pt idx="5">
                  <c:v>1.5469999999999999</c:v>
                </c:pt>
                <c:pt idx="6">
                  <c:v>1.7130000000000001</c:v>
                </c:pt>
                <c:pt idx="7">
                  <c:v>1.8109999999999999</c:v>
                </c:pt>
                <c:pt idx="8">
                  <c:v>1.179</c:v>
                </c:pt>
                <c:pt idx="9">
                  <c:v>2.3119999999999998</c:v>
                </c:pt>
              </c:numCache>
            </c:numRef>
          </c:val>
          <c:smooth val="1"/>
        </c:ser>
        <c:dLbls>
          <c:showLegendKey val="0"/>
          <c:showVal val="0"/>
          <c:showCatName val="0"/>
          <c:showSerName val="0"/>
          <c:showPercent val="0"/>
          <c:showBubbleSize val="0"/>
        </c:dLbls>
        <c:marker val="1"/>
        <c:smooth val="0"/>
        <c:axId val="80435456"/>
        <c:axId val="80433920"/>
      </c:lineChart>
      <c:catAx>
        <c:axId val="80418304"/>
        <c:scaling>
          <c:orientation val="minMax"/>
        </c:scaling>
        <c:delete val="0"/>
        <c:axPos val="b"/>
        <c:numFmt formatCode="General" sourceLinked="1"/>
        <c:majorTickMark val="out"/>
        <c:minorTickMark val="none"/>
        <c:tickLblPos val="nextTo"/>
        <c:crossAx val="80419840"/>
        <c:crosses val="autoZero"/>
        <c:auto val="1"/>
        <c:lblAlgn val="ctr"/>
        <c:lblOffset val="100"/>
        <c:noMultiLvlLbl val="0"/>
      </c:catAx>
      <c:valAx>
        <c:axId val="80419840"/>
        <c:scaling>
          <c:orientation val="minMax"/>
        </c:scaling>
        <c:delete val="0"/>
        <c:axPos val="l"/>
        <c:majorGridlines/>
        <c:numFmt formatCode="General" sourceLinked="1"/>
        <c:majorTickMark val="out"/>
        <c:minorTickMark val="none"/>
        <c:tickLblPos val="nextTo"/>
        <c:crossAx val="80418304"/>
        <c:crosses val="autoZero"/>
        <c:crossBetween val="between"/>
      </c:valAx>
      <c:valAx>
        <c:axId val="80433920"/>
        <c:scaling>
          <c:orientation val="minMax"/>
        </c:scaling>
        <c:delete val="0"/>
        <c:axPos val="r"/>
        <c:numFmt formatCode="General" sourceLinked="1"/>
        <c:majorTickMark val="out"/>
        <c:minorTickMark val="none"/>
        <c:tickLblPos val="nextTo"/>
        <c:crossAx val="80435456"/>
        <c:crosses val="max"/>
        <c:crossBetween val="between"/>
      </c:valAx>
      <c:catAx>
        <c:axId val="80435456"/>
        <c:scaling>
          <c:orientation val="minMax"/>
        </c:scaling>
        <c:delete val="1"/>
        <c:axPos val="b"/>
        <c:numFmt formatCode="General" sourceLinked="1"/>
        <c:majorTickMark val="out"/>
        <c:minorTickMark val="none"/>
        <c:tickLblPos val="nextTo"/>
        <c:crossAx val="80433920"/>
        <c:crosses val="autoZero"/>
        <c:auto val="1"/>
        <c:lblAlgn val="ctr"/>
        <c:lblOffset val="100"/>
        <c:noMultiLvlLbl val="0"/>
      </c:catAx>
    </c:plotArea>
    <c:legend>
      <c:legendPos val="r"/>
      <c:layout>
        <c:manualLayout>
          <c:xMode val="edge"/>
          <c:yMode val="edge"/>
          <c:x val="0.23505080852235244"/>
          <c:y val="5.6348862625926727E-2"/>
          <c:w val="0.47423687664041997"/>
          <c:h val="0.14004046369203849"/>
        </c:manualLayout>
      </c:layout>
      <c:overlay val="0"/>
    </c:legend>
    <c:plotVisOnly val="1"/>
    <c:dispBlanksAs val="gap"/>
    <c:showDLblsOverMax val="0"/>
  </c:chart>
  <c:spPr>
    <a:ln>
      <a:solidFill>
        <a:schemeClr val="bg1"/>
      </a:solidFill>
    </a:ln>
  </c:sp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550394180617728E-2"/>
          <c:y val="5.1400554097404488E-2"/>
          <c:w val="0.83278047282480916"/>
          <c:h val="0.8326195683872849"/>
        </c:manualLayout>
      </c:layout>
      <c:barChart>
        <c:barDir val="col"/>
        <c:grouping val="clustered"/>
        <c:varyColors val="0"/>
        <c:ser>
          <c:idx val="1"/>
          <c:order val="1"/>
          <c:tx>
            <c:strRef>
              <c:f>Sheet1!$H$5</c:f>
              <c:strCache>
                <c:ptCount val="1"/>
                <c:pt idx="0">
                  <c:v>Saak</c:v>
                </c:pt>
              </c:strCache>
            </c:strRef>
          </c:tx>
          <c:invertIfNegative val="0"/>
          <c:cat>
            <c:numRef>
              <c:f>Sheet1!$I$3:$O$3</c:f>
              <c:numCache>
                <c:formatCode>General</c:formatCode>
                <c:ptCount val="7"/>
                <c:pt idx="0">
                  <c:v>2006</c:v>
                </c:pt>
                <c:pt idx="1">
                  <c:v>2007</c:v>
                </c:pt>
                <c:pt idx="2">
                  <c:v>2008</c:v>
                </c:pt>
                <c:pt idx="3">
                  <c:v>2009</c:v>
                </c:pt>
                <c:pt idx="4">
                  <c:v>2010</c:v>
                </c:pt>
                <c:pt idx="5">
                  <c:v>2011</c:v>
                </c:pt>
                <c:pt idx="6">
                  <c:v>2012</c:v>
                </c:pt>
              </c:numCache>
            </c:numRef>
          </c:cat>
          <c:val>
            <c:numRef>
              <c:f>Sheet1!$I$5:$O$5</c:f>
              <c:numCache>
                <c:formatCode>0.0</c:formatCode>
                <c:ptCount val="7"/>
                <c:pt idx="0">
                  <c:v>7.3380000000000001</c:v>
                </c:pt>
                <c:pt idx="1">
                  <c:v>11.148</c:v>
                </c:pt>
                <c:pt idx="2">
                  <c:v>14.670999999999999</c:v>
                </c:pt>
                <c:pt idx="3">
                  <c:v>17.122</c:v>
                </c:pt>
                <c:pt idx="4">
                  <c:v>14.167999999999999</c:v>
                </c:pt>
                <c:pt idx="5">
                  <c:v>23.132000000000001</c:v>
                </c:pt>
                <c:pt idx="6">
                  <c:v>34.146999999999998</c:v>
                </c:pt>
              </c:numCache>
            </c:numRef>
          </c:val>
        </c:ser>
        <c:dLbls>
          <c:showLegendKey val="0"/>
          <c:showVal val="0"/>
          <c:showCatName val="0"/>
          <c:showSerName val="0"/>
          <c:showPercent val="0"/>
          <c:showBubbleSize val="0"/>
        </c:dLbls>
        <c:gapWidth val="50"/>
        <c:axId val="80472320"/>
        <c:axId val="80482304"/>
      </c:barChart>
      <c:lineChart>
        <c:grouping val="standard"/>
        <c:varyColors val="0"/>
        <c:ser>
          <c:idx val="0"/>
          <c:order val="0"/>
          <c:tx>
            <c:strRef>
              <c:f>Sheet1!$H$4</c:f>
              <c:strCache>
                <c:ptCount val="1"/>
                <c:pt idx="0">
                  <c:v>Kasvupind</c:v>
                </c:pt>
              </c:strCache>
            </c:strRef>
          </c:tx>
          <c:spPr>
            <a:ln w="50800"/>
          </c:spPr>
          <c:marker>
            <c:symbol val="circle"/>
            <c:size val="15"/>
          </c:marker>
          <c:dLbls>
            <c:dLblPos val="ctr"/>
            <c:showLegendKey val="0"/>
            <c:showVal val="1"/>
            <c:showCatName val="0"/>
            <c:showSerName val="0"/>
            <c:showPercent val="0"/>
            <c:showBubbleSize val="0"/>
            <c:showLeaderLines val="0"/>
          </c:dLbls>
          <c:cat>
            <c:numRef>
              <c:f>Sheet1!$I$3:$O$3</c:f>
              <c:numCache>
                <c:formatCode>General</c:formatCode>
                <c:ptCount val="7"/>
                <c:pt idx="0">
                  <c:v>2006</c:v>
                </c:pt>
                <c:pt idx="1">
                  <c:v>2007</c:v>
                </c:pt>
                <c:pt idx="2">
                  <c:v>2008</c:v>
                </c:pt>
                <c:pt idx="3">
                  <c:v>2009</c:v>
                </c:pt>
                <c:pt idx="4">
                  <c:v>2010</c:v>
                </c:pt>
                <c:pt idx="5">
                  <c:v>2011</c:v>
                </c:pt>
                <c:pt idx="6">
                  <c:v>2012</c:v>
                </c:pt>
              </c:numCache>
            </c:numRef>
          </c:cat>
          <c:val>
            <c:numRef>
              <c:f>Sheet1!$I$4:$O$4</c:f>
              <c:numCache>
                <c:formatCode>0.0</c:formatCode>
                <c:ptCount val="7"/>
                <c:pt idx="0">
                  <c:v>5.56</c:v>
                </c:pt>
                <c:pt idx="1">
                  <c:v>6.681</c:v>
                </c:pt>
                <c:pt idx="2">
                  <c:v>9.266</c:v>
                </c:pt>
                <c:pt idx="3">
                  <c:v>10.568</c:v>
                </c:pt>
                <c:pt idx="4">
                  <c:v>11.151999999999999</c:v>
                </c:pt>
                <c:pt idx="5">
                  <c:v>15.117000000000001</c:v>
                </c:pt>
                <c:pt idx="6">
                  <c:v>20.006</c:v>
                </c:pt>
              </c:numCache>
            </c:numRef>
          </c:val>
          <c:smooth val="0"/>
        </c:ser>
        <c:dLbls>
          <c:showLegendKey val="0"/>
          <c:showVal val="0"/>
          <c:showCatName val="0"/>
          <c:showSerName val="0"/>
          <c:showPercent val="0"/>
          <c:showBubbleSize val="0"/>
        </c:dLbls>
        <c:marker val="1"/>
        <c:smooth val="0"/>
        <c:axId val="80472320"/>
        <c:axId val="80482304"/>
      </c:lineChart>
      <c:lineChart>
        <c:grouping val="standard"/>
        <c:varyColors val="0"/>
        <c:ser>
          <c:idx val="2"/>
          <c:order val="2"/>
          <c:tx>
            <c:strRef>
              <c:f>Sheet1!$H$6</c:f>
              <c:strCache>
                <c:ptCount val="1"/>
                <c:pt idx="0">
                  <c:v>Saagikus</c:v>
                </c:pt>
              </c:strCache>
            </c:strRef>
          </c:tx>
          <c:spPr>
            <a:ln w="50800"/>
          </c:spPr>
          <c:marker>
            <c:symbol val="none"/>
          </c:marker>
          <c:cat>
            <c:numRef>
              <c:f>Sheet1!$I$3:$O$3</c:f>
              <c:numCache>
                <c:formatCode>General</c:formatCode>
                <c:ptCount val="7"/>
                <c:pt idx="0">
                  <c:v>2006</c:v>
                </c:pt>
                <c:pt idx="1">
                  <c:v>2007</c:v>
                </c:pt>
                <c:pt idx="2">
                  <c:v>2008</c:v>
                </c:pt>
                <c:pt idx="3">
                  <c:v>2009</c:v>
                </c:pt>
                <c:pt idx="4">
                  <c:v>2010</c:v>
                </c:pt>
                <c:pt idx="5">
                  <c:v>2011</c:v>
                </c:pt>
                <c:pt idx="6">
                  <c:v>2012</c:v>
                </c:pt>
              </c:numCache>
            </c:numRef>
          </c:cat>
          <c:val>
            <c:numRef>
              <c:f>Sheet1!$I$6:$O$6</c:f>
              <c:numCache>
                <c:formatCode>0</c:formatCode>
                <c:ptCount val="7"/>
                <c:pt idx="0">
                  <c:v>1319.7841726618703</c:v>
                </c:pt>
                <c:pt idx="1">
                  <c:v>1668.6124831612035</c:v>
                </c:pt>
                <c:pt idx="2">
                  <c:v>1583.3153464278005</c:v>
                </c:pt>
                <c:pt idx="3">
                  <c:v>1620.1741105223316</c:v>
                </c:pt>
                <c:pt idx="4">
                  <c:v>1270.4447632711622</c:v>
                </c:pt>
                <c:pt idx="5">
                  <c:v>1530.1977905669114</c:v>
                </c:pt>
                <c:pt idx="6">
                  <c:v>1706.8379486154154</c:v>
                </c:pt>
              </c:numCache>
            </c:numRef>
          </c:val>
          <c:smooth val="1"/>
        </c:ser>
        <c:dLbls>
          <c:showLegendKey val="0"/>
          <c:showVal val="0"/>
          <c:showCatName val="0"/>
          <c:showSerName val="0"/>
          <c:showPercent val="0"/>
          <c:showBubbleSize val="0"/>
        </c:dLbls>
        <c:marker val="1"/>
        <c:smooth val="0"/>
        <c:axId val="80485376"/>
        <c:axId val="80483840"/>
      </c:lineChart>
      <c:catAx>
        <c:axId val="80472320"/>
        <c:scaling>
          <c:orientation val="minMax"/>
        </c:scaling>
        <c:delete val="0"/>
        <c:axPos val="b"/>
        <c:numFmt formatCode="General" sourceLinked="1"/>
        <c:majorTickMark val="out"/>
        <c:minorTickMark val="none"/>
        <c:tickLblPos val="nextTo"/>
        <c:crossAx val="80482304"/>
        <c:crosses val="autoZero"/>
        <c:auto val="1"/>
        <c:lblAlgn val="ctr"/>
        <c:lblOffset val="100"/>
        <c:noMultiLvlLbl val="0"/>
      </c:catAx>
      <c:valAx>
        <c:axId val="80482304"/>
        <c:scaling>
          <c:orientation val="minMax"/>
        </c:scaling>
        <c:delete val="0"/>
        <c:axPos val="l"/>
        <c:majorGridlines/>
        <c:numFmt formatCode="0.0" sourceLinked="1"/>
        <c:majorTickMark val="out"/>
        <c:minorTickMark val="none"/>
        <c:tickLblPos val="nextTo"/>
        <c:crossAx val="80472320"/>
        <c:crosses val="autoZero"/>
        <c:crossBetween val="between"/>
      </c:valAx>
      <c:valAx>
        <c:axId val="80483840"/>
        <c:scaling>
          <c:orientation val="minMax"/>
        </c:scaling>
        <c:delete val="0"/>
        <c:axPos val="r"/>
        <c:numFmt formatCode="0" sourceLinked="1"/>
        <c:majorTickMark val="out"/>
        <c:minorTickMark val="none"/>
        <c:tickLblPos val="nextTo"/>
        <c:crossAx val="80485376"/>
        <c:crosses val="max"/>
        <c:crossBetween val="between"/>
      </c:valAx>
      <c:catAx>
        <c:axId val="80485376"/>
        <c:scaling>
          <c:orientation val="minMax"/>
        </c:scaling>
        <c:delete val="1"/>
        <c:axPos val="b"/>
        <c:numFmt formatCode="General" sourceLinked="1"/>
        <c:majorTickMark val="out"/>
        <c:minorTickMark val="none"/>
        <c:tickLblPos val="nextTo"/>
        <c:crossAx val="80483840"/>
        <c:crosses val="autoZero"/>
        <c:auto val="1"/>
        <c:lblAlgn val="ctr"/>
        <c:lblOffset val="100"/>
        <c:noMultiLvlLbl val="0"/>
      </c:catAx>
    </c:plotArea>
    <c:legend>
      <c:legendPos val="r"/>
      <c:layout>
        <c:manualLayout>
          <c:xMode val="edge"/>
          <c:yMode val="edge"/>
          <c:x val="0.12809667541557304"/>
          <c:y val="0.37442403032954213"/>
          <c:w val="0.48301443569553804"/>
          <c:h val="7.0596019247594066E-2"/>
        </c:manualLayout>
      </c:layout>
      <c:overlay val="0"/>
      <c:spPr>
        <a:solidFill>
          <a:schemeClr val="bg1"/>
        </a:solidFill>
      </c:spPr>
    </c:legend>
    <c:plotVisOnly val="1"/>
    <c:dispBlanksAs val="gap"/>
    <c:showDLblsOverMax val="0"/>
  </c:chart>
  <c:spPr>
    <a:ln>
      <a:solidFill>
        <a:schemeClr val="bg1"/>
      </a:solidFill>
    </a:ln>
  </c:spPr>
  <c:txPr>
    <a:bodyPr/>
    <a:lstStyle/>
    <a:p>
      <a:pPr>
        <a:defRPr sz="1000"/>
      </a:pPr>
      <a:endParaRPr lang="et-EE"/>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'joonis 1'!$A$4</c:f>
              <c:strCache>
                <c:ptCount val="1"/>
                <c:pt idx="0">
                  <c:v>Kogus (t)</c:v>
                </c:pt>
              </c:strCache>
            </c:strRef>
          </c:tx>
          <c:marker>
            <c:symbol val="none"/>
          </c:marker>
          <c:cat>
            <c:strRef>
              <c:f>'joonis 1'!$B$3:$N$3</c:f>
              <c:strCache>
                <c:ptCount val="13"/>
                <c:pt idx="0">
                  <c:v>1999/2000</c:v>
                </c:pt>
                <c:pt idx="1">
                  <c:v>2000/2001</c:v>
                </c:pt>
                <c:pt idx="2">
                  <c:v>2001/2002</c:v>
                </c:pt>
                <c:pt idx="3">
                  <c:v>2002/2003</c:v>
                </c:pt>
                <c:pt idx="4">
                  <c:v>2003/2004</c:v>
                </c:pt>
                <c:pt idx="5">
                  <c:v>2004/2005</c:v>
                </c:pt>
                <c:pt idx="6">
                  <c:v>2005/2006</c:v>
                </c:pt>
                <c:pt idx="7">
                  <c:v>2006/2007</c:v>
                </c:pt>
                <c:pt idx="8">
                  <c:v>2007/2008</c:v>
                </c:pt>
                <c:pt idx="9">
                  <c:v>2008/2009</c:v>
                </c:pt>
                <c:pt idx="10">
                  <c:v>2009/2010</c:v>
                </c:pt>
                <c:pt idx="11">
                  <c:v>2010/2011</c:v>
                </c:pt>
                <c:pt idx="12">
                  <c:v>2011/2012</c:v>
                </c:pt>
              </c:strCache>
            </c:strRef>
          </c:cat>
          <c:val>
            <c:numRef>
              <c:f>'joonis 1'!$B$4:$N$4</c:f>
              <c:numCache>
                <c:formatCode>0</c:formatCode>
                <c:ptCount val="13"/>
                <c:pt idx="0">
                  <c:v>5774.7510000000002</c:v>
                </c:pt>
                <c:pt idx="1">
                  <c:v>8090.6610000000001</c:v>
                </c:pt>
                <c:pt idx="2">
                  <c:v>8556.5049999999992</c:v>
                </c:pt>
                <c:pt idx="3">
                  <c:v>14215.562</c:v>
                </c:pt>
                <c:pt idx="4">
                  <c:v>13675.42</c:v>
                </c:pt>
                <c:pt idx="5">
                  <c:v>14026.762000000001</c:v>
                </c:pt>
                <c:pt idx="6">
                  <c:v>17084.955000000002</c:v>
                </c:pt>
                <c:pt idx="7">
                  <c:v>6877.875</c:v>
                </c:pt>
                <c:pt idx="8">
                  <c:v>10812.64</c:v>
                </c:pt>
                <c:pt idx="9">
                  <c:v>7675.82</c:v>
                </c:pt>
                <c:pt idx="10">
                  <c:v>13004.956</c:v>
                </c:pt>
                <c:pt idx="11">
                  <c:v>11500.64</c:v>
                </c:pt>
                <c:pt idx="12">
                  <c:v>14573.959000000001</c:v>
                </c:pt>
              </c:numCache>
            </c:numRef>
          </c:val>
          <c:smooth val="0"/>
        </c:ser>
        <c:ser>
          <c:idx val="1"/>
          <c:order val="1"/>
          <c:tx>
            <c:strRef>
              <c:f>'joonis 1'!$A$5</c:f>
              <c:strCache>
                <c:ptCount val="1"/>
                <c:pt idx="0">
                  <c:v>Pind (ha)</c:v>
                </c:pt>
              </c:strCache>
            </c:strRef>
          </c:tx>
          <c:spPr>
            <a:ln>
              <a:solidFill>
                <a:srgbClr val="00B050"/>
              </a:solidFill>
            </a:ln>
          </c:spPr>
          <c:marker>
            <c:symbol val="none"/>
          </c:marker>
          <c:cat>
            <c:strRef>
              <c:f>'joonis 1'!$B$3:$N$3</c:f>
              <c:strCache>
                <c:ptCount val="13"/>
                <c:pt idx="0">
                  <c:v>1999/2000</c:v>
                </c:pt>
                <c:pt idx="1">
                  <c:v>2000/2001</c:v>
                </c:pt>
                <c:pt idx="2">
                  <c:v>2001/2002</c:v>
                </c:pt>
                <c:pt idx="3">
                  <c:v>2002/2003</c:v>
                </c:pt>
                <c:pt idx="4">
                  <c:v>2003/2004</c:v>
                </c:pt>
                <c:pt idx="5">
                  <c:v>2004/2005</c:v>
                </c:pt>
                <c:pt idx="6">
                  <c:v>2005/2006</c:v>
                </c:pt>
                <c:pt idx="7">
                  <c:v>2006/2007</c:v>
                </c:pt>
                <c:pt idx="8">
                  <c:v>2007/2008</c:v>
                </c:pt>
                <c:pt idx="9">
                  <c:v>2008/2009</c:v>
                </c:pt>
                <c:pt idx="10">
                  <c:v>2009/2010</c:v>
                </c:pt>
                <c:pt idx="11">
                  <c:v>2010/2011</c:v>
                </c:pt>
                <c:pt idx="12">
                  <c:v>2011/2012</c:v>
                </c:pt>
              </c:strCache>
            </c:strRef>
          </c:cat>
          <c:val>
            <c:numRef>
              <c:f>'joonis 1'!$B$5:$N$5</c:f>
              <c:numCache>
                <c:formatCode>0</c:formatCode>
                <c:ptCount val="13"/>
                <c:pt idx="0">
                  <c:v>4693</c:v>
                </c:pt>
                <c:pt idx="1">
                  <c:v>4904</c:v>
                </c:pt>
                <c:pt idx="2">
                  <c:v>6713</c:v>
                </c:pt>
                <c:pt idx="3">
                  <c:v>7243</c:v>
                </c:pt>
                <c:pt idx="4">
                  <c:v>9444</c:v>
                </c:pt>
                <c:pt idx="5">
                  <c:v>9673</c:v>
                </c:pt>
                <c:pt idx="6">
                  <c:v>7694</c:v>
                </c:pt>
                <c:pt idx="7">
                  <c:v>3750.5</c:v>
                </c:pt>
                <c:pt idx="8">
                  <c:v>4369</c:v>
                </c:pt>
                <c:pt idx="9">
                  <c:v>5547</c:v>
                </c:pt>
                <c:pt idx="10">
                  <c:v>6070</c:v>
                </c:pt>
                <c:pt idx="11">
                  <c:v>4796</c:v>
                </c:pt>
                <c:pt idx="12">
                  <c:v>6035.9199999999992</c:v>
                </c:pt>
              </c:numCache>
            </c:numRef>
          </c:val>
          <c:smooth val="0"/>
        </c:ser>
        <c:dLbls>
          <c:showLegendKey val="0"/>
          <c:showVal val="0"/>
          <c:showCatName val="0"/>
          <c:showSerName val="0"/>
          <c:showPercent val="0"/>
          <c:showBubbleSize val="0"/>
        </c:dLbls>
        <c:marker val="1"/>
        <c:smooth val="0"/>
        <c:axId val="80511360"/>
        <c:axId val="80512896"/>
      </c:lineChart>
      <c:catAx>
        <c:axId val="80511360"/>
        <c:scaling>
          <c:orientation val="minMax"/>
        </c:scaling>
        <c:delete val="0"/>
        <c:axPos val="b"/>
        <c:majorTickMark val="none"/>
        <c:minorTickMark val="none"/>
        <c:tickLblPos val="nextTo"/>
        <c:crossAx val="80512896"/>
        <c:crosses val="autoZero"/>
        <c:auto val="1"/>
        <c:lblAlgn val="ctr"/>
        <c:lblOffset val="100"/>
        <c:noMultiLvlLbl val="0"/>
      </c:catAx>
      <c:valAx>
        <c:axId val="80512896"/>
        <c:scaling>
          <c:orientation val="minMax"/>
        </c:scaling>
        <c:delete val="0"/>
        <c:axPos val="l"/>
        <c:majorGridlines/>
        <c:numFmt formatCode="0" sourceLinked="1"/>
        <c:majorTickMark val="none"/>
        <c:minorTickMark val="none"/>
        <c:tickLblPos val="nextTo"/>
        <c:crossAx val="80511360"/>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sz="1000"/>
      </a:pPr>
      <a:endParaRPr lang="et-EE"/>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
          <c:w val="1"/>
          <c:h val="1"/>
        </c:manualLayout>
      </c:layout>
      <c:pieChart>
        <c:varyColors val="1"/>
        <c:ser>
          <c:idx val="0"/>
          <c:order val="0"/>
          <c:dPt>
            <c:idx val="0"/>
            <c:bubble3D val="0"/>
            <c:spPr>
              <a:solidFill>
                <a:srgbClr val="00B050"/>
              </a:solidFill>
              <a:ln>
                <a:solidFill>
                  <a:srgbClr val="00B050"/>
                </a:solidFill>
              </a:ln>
            </c:spPr>
          </c:dPt>
          <c:dPt>
            <c:idx val="1"/>
            <c:bubble3D val="0"/>
            <c:spPr>
              <a:solidFill>
                <a:srgbClr val="FF9900"/>
              </a:solidFill>
            </c:spPr>
          </c:dPt>
          <c:dPt>
            <c:idx val="2"/>
            <c:bubble3D val="0"/>
            <c:spPr>
              <a:solidFill>
                <a:schemeClr val="accent3"/>
              </a:solidFill>
            </c:spPr>
          </c:dPt>
          <c:dPt>
            <c:idx val="3"/>
            <c:bubble3D val="0"/>
            <c:spPr>
              <a:solidFill>
                <a:srgbClr val="00B0F0"/>
              </a:solidFill>
            </c:spPr>
          </c:dPt>
          <c:dPt>
            <c:idx val="4"/>
            <c:bubble3D val="0"/>
            <c:spPr>
              <a:solidFill>
                <a:srgbClr val="FFFF00"/>
              </a:solidFill>
            </c:spPr>
          </c:dPt>
          <c:dPt>
            <c:idx val="5"/>
            <c:bubble3D val="0"/>
            <c:spPr>
              <a:solidFill>
                <a:srgbClr val="FF0000"/>
              </a:solidFill>
            </c:spPr>
          </c:dPt>
          <c:dLbls>
            <c:dLbl>
              <c:idx val="0"/>
              <c:layout>
                <c:manualLayout>
                  <c:x val="-0.15394188040622081"/>
                  <c:y val="7.3657747906820892E-2"/>
                </c:manualLayout>
              </c:layout>
              <c:showLegendKey val="0"/>
              <c:showVal val="0"/>
              <c:showCatName val="1"/>
              <c:showSerName val="0"/>
              <c:showPercent val="1"/>
              <c:showBubbleSize val="0"/>
            </c:dLbl>
            <c:dLbl>
              <c:idx val="2"/>
              <c:layout>
                <c:manualLayout>
                  <c:x val="9.5593737202906107E-2"/>
                  <c:y val="-0.2287779720509909"/>
                </c:manualLayout>
              </c:layout>
              <c:showLegendKey val="0"/>
              <c:showVal val="0"/>
              <c:showCatName val="1"/>
              <c:showSerName val="0"/>
              <c:showPercent val="1"/>
              <c:showBubbleSize val="0"/>
            </c:dLbl>
            <c:dLbl>
              <c:idx val="3"/>
              <c:layout>
                <c:manualLayout>
                  <c:x val="0.10656311429443645"/>
                  <c:y val="0.21997302170114019"/>
                </c:manualLayout>
              </c:layout>
              <c:showLegendKey val="0"/>
              <c:showVal val="0"/>
              <c:showCatName val="1"/>
              <c:showSerName val="0"/>
              <c:showPercent val="1"/>
              <c:showBubbleSize val="0"/>
            </c:dLbl>
            <c:dLbl>
              <c:idx val="4"/>
              <c:layout>
                <c:manualLayout>
                  <c:x val="-3.1797866039636586E-3"/>
                  <c:y val="4.3813629080627099E-4"/>
                </c:manualLayout>
              </c:layout>
              <c:showLegendKey val="0"/>
              <c:showVal val="0"/>
              <c:showCatName val="1"/>
              <c:showSerName val="0"/>
              <c:showPercent val="1"/>
              <c:showBubbleSize val="0"/>
            </c:dLbl>
            <c:dLbl>
              <c:idx val="5"/>
              <c:layout>
                <c:manualLayout>
                  <c:x val="3.1677167333465192E-2"/>
                  <c:y val="2.3503174331478933E-2"/>
                </c:manualLayout>
              </c:layout>
              <c:showLegendKey val="0"/>
              <c:showVal val="0"/>
              <c:showCatName val="1"/>
              <c:showSerName val="0"/>
              <c:showPercent val="1"/>
              <c:showBubbleSize val="0"/>
            </c:dLbl>
            <c:txPr>
              <a:bodyPr/>
              <a:lstStyle/>
              <a:p>
                <a:pPr>
                  <a:defRPr sz="1000"/>
                </a:pPr>
                <a:endParaRPr lang="et-EE"/>
              </a:p>
            </c:txPr>
            <c:showLegendKey val="0"/>
            <c:showVal val="0"/>
            <c:showCatName val="1"/>
            <c:showSerName val="0"/>
            <c:showPercent val="1"/>
            <c:showBubbleSize val="0"/>
            <c:showLeaderLines val="0"/>
          </c:dLbls>
          <c:cat>
            <c:strRef>
              <c:f>'joonis 2'!$A$4:$A$10</c:f>
              <c:strCache>
                <c:ptCount val="6"/>
                <c:pt idx="0">
                  <c:v>Suvioder</c:v>
                </c:pt>
                <c:pt idx="1">
                  <c:v>Kaer</c:v>
                </c:pt>
                <c:pt idx="2">
                  <c:v>Suvinisu</c:v>
                </c:pt>
                <c:pt idx="3">
                  <c:v>Talinisu</c:v>
                </c:pt>
                <c:pt idx="4">
                  <c:v>Talirukis</c:v>
                </c:pt>
                <c:pt idx="5">
                  <c:v>Tritikale</c:v>
                </c:pt>
              </c:strCache>
            </c:strRef>
          </c:cat>
          <c:val>
            <c:numRef>
              <c:f>'joonis 2'!$B$4:$B$10</c:f>
              <c:numCache>
                <c:formatCode>General</c:formatCode>
                <c:ptCount val="7"/>
                <c:pt idx="0">
                  <c:v>7366940</c:v>
                </c:pt>
                <c:pt idx="1">
                  <c:v>1738480</c:v>
                </c:pt>
                <c:pt idx="2">
                  <c:v>4503200</c:v>
                </c:pt>
                <c:pt idx="3">
                  <c:v>4073460</c:v>
                </c:pt>
                <c:pt idx="4">
                  <c:v>506525</c:v>
                </c:pt>
                <c:pt idx="5">
                  <c:v>361000</c:v>
                </c:pt>
              </c:numCache>
            </c:numRef>
          </c:val>
        </c:ser>
        <c:dLbls>
          <c:showLegendKey val="0"/>
          <c:showVal val="0"/>
          <c:showCatName val="1"/>
          <c:showSerName val="0"/>
          <c:showPercent val="1"/>
          <c:showBubbleSize val="0"/>
          <c:showLeaderLines val="0"/>
        </c:dLbls>
        <c:firstSliceAng val="2"/>
      </c:pieChart>
    </c:plotArea>
    <c:plotVisOnly val="1"/>
    <c:dispBlanksAs val="gap"/>
    <c:showDLblsOverMax val="0"/>
  </c:chart>
  <c:spPr>
    <a:noFill/>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124059492563432E-2"/>
          <c:y val="4.432143586842064E-2"/>
          <c:w val="0.90559737532808404"/>
          <c:h val="0.69609380738670468"/>
        </c:manualLayout>
      </c:layout>
      <c:barChart>
        <c:barDir val="col"/>
        <c:grouping val="stacked"/>
        <c:varyColors val="0"/>
        <c:ser>
          <c:idx val="4"/>
          <c:order val="0"/>
          <c:tx>
            <c:strRef>
              <c:f>'joonis 3'!$G$4</c:f>
              <c:strCache>
                <c:ptCount val="1"/>
                <c:pt idx="0">
                  <c:v>TU vaba tunnustatud pind</c:v>
                </c:pt>
              </c:strCache>
            </c:strRef>
          </c:tx>
          <c:spPr>
            <a:solidFill>
              <a:srgbClr val="92D050"/>
            </a:solidFill>
          </c:spPr>
          <c:invertIfNegative val="0"/>
          <c:cat>
            <c:strRef>
              <c:f>'joonis 3'!$B$5:$B$18</c:f>
              <c:strCache>
                <c:ptCount val="14"/>
                <c:pt idx="0">
                  <c:v>Tartu</c:v>
                </c:pt>
                <c:pt idx="1">
                  <c:v>Jõgeva</c:v>
                </c:pt>
                <c:pt idx="2">
                  <c:v>Põlva</c:v>
                </c:pt>
                <c:pt idx="3">
                  <c:v>Viljandi</c:v>
                </c:pt>
                <c:pt idx="4">
                  <c:v>Lääne-Viru</c:v>
                </c:pt>
                <c:pt idx="5">
                  <c:v>Valga</c:v>
                </c:pt>
                <c:pt idx="6">
                  <c:v>Pärnu</c:v>
                </c:pt>
                <c:pt idx="7">
                  <c:v>Saare</c:v>
                </c:pt>
                <c:pt idx="8">
                  <c:v>Lääne</c:v>
                </c:pt>
                <c:pt idx="9">
                  <c:v>Harju</c:v>
                </c:pt>
                <c:pt idx="10">
                  <c:v>Rapla</c:v>
                </c:pt>
                <c:pt idx="11">
                  <c:v>Võru</c:v>
                </c:pt>
                <c:pt idx="12">
                  <c:v>Ida-Viru</c:v>
                </c:pt>
                <c:pt idx="13">
                  <c:v>Järva</c:v>
                </c:pt>
              </c:strCache>
            </c:strRef>
          </c:cat>
          <c:val>
            <c:numRef>
              <c:f>'joonis 3'!$G$5:$G$18</c:f>
              <c:numCache>
                <c:formatCode>0</c:formatCode>
                <c:ptCount val="14"/>
                <c:pt idx="0">
                  <c:v>1366.7899999999995</c:v>
                </c:pt>
                <c:pt idx="1">
                  <c:v>1135.7600000000002</c:v>
                </c:pt>
                <c:pt idx="2">
                  <c:v>1239.7099999999994</c:v>
                </c:pt>
                <c:pt idx="3">
                  <c:v>929.66000000000008</c:v>
                </c:pt>
                <c:pt idx="4">
                  <c:v>523.86999999999978</c:v>
                </c:pt>
                <c:pt idx="5">
                  <c:v>457.11999999999995</c:v>
                </c:pt>
                <c:pt idx="6">
                  <c:v>421.29</c:v>
                </c:pt>
                <c:pt idx="7">
                  <c:v>396.21</c:v>
                </c:pt>
                <c:pt idx="8">
                  <c:v>289.39000000000016</c:v>
                </c:pt>
                <c:pt idx="9">
                  <c:v>239.51000000000002</c:v>
                </c:pt>
                <c:pt idx="10">
                  <c:v>149.45000000000005</c:v>
                </c:pt>
                <c:pt idx="11">
                  <c:v>145.12</c:v>
                </c:pt>
                <c:pt idx="12">
                  <c:v>139.37</c:v>
                </c:pt>
                <c:pt idx="13">
                  <c:v>81.83</c:v>
                </c:pt>
              </c:numCache>
            </c:numRef>
          </c:val>
        </c:ser>
        <c:ser>
          <c:idx val="1"/>
          <c:order val="1"/>
          <c:tx>
            <c:strRef>
              <c:f>'joonis 3'!$D$4</c:f>
              <c:strCache>
                <c:ptCount val="1"/>
                <c:pt idx="0">
                  <c:v>üksikute TU leidudega seemnepõllud (TU välja korjatud, tunnustatud)</c:v>
                </c:pt>
              </c:strCache>
            </c:strRef>
          </c:tx>
          <c:spPr>
            <a:solidFill>
              <a:srgbClr val="FFFF00"/>
            </a:solidFill>
          </c:spPr>
          <c:invertIfNegative val="0"/>
          <c:cat>
            <c:strRef>
              <c:f>'joonis 3'!$B$5:$B$18</c:f>
              <c:strCache>
                <c:ptCount val="14"/>
                <c:pt idx="0">
                  <c:v>Tartu</c:v>
                </c:pt>
                <c:pt idx="1">
                  <c:v>Jõgeva</c:v>
                </c:pt>
                <c:pt idx="2">
                  <c:v>Põlva</c:v>
                </c:pt>
                <c:pt idx="3">
                  <c:v>Viljandi</c:v>
                </c:pt>
                <c:pt idx="4">
                  <c:v>Lääne-Viru</c:v>
                </c:pt>
                <c:pt idx="5">
                  <c:v>Valga</c:v>
                </c:pt>
                <c:pt idx="6">
                  <c:v>Pärnu</c:v>
                </c:pt>
                <c:pt idx="7">
                  <c:v>Saare</c:v>
                </c:pt>
                <c:pt idx="8">
                  <c:v>Lääne</c:v>
                </c:pt>
                <c:pt idx="9">
                  <c:v>Harju</c:v>
                </c:pt>
                <c:pt idx="10">
                  <c:v>Rapla</c:v>
                </c:pt>
                <c:pt idx="11">
                  <c:v>Võru</c:v>
                </c:pt>
                <c:pt idx="12">
                  <c:v>Ida-Viru</c:v>
                </c:pt>
                <c:pt idx="13">
                  <c:v>Järva</c:v>
                </c:pt>
              </c:strCache>
            </c:strRef>
          </c:cat>
          <c:val>
            <c:numRef>
              <c:f>'joonis 3'!$D$5:$D$18</c:f>
              <c:numCache>
                <c:formatCode>0</c:formatCode>
                <c:ptCount val="14"/>
                <c:pt idx="0">
                  <c:v>201.74</c:v>
                </c:pt>
                <c:pt idx="1">
                  <c:v>89.13</c:v>
                </c:pt>
                <c:pt idx="2">
                  <c:v>40.880000000000003</c:v>
                </c:pt>
                <c:pt idx="3">
                  <c:v>75.67</c:v>
                </c:pt>
                <c:pt idx="4">
                  <c:v>151.27999999999997</c:v>
                </c:pt>
                <c:pt idx="5">
                  <c:v>0</c:v>
                </c:pt>
                <c:pt idx="6">
                  <c:v>0</c:v>
                </c:pt>
                <c:pt idx="7">
                  <c:v>11.49</c:v>
                </c:pt>
                <c:pt idx="8">
                  <c:v>43.4</c:v>
                </c:pt>
                <c:pt idx="9">
                  <c:v>14.7</c:v>
                </c:pt>
                <c:pt idx="10">
                  <c:v>78.7</c:v>
                </c:pt>
                <c:pt idx="11">
                  <c:v>0</c:v>
                </c:pt>
                <c:pt idx="12">
                  <c:v>0</c:v>
                </c:pt>
                <c:pt idx="13">
                  <c:v>23.38</c:v>
                </c:pt>
              </c:numCache>
            </c:numRef>
          </c:val>
        </c:ser>
        <c:ser>
          <c:idx val="2"/>
          <c:order val="2"/>
          <c:tx>
            <c:strRef>
              <c:f>'joonis 3'!$E$4</c:f>
              <c:strCache>
                <c:ptCount val="1"/>
                <c:pt idx="0">
                  <c:v>TU tõttu praagitud </c:v>
                </c:pt>
              </c:strCache>
            </c:strRef>
          </c:tx>
          <c:spPr>
            <a:solidFill>
              <a:srgbClr val="FF0000"/>
            </a:solidFill>
          </c:spPr>
          <c:invertIfNegative val="0"/>
          <c:cat>
            <c:strRef>
              <c:f>'joonis 3'!$B$5:$B$18</c:f>
              <c:strCache>
                <c:ptCount val="14"/>
                <c:pt idx="0">
                  <c:v>Tartu</c:v>
                </c:pt>
                <c:pt idx="1">
                  <c:v>Jõgeva</c:v>
                </c:pt>
                <c:pt idx="2">
                  <c:v>Põlva</c:v>
                </c:pt>
                <c:pt idx="3">
                  <c:v>Viljandi</c:v>
                </c:pt>
                <c:pt idx="4">
                  <c:v>Lääne-Viru</c:v>
                </c:pt>
                <c:pt idx="5">
                  <c:v>Valga</c:v>
                </c:pt>
                <c:pt idx="6">
                  <c:v>Pärnu</c:v>
                </c:pt>
                <c:pt idx="7">
                  <c:v>Saare</c:v>
                </c:pt>
                <c:pt idx="8">
                  <c:v>Lääne</c:v>
                </c:pt>
                <c:pt idx="9">
                  <c:v>Harju</c:v>
                </c:pt>
                <c:pt idx="10">
                  <c:v>Rapla</c:v>
                </c:pt>
                <c:pt idx="11">
                  <c:v>Võru</c:v>
                </c:pt>
                <c:pt idx="12">
                  <c:v>Ida-Viru</c:v>
                </c:pt>
                <c:pt idx="13">
                  <c:v>Järva</c:v>
                </c:pt>
              </c:strCache>
            </c:strRef>
          </c:cat>
          <c:val>
            <c:numRef>
              <c:f>'joonis 3'!$E$5:$E$18</c:f>
              <c:numCache>
                <c:formatCode>0</c:formatCode>
                <c:ptCount val="14"/>
                <c:pt idx="0">
                  <c:v>69.650000000000006</c:v>
                </c:pt>
                <c:pt idx="1">
                  <c:v>105.8</c:v>
                </c:pt>
                <c:pt idx="2">
                  <c:v>0</c:v>
                </c:pt>
                <c:pt idx="3">
                  <c:v>7</c:v>
                </c:pt>
                <c:pt idx="4">
                  <c:v>9.6</c:v>
                </c:pt>
                <c:pt idx="5">
                  <c:v>0</c:v>
                </c:pt>
                <c:pt idx="6">
                  <c:v>0</c:v>
                </c:pt>
                <c:pt idx="7">
                  <c:v>0</c:v>
                </c:pt>
                <c:pt idx="8">
                  <c:v>30.6</c:v>
                </c:pt>
                <c:pt idx="9">
                  <c:v>32.1</c:v>
                </c:pt>
                <c:pt idx="10">
                  <c:v>26</c:v>
                </c:pt>
                <c:pt idx="11">
                  <c:v>0</c:v>
                </c:pt>
                <c:pt idx="12">
                  <c:v>0</c:v>
                </c:pt>
                <c:pt idx="13">
                  <c:v>0</c:v>
                </c:pt>
              </c:numCache>
            </c:numRef>
          </c:val>
        </c:ser>
        <c:ser>
          <c:idx val="3"/>
          <c:order val="3"/>
          <c:tx>
            <c:strRef>
              <c:f>'joonis 3'!$F$4</c:f>
              <c:strCache>
                <c:ptCount val="1"/>
                <c:pt idx="0">
                  <c:v>muudel (v.a TU) põhjustel praagitud pind</c:v>
                </c:pt>
              </c:strCache>
            </c:strRef>
          </c:tx>
          <c:invertIfNegative val="0"/>
          <c:cat>
            <c:strRef>
              <c:f>'joonis 3'!$B$5:$B$18</c:f>
              <c:strCache>
                <c:ptCount val="14"/>
                <c:pt idx="0">
                  <c:v>Tartu</c:v>
                </c:pt>
                <c:pt idx="1">
                  <c:v>Jõgeva</c:v>
                </c:pt>
                <c:pt idx="2">
                  <c:v>Põlva</c:v>
                </c:pt>
                <c:pt idx="3">
                  <c:v>Viljandi</c:v>
                </c:pt>
                <c:pt idx="4">
                  <c:v>Lääne-Viru</c:v>
                </c:pt>
                <c:pt idx="5">
                  <c:v>Valga</c:v>
                </c:pt>
                <c:pt idx="6">
                  <c:v>Pärnu</c:v>
                </c:pt>
                <c:pt idx="7">
                  <c:v>Saare</c:v>
                </c:pt>
                <c:pt idx="8">
                  <c:v>Lääne</c:v>
                </c:pt>
                <c:pt idx="9">
                  <c:v>Harju</c:v>
                </c:pt>
                <c:pt idx="10">
                  <c:v>Rapla</c:v>
                </c:pt>
                <c:pt idx="11">
                  <c:v>Võru</c:v>
                </c:pt>
                <c:pt idx="12">
                  <c:v>Ida-Viru</c:v>
                </c:pt>
                <c:pt idx="13">
                  <c:v>Järva</c:v>
                </c:pt>
              </c:strCache>
            </c:strRef>
          </c:cat>
          <c:val>
            <c:numRef>
              <c:f>'joonis 3'!$F$5:$F$18</c:f>
              <c:numCache>
                <c:formatCode>0</c:formatCode>
                <c:ptCount val="14"/>
                <c:pt idx="0">
                  <c:v>16.889999999999958</c:v>
                </c:pt>
                <c:pt idx="1">
                  <c:v>0.3099999999999028</c:v>
                </c:pt>
                <c:pt idx="2">
                  <c:v>27.039999999999964</c:v>
                </c:pt>
                <c:pt idx="3">
                  <c:v>41.999999999999886</c:v>
                </c:pt>
                <c:pt idx="4">
                  <c:v>5.0399999999999867</c:v>
                </c:pt>
                <c:pt idx="5">
                  <c:v>0</c:v>
                </c:pt>
                <c:pt idx="6">
                  <c:v>16</c:v>
                </c:pt>
                <c:pt idx="7">
                  <c:v>4.1700000000000159</c:v>
                </c:pt>
                <c:pt idx="8">
                  <c:v>1.9999999999999645</c:v>
                </c:pt>
                <c:pt idx="9">
                  <c:v>0</c:v>
                </c:pt>
                <c:pt idx="10">
                  <c:v>10.500000000000057</c:v>
                </c:pt>
                <c:pt idx="11">
                  <c:v>2.8000000000000114</c:v>
                </c:pt>
                <c:pt idx="12">
                  <c:v>0</c:v>
                </c:pt>
                <c:pt idx="13">
                  <c:v>0</c:v>
                </c:pt>
              </c:numCache>
            </c:numRef>
          </c:val>
        </c:ser>
        <c:dLbls>
          <c:showLegendKey val="0"/>
          <c:showVal val="0"/>
          <c:showCatName val="0"/>
          <c:showSerName val="0"/>
          <c:showPercent val="0"/>
          <c:showBubbleSize val="0"/>
        </c:dLbls>
        <c:gapWidth val="54"/>
        <c:overlap val="100"/>
        <c:axId val="83051648"/>
        <c:axId val="83053184"/>
      </c:barChart>
      <c:catAx>
        <c:axId val="83051648"/>
        <c:scaling>
          <c:orientation val="minMax"/>
        </c:scaling>
        <c:delete val="0"/>
        <c:axPos val="b"/>
        <c:majorTickMark val="out"/>
        <c:minorTickMark val="none"/>
        <c:tickLblPos val="nextTo"/>
        <c:crossAx val="83053184"/>
        <c:crosses val="autoZero"/>
        <c:auto val="1"/>
        <c:lblAlgn val="ctr"/>
        <c:lblOffset val="100"/>
        <c:noMultiLvlLbl val="0"/>
      </c:catAx>
      <c:valAx>
        <c:axId val="83053184"/>
        <c:scaling>
          <c:orientation val="minMax"/>
        </c:scaling>
        <c:delete val="0"/>
        <c:axPos val="l"/>
        <c:majorGridlines/>
        <c:numFmt formatCode="0" sourceLinked="1"/>
        <c:majorTickMark val="out"/>
        <c:minorTickMark val="none"/>
        <c:tickLblPos val="nextTo"/>
        <c:crossAx val="83051648"/>
        <c:crosses val="autoZero"/>
        <c:crossBetween val="between"/>
      </c:valAx>
    </c:plotArea>
    <c:legend>
      <c:legendPos val="r"/>
      <c:layout>
        <c:manualLayout>
          <c:xMode val="edge"/>
          <c:yMode val="edge"/>
          <c:x val="0.56915105296877255"/>
          <c:y val="7.0224754328917074E-2"/>
          <c:w val="0.39529344658689319"/>
          <c:h val="0.46098268433169404"/>
        </c:manualLayout>
      </c:layout>
      <c:overlay val="0"/>
      <c:spPr>
        <a:solidFill>
          <a:schemeClr val="bg1"/>
        </a:solidFill>
        <a:ln>
          <a:solidFill>
            <a:schemeClr val="bg1"/>
          </a:solidFill>
        </a:ln>
      </c:spPr>
    </c:legend>
    <c:plotVisOnly val="1"/>
    <c:dispBlanksAs val="gap"/>
    <c:showDLblsOverMax val="0"/>
  </c:chart>
  <c:spPr>
    <a:ln>
      <a:noFill/>
    </a:ln>
  </c:spPr>
  <c:txPr>
    <a:bodyPr/>
    <a:lstStyle/>
    <a:p>
      <a:pPr>
        <a:defRPr sz="1000"/>
      </a:pPr>
      <a:endParaRPr lang="et-EE"/>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915811156516828E-2"/>
          <c:y val="5.5443294307312707E-2"/>
          <c:w val="0.87431988722928622"/>
          <c:h val="0.69726267362647076"/>
        </c:manualLayout>
      </c:layout>
      <c:barChart>
        <c:barDir val="col"/>
        <c:grouping val="clustered"/>
        <c:varyColors val="0"/>
        <c:ser>
          <c:idx val="0"/>
          <c:order val="0"/>
          <c:tx>
            <c:strRef>
              <c:f>Sheet1!$B$4</c:f>
              <c:strCache>
                <c:ptCount val="1"/>
                <c:pt idx="0">
                  <c:v>Tuulekaeraga saastunud pind ha</c:v>
                </c:pt>
              </c:strCache>
            </c:strRef>
          </c:tx>
          <c:spPr>
            <a:solidFill>
              <a:srgbClr val="0070C0"/>
            </a:solidFill>
          </c:spPr>
          <c:invertIfNegative val="0"/>
          <c:cat>
            <c:strRef>
              <c:f>Sheet1!$A$5:$A$19</c:f>
              <c:strCache>
                <c:ptCount val="15"/>
                <c:pt idx="0">
                  <c:v>Harju</c:v>
                </c:pt>
                <c:pt idx="1">
                  <c:v>Hiiu</c:v>
                </c:pt>
                <c:pt idx="2">
                  <c:v>Ida-Viru</c:v>
                </c:pt>
                <c:pt idx="3">
                  <c:v>Jõgeva</c:v>
                </c:pt>
                <c:pt idx="4">
                  <c:v>Järva</c:v>
                </c:pt>
                <c:pt idx="5">
                  <c:v>Lääne</c:v>
                </c:pt>
                <c:pt idx="6">
                  <c:v>Lääne-Viru</c:v>
                </c:pt>
                <c:pt idx="7">
                  <c:v>Põlva</c:v>
                </c:pt>
                <c:pt idx="8">
                  <c:v>Pärnu</c:v>
                </c:pt>
                <c:pt idx="9">
                  <c:v>Rapla</c:v>
                </c:pt>
                <c:pt idx="10">
                  <c:v>Saare</c:v>
                </c:pt>
                <c:pt idx="11">
                  <c:v>Tartu</c:v>
                </c:pt>
                <c:pt idx="12">
                  <c:v>Valga</c:v>
                </c:pt>
                <c:pt idx="13">
                  <c:v>Viljandi</c:v>
                </c:pt>
                <c:pt idx="14">
                  <c:v>Võru</c:v>
                </c:pt>
              </c:strCache>
            </c:strRef>
          </c:cat>
          <c:val>
            <c:numRef>
              <c:f>Sheet1!$B$5:$B$19</c:f>
              <c:numCache>
                <c:formatCode>General</c:formatCode>
                <c:ptCount val="15"/>
                <c:pt idx="0">
                  <c:v>5980.73</c:v>
                </c:pt>
                <c:pt idx="1">
                  <c:v>1055.1199999999999</c:v>
                </c:pt>
                <c:pt idx="2">
                  <c:v>8567.43</c:v>
                </c:pt>
                <c:pt idx="3">
                  <c:v>21821.200000000001</c:v>
                </c:pt>
                <c:pt idx="4">
                  <c:v>25390</c:v>
                </c:pt>
                <c:pt idx="5">
                  <c:v>9670.1299999999992</c:v>
                </c:pt>
                <c:pt idx="6">
                  <c:v>61145.14</c:v>
                </c:pt>
                <c:pt idx="7">
                  <c:v>5173</c:v>
                </c:pt>
                <c:pt idx="8" formatCode="0.0">
                  <c:v>12499.1</c:v>
                </c:pt>
                <c:pt idx="9">
                  <c:v>18972.8</c:v>
                </c:pt>
                <c:pt idx="10">
                  <c:v>6928.26</c:v>
                </c:pt>
                <c:pt idx="11" formatCode="0">
                  <c:v>14685</c:v>
                </c:pt>
                <c:pt idx="12">
                  <c:v>9589.7999999999993</c:v>
                </c:pt>
                <c:pt idx="13">
                  <c:v>17436.23</c:v>
                </c:pt>
                <c:pt idx="14">
                  <c:v>5898.75</c:v>
                </c:pt>
              </c:numCache>
            </c:numRef>
          </c:val>
        </c:ser>
        <c:ser>
          <c:idx val="1"/>
          <c:order val="1"/>
          <c:tx>
            <c:strRef>
              <c:f>Sheet1!$C$4</c:f>
              <c:strCache>
                <c:ptCount val="1"/>
                <c:pt idx="0">
                  <c:v>Põllukultuuride pind ha </c:v>
                </c:pt>
              </c:strCache>
            </c:strRef>
          </c:tx>
          <c:spPr>
            <a:solidFill>
              <a:srgbClr val="FF0000"/>
            </a:solidFill>
          </c:spPr>
          <c:invertIfNegative val="0"/>
          <c:cat>
            <c:strRef>
              <c:f>Sheet1!$A$5:$A$19</c:f>
              <c:strCache>
                <c:ptCount val="15"/>
                <c:pt idx="0">
                  <c:v>Harju</c:v>
                </c:pt>
                <c:pt idx="1">
                  <c:v>Hiiu</c:v>
                </c:pt>
                <c:pt idx="2">
                  <c:v>Ida-Viru</c:v>
                </c:pt>
                <c:pt idx="3">
                  <c:v>Jõgeva</c:v>
                </c:pt>
                <c:pt idx="4">
                  <c:v>Järva</c:v>
                </c:pt>
                <c:pt idx="5">
                  <c:v>Lääne</c:v>
                </c:pt>
                <c:pt idx="6">
                  <c:v>Lääne-Viru</c:v>
                </c:pt>
                <c:pt idx="7">
                  <c:v>Põlva</c:v>
                </c:pt>
                <c:pt idx="8">
                  <c:v>Pärnu</c:v>
                </c:pt>
                <c:pt idx="9">
                  <c:v>Rapla</c:v>
                </c:pt>
                <c:pt idx="10">
                  <c:v>Saare</c:v>
                </c:pt>
                <c:pt idx="11">
                  <c:v>Tartu</c:v>
                </c:pt>
                <c:pt idx="12">
                  <c:v>Valga</c:v>
                </c:pt>
                <c:pt idx="13">
                  <c:v>Viljandi</c:v>
                </c:pt>
                <c:pt idx="14">
                  <c:v>Võru</c:v>
                </c:pt>
              </c:strCache>
            </c:strRef>
          </c:cat>
          <c:val>
            <c:numRef>
              <c:f>Sheet1!$C$5:$C$19</c:f>
              <c:numCache>
                <c:formatCode>General</c:formatCode>
                <c:ptCount val="15"/>
                <c:pt idx="0">
                  <c:v>33149</c:v>
                </c:pt>
                <c:pt idx="1">
                  <c:v>3006</c:v>
                </c:pt>
                <c:pt idx="2">
                  <c:v>18313</c:v>
                </c:pt>
                <c:pt idx="3">
                  <c:v>52518</c:v>
                </c:pt>
                <c:pt idx="4">
                  <c:v>61692</c:v>
                </c:pt>
                <c:pt idx="5">
                  <c:v>19705</c:v>
                </c:pt>
                <c:pt idx="6">
                  <c:v>79861</c:v>
                </c:pt>
                <c:pt idx="7">
                  <c:v>35694</c:v>
                </c:pt>
                <c:pt idx="8">
                  <c:v>48132</c:v>
                </c:pt>
                <c:pt idx="9">
                  <c:v>35349</c:v>
                </c:pt>
                <c:pt idx="10">
                  <c:v>13782</c:v>
                </c:pt>
                <c:pt idx="11">
                  <c:v>62651</c:v>
                </c:pt>
                <c:pt idx="12">
                  <c:v>23763</c:v>
                </c:pt>
                <c:pt idx="13">
                  <c:v>59573</c:v>
                </c:pt>
                <c:pt idx="14">
                  <c:v>27162</c:v>
                </c:pt>
              </c:numCache>
            </c:numRef>
          </c:val>
        </c:ser>
        <c:dLbls>
          <c:showLegendKey val="0"/>
          <c:showVal val="0"/>
          <c:showCatName val="0"/>
          <c:showSerName val="0"/>
          <c:showPercent val="0"/>
          <c:showBubbleSize val="0"/>
        </c:dLbls>
        <c:gapWidth val="75"/>
        <c:overlap val="-25"/>
        <c:axId val="83078528"/>
        <c:axId val="80970880"/>
      </c:barChart>
      <c:catAx>
        <c:axId val="83078528"/>
        <c:scaling>
          <c:orientation val="minMax"/>
        </c:scaling>
        <c:delete val="0"/>
        <c:axPos val="b"/>
        <c:numFmt formatCode="General" sourceLinked="1"/>
        <c:majorTickMark val="none"/>
        <c:minorTickMark val="none"/>
        <c:tickLblPos val="nextTo"/>
        <c:crossAx val="80970880"/>
        <c:crosses val="autoZero"/>
        <c:auto val="1"/>
        <c:lblAlgn val="ctr"/>
        <c:lblOffset val="100"/>
        <c:noMultiLvlLbl val="0"/>
      </c:catAx>
      <c:valAx>
        <c:axId val="80970880"/>
        <c:scaling>
          <c:orientation val="minMax"/>
        </c:scaling>
        <c:delete val="0"/>
        <c:axPos val="l"/>
        <c:majorGridlines/>
        <c:numFmt formatCode="General" sourceLinked="1"/>
        <c:majorTickMark val="none"/>
        <c:minorTickMark val="none"/>
        <c:tickLblPos val="nextTo"/>
        <c:spPr>
          <a:ln w="9515">
            <a:noFill/>
          </a:ln>
        </c:spPr>
        <c:crossAx val="83078528"/>
        <c:crosses val="autoZero"/>
        <c:crossBetween val="between"/>
      </c:valAx>
    </c:plotArea>
    <c:legend>
      <c:legendPos val="b"/>
      <c:layout>
        <c:manualLayout>
          <c:xMode val="edge"/>
          <c:yMode val="edge"/>
          <c:x val="0.13520847868699956"/>
          <c:y val="5.5765725913474298E-2"/>
          <c:w val="0.72476067073894246"/>
          <c:h val="9.0301689816862776E-2"/>
        </c:manualLayout>
      </c:layout>
      <c:overlay val="0"/>
    </c:legend>
    <c:plotVisOnly val="1"/>
    <c:dispBlanksAs val="gap"/>
    <c:showDLblsOverMax val="0"/>
  </c:chart>
  <c:spPr>
    <a:ln>
      <a:solidFill>
        <a:sysClr val="window" lastClr="FFFFFF"/>
      </a:solidFill>
    </a:ln>
  </c:spPr>
  <c:txPr>
    <a:bodyPr/>
    <a:lstStyle/>
    <a:p>
      <a:pPr>
        <a:defRPr sz="1000"/>
      </a:pPr>
      <a:endParaRPr lang="et-EE"/>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8691134976597272E-2"/>
          <c:y val="3.1068460192475934E-2"/>
          <c:w val="0.8954827069261877"/>
          <c:h val="0.78171223388743072"/>
        </c:manualLayout>
      </c:layout>
      <c:barChart>
        <c:barDir val="col"/>
        <c:grouping val="clustered"/>
        <c:varyColors val="0"/>
        <c:ser>
          <c:idx val="4"/>
          <c:order val="4"/>
          <c:tx>
            <c:strRef>
              <c:f>'Tootmine (t)'!$A$9</c:f>
              <c:strCache>
                <c:ptCount val="1"/>
                <c:pt idx="0">
                  <c:v>Segasööt (parem telg)</c:v>
                </c:pt>
              </c:strCache>
            </c:strRef>
          </c:tx>
          <c:invertIfNegative val="0"/>
          <c:dLbls>
            <c:dLbl>
              <c:idx val="8"/>
              <c:layout>
                <c:manualLayout>
                  <c:x val="2.4095288327635207E-3"/>
                  <c:y val="2.9088576917855553E-2"/>
                </c:manualLayout>
              </c:layout>
              <c:showLegendKey val="0"/>
              <c:showVal val="1"/>
              <c:showCatName val="0"/>
              <c:showSerName val="0"/>
              <c:showPercent val="0"/>
              <c:showBubbleSize val="0"/>
            </c:dLbl>
            <c:showLegendKey val="0"/>
            <c:showVal val="0"/>
            <c:showCatName val="0"/>
            <c:showSerName val="0"/>
            <c:showPercent val="0"/>
            <c:showBubbleSize val="0"/>
          </c:dLbls>
          <c:cat>
            <c:strRef>
              <c:f>'Tootmine (t)'!$B$4:$J$4</c:f>
              <c:strCache>
                <c:ptCount val="9"/>
                <c:pt idx="0">
                  <c:v>2004</c:v>
                </c:pt>
                <c:pt idx="1">
                  <c:v>2005</c:v>
                </c:pt>
                <c:pt idx="2">
                  <c:v>2006</c:v>
                </c:pt>
                <c:pt idx="3">
                  <c:v>2007</c:v>
                </c:pt>
                <c:pt idx="4">
                  <c:v>2008</c:v>
                </c:pt>
                <c:pt idx="5">
                  <c:v>2009</c:v>
                </c:pt>
                <c:pt idx="6">
                  <c:v>2010</c:v>
                </c:pt>
                <c:pt idx="7">
                  <c:v>2011</c:v>
                </c:pt>
                <c:pt idx="8">
                  <c:v>2012</c:v>
                </c:pt>
              </c:strCache>
            </c:strRef>
          </c:cat>
          <c:val>
            <c:numRef>
              <c:f>'Tootmine (t)'!$B$9:$J$9</c:f>
              <c:numCache>
                <c:formatCode>General</c:formatCode>
                <c:ptCount val="9"/>
                <c:pt idx="0">
                  <c:v>207.3</c:v>
                </c:pt>
                <c:pt idx="1">
                  <c:v>177</c:v>
                </c:pt>
                <c:pt idx="2">
                  <c:v>208.9</c:v>
                </c:pt>
                <c:pt idx="3">
                  <c:v>214.2</c:v>
                </c:pt>
                <c:pt idx="4">
                  <c:v>229.5</c:v>
                </c:pt>
                <c:pt idx="5">
                  <c:v>201.3</c:v>
                </c:pt>
                <c:pt idx="6">
                  <c:v>204.5</c:v>
                </c:pt>
                <c:pt idx="7">
                  <c:v>216.2</c:v>
                </c:pt>
                <c:pt idx="8">
                  <c:v>210.1</c:v>
                </c:pt>
              </c:numCache>
            </c:numRef>
          </c:val>
        </c:ser>
        <c:dLbls>
          <c:showLegendKey val="0"/>
          <c:showVal val="0"/>
          <c:showCatName val="0"/>
          <c:showSerName val="0"/>
          <c:showPercent val="0"/>
          <c:showBubbleSize val="0"/>
        </c:dLbls>
        <c:gapWidth val="77"/>
        <c:axId val="83426304"/>
        <c:axId val="83424768"/>
      </c:barChart>
      <c:lineChart>
        <c:grouping val="standard"/>
        <c:varyColors val="0"/>
        <c:ser>
          <c:idx val="0"/>
          <c:order val="0"/>
          <c:tx>
            <c:strRef>
              <c:f>'Tootmine (t)'!$A$5</c:f>
              <c:strCache>
                <c:ptCount val="1"/>
                <c:pt idx="0">
                  <c:v>Pagaritooted</c:v>
                </c:pt>
              </c:strCache>
            </c:strRef>
          </c:tx>
          <c:dPt>
            <c:idx val="8"/>
            <c:marker>
              <c:symbol val="diamond"/>
              <c:size val="25"/>
            </c:marker>
            <c:bubble3D val="0"/>
          </c:dPt>
          <c:dLbls>
            <c:dLbl>
              <c:idx val="8"/>
              <c:dLblPos val="ctr"/>
              <c:showLegendKey val="0"/>
              <c:showVal val="1"/>
              <c:showCatName val="0"/>
              <c:showSerName val="0"/>
              <c:showPercent val="0"/>
              <c:showBubbleSize val="0"/>
            </c:dLbl>
            <c:dLblPos val="ctr"/>
            <c:showLegendKey val="0"/>
            <c:showVal val="0"/>
            <c:showCatName val="0"/>
            <c:showSerName val="0"/>
            <c:showPercent val="0"/>
            <c:showBubbleSize val="0"/>
          </c:dLbls>
          <c:cat>
            <c:strRef>
              <c:f>'Tootmine (t)'!$B$4:$J$4</c:f>
              <c:strCache>
                <c:ptCount val="9"/>
                <c:pt idx="0">
                  <c:v>2004</c:v>
                </c:pt>
                <c:pt idx="1">
                  <c:v>2005</c:v>
                </c:pt>
                <c:pt idx="2">
                  <c:v>2006</c:v>
                </c:pt>
                <c:pt idx="3">
                  <c:v>2007</c:v>
                </c:pt>
                <c:pt idx="4">
                  <c:v>2008</c:v>
                </c:pt>
                <c:pt idx="5">
                  <c:v>2009</c:v>
                </c:pt>
                <c:pt idx="6">
                  <c:v>2010</c:v>
                </c:pt>
                <c:pt idx="7">
                  <c:v>2011</c:v>
                </c:pt>
                <c:pt idx="8">
                  <c:v>2012</c:v>
                </c:pt>
              </c:strCache>
            </c:strRef>
          </c:cat>
          <c:val>
            <c:numRef>
              <c:f>'Tootmine (t)'!$B$5:$J$5</c:f>
              <c:numCache>
                <c:formatCode>General</c:formatCode>
                <c:ptCount val="9"/>
                <c:pt idx="0">
                  <c:v>72.8</c:v>
                </c:pt>
                <c:pt idx="1">
                  <c:v>72.400000000000006</c:v>
                </c:pt>
                <c:pt idx="2">
                  <c:v>74.400000000000006</c:v>
                </c:pt>
                <c:pt idx="3">
                  <c:v>78.8</c:v>
                </c:pt>
                <c:pt idx="4">
                  <c:v>77.3</c:v>
                </c:pt>
                <c:pt idx="5">
                  <c:v>74.099999999999994</c:v>
                </c:pt>
                <c:pt idx="6">
                  <c:v>75.5</c:v>
                </c:pt>
                <c:pt idx="7">
                  <c:v>77</c:v>
                </c:pt>
                <c:pt idx="8">
                  <c:v>76.7</c:v>
                </c:pt>
              </c:numCache>
            </c:numRef>
          </c:val>
          <c:smooth val="0"/>
        </c:ser>
        <c:ser>
          <c:idx val="1"/>
          <c:order val="1"/>
          <c:tx>
            <c:strRef>
              <c:f>'Tootmine (t)'!$A$6</c:f>
              <c:strCache>
                <c:ptCount val="1"/>
                <c:pt idx="0">
                  <c:v>Jahust kondiitritooted</c:v>
                </c:pt>
              </c:strCache>
            </c:strRef>
          </c:tx>
          <c:dPt>
            <c:idx val="8"/>
            <c:marker>
              <c:symbol val="square"/>
              <c:size val="25"/>
            </c:marker>
            <c:bubble3D val="0"/>
          </c:dPt>
          <c:dLbls>
            <c:dLbl>
              <c:idx val="8"/>
              <c:layout>
                <c:manualLayout>
                  <c:x val="-4.9461745409562982E-2"/>
                  <c:y val="2.8380189510391451E-2"/>
                </c:manualLayout>
              </c:layout>
              <c:dLblPos val="r"/>
              <c:showLegendKey val="0"/>
              <c:showVal val="1"/>
              <c:showCatName val="0"/>
              <c:showSerName val="0"/>
              <c:showPercent val="0"/>
              <c:showBubbleSize val="0"/>
            </c:dLbl>
            <c:showLegendKey val="0"/>
            <c:showVal val="0"/>
            <c:showCatName val="0"/>
            <c:showSerName val="0"/>
            <c:showPercent val="0"/>
            <c:showBubbleSize val="0"/>
          </c:dLbls>
          <c:cat>
            <c:strRef>
              <c:f>'Tootmine (t)'!$B$4:$J$4</c:f>
              <c:strCache>
                <c:ptCount val="9"/>
                <c:pt idx="0">
                  <c:v>2004</c:v>
                </c:pt>
                <c:pt idx="1">
                  <c:v>2005</c:v>
                </c:pt>
                <c:pt idx="2">
                  <c:v>2006</c:v>
                </c:pt>
                <c:pt idx="3">
                  <c:v>2007</c:v>
                </c:pt>
                <c:pt idx="4">
                  <c:v>2008</c:v>
                </c:pt>
                <c:pt idx="5">
                  <c:v>2009</c:v>
                </c:pt>
                <c:pt idx="6">
                  <c:v>2010</c:v>
                </c:pt>
                <c:pt idx="7">
                  <c:v>2011</c:v>
                </c:pt>
                <c:pt idx="8">
                  <c:v>2012</c:v>
                </c:pt>
              </c:strCache>
            </c:strRef>
          </c:cat>
          <c:val>
            <c:numRef>
              <c:f>'Tootmine (t)'!$B$6:$J$6</c:f>
              <c:numCache>
                <c:formatCode>General</c:formatCode>
                <c:ptCount val="9"/>
                <c:pt idx="0">
                  <c:v>9</c:v>
                </c:pt>
                <c:pt idx="1">
                  <c:v>9.1999999999999993</c:v>
                </c:pt>
                <c:pt idx="2">
                  <c:v>9.4</c:v>
                </c:pt>
                <c:pt idx="3">
                  <c:v>9.6999999999999993</c:v>
                </c:pt>
                <c:pt idx="4">
                  <c:v>8.6999999999999993</c:v>
                </c:pt>
                <c:pt idx="5">
                  <c:v>7.1</c:v>
                </c:pt>
                <c:pt idx="6">
                  <c:v>8.4</c:v>
                </c:pt>
                <c:pt idx="7">
                  <c:v>9.5</c:v>
                </c:pt>
                <c:pt idx="8">
                  <c:v>8</c:v>
                </c:pt>
              </c:numCache>
            </c:numRef>
          </c:val>
          <c:smooth val="0"/>
        </c:ser>
        <c:ser>
          <c:idx val="2"/>
          <c:order val="2"/>
          <c:tx>
            <c:strRef>
              <c:f>'Tootmine (t)'!$A$7</c:f>
              <c:strCache>
                <c:ptCount val="1"/>
                <c:pt idx="0">
                  <c:v>Jahu</c:v>
                </c:pt>
              </c:strCache>
            </c:strRef>
          </c:tx>
          <c:marker>
            <c:symbol val="diamond"/>
            <c:size val="7"/>
          </c:marker>
          <c:dPt>
            <c:idx val="8"/>
            <c:marker>
              <c:symbol val="diamond"/>
              <c:size val="25"/>
            </c:marker>
            <c:bubble3D val="0"/>
          </c:dPt>
          <c:dLbls>
            <c:dLbl>
              <c:idx val="8"/>
              <c:layout>
                <c:manualLayout>
                  <c:x val="-6.0918390965974414E-2"/>
                  <c:y val="-8.3520439602431537E-5"/>
                </c:manualLayout>
              </c:layout>
              <c:dLblPos val="r"/>
              <c:showLegendKey val="0"/>
              <c:showVal val="1"/>
              <c:showCatName val="0"/>
              <c:showSerName val="0"/>
              <c:showPercent val="0"/>
              <c:showBubbleSize val="0"/>
            </c:dLbl>
            <c:dLblPos val="ctr"/>
            <c:showLegendKey val="0"/>
            <c:showVal val="0"/>
            <c:showCatName val="0"/>
            <c:showSerName val="0"/>
            <c:showPercent val="0"/>
            <c:showBubbleSize val="0"/>
          </c:dLbls>
          <c:cat>
            <c:strRef>
              <c:f>'Tootmine (t)'!$B$4:$J$4</c:f>
              <c:strCache>
                <c:ptCount val="9"/>
                <c:pt idx="0">
                  <c:v>2004</c:v>
                </c:pt>
                <c:pt idx="1">
                  <c:v>2005</c:v>
                </c:pt>
                <c:pt idx="2">
                  <c:v>2006</c:v>
                </c:pt>
                <c:pt idx="3">
                  <c:v>2007</c:v>
                </c:pt>
                <c:pt idx="4">
                  <c:v>2008</c:v>
                </c:pt>
                <c:pt idx="5">
                  <c:v>2009</c:v>
                </c:pt>
                <c:pt idx="6">
                  <c:v>2010</c:v>
                </c:pt>
                <c:pt idx="7">
                  <c:v>2011</c:v>
                </c:pt>
                <c:pt idx="8">
                  <c:v>2012</c:v>
                </c:pt>
              </c:strCache>
            </c:strRef>
          </c:cat>
          <c:val>
            <c:numRef>
              <c:f>'Tootmine (t)'!$B$7:$J$7</c:f>
              <c:numCache>
                <c:formatCode>General</c:formatCode>
                <c:ptCount val="9"/>
                <c:pt idx="0">
                  <c:v>63.9</c:v>
                </c:pt>
                <c:pt idx="1">
                  <c:v>63.3</c:v>
                </c:pt>
                <c:pt idx="2">
                  <c:v>64.7</c:v>
                </c:pt>
                <c:pt idx="3">
                  <c:v>71.900000000000006</c:v>
                </c:pt>
                <c:pt idx="4">
                  <c:v>73.5</c:v>
                </c:pt>
                <c:pt idx="5">
                  <c:v>74.400000000000006</c:v>
                </c:pt>
                <c:pt idx="6">
                  <c:v>78.7</c:v>
                </c:pt>
                <c:pt idx="7">
                  <c:v>81.2</c:v>
                </c:pt>
                <c:pt idx="8">
                  <c:v>89.4</c:v>
                </c:pt>
              </c:numCache>
            </c:numRef>
          </c:val>
          <c:smooth val="0"/>
        </c:ser>
        <c:ser>
          <c:idx val="3"/>
          <c:order val="3"/>
          <c:tx>
            <c:strRef>
              <c:f>'Tootmine (t)'!$A$8</c:f>
              <c:strCache>
                <c:ptCount val="1"/>
                <c:pt idx="0">
                  <c:v>Tangained</c:v>
                </c:pt>
              </c:strCache>
            </c:strRef>
          </c:tx>
          <c:dPt>
            <c:idx val="8"/>
            <c:marker>
              <c:symbol val="circle"/>
              <c:size val="25"/>
            </c:marker>
            <c:bubble3D val="0"/>
          </c:dPt>
          <c:dLbls>
            <c:dLbl>
              <c:idx val="8"/>
              <c:layout>
                <c:manualLayout>
                  <c:x val="-6.1720175914577458E-2"/>
                  <c:y val="2.1285142132793589E-2"/>
                </c:manualLayout>
              </c:layout>
              <c:dLblPos val="r"/>
              <c:showLegendKey val="0"/>
              <c:showVal val="1"/>
              <c:showCatName val="0"/>
              <c:showSerName val="0"/>
              <c:showPercent val="0"/>
              <c:showBubbleSize val="0"/>
            </c:dLbl>
            <c:dLblPos val="ctr"/>
            <c:showLegendKey val="0"/>
            <c:showVal val="0"/>
            <c:showCatName val="0"/>
            <c:showSerName val="0"/>
            <c:showPercent val="0"/>
            <c:showBubbleSize val="0"/>
          </c:dLbls>
          <c:cat>
            <c:strRef>
              <c:f>'Tootmine (t)'!$B$4:$J$4</c:f>
              <c:strCache>
                <c:ptCount val="9"/>
                <c:pt idx="0">
                  <c:v>2004</c:v>
                </c:pt>
                <c:pt idx="1">
                  <c:v>2005</c:v>
                </c:pt>
                <c:pt idx="2">
                  <c:v>2006</c:v>
                </c:pt>
                <c:pt idx="3">
                  <c:v>2007</c:v>
                </c:pt>
                <c:pt idx="4">
                  <c:v>2008</c:v>
                </c:pt>
                <c:pt idx="5">
                  <c:v>2009</c:v>
                </c:pt>
                <c:pt idx="6">
                  <c:v>2010</c:v>
                </c:pt>
                <c:pt idx="7">
                  <c:v>2011</c:v>
                </c:pt>
                <c:pt idx="8">
                  <c:v>2012</c:v>
                </c:pt>
              </c:strCache>
            </c:strRef>
          </c:cat>
          <c:val>
            <c:numRef>
              <c:f>'Tootmine (t)'!$B$8:$J$8</c:f>
              <c:numCache>
                <c:formatCode>General</c:formatCode>
                <c:ptCount val="9"/>
                <c:pt idx="0">
                  <c:v>2.9</c:v>
                </c:pt>
                <c:pt idx="1">
                  <c:v>2.2999999999999998</c:v>
                </c:pt>
                <c:pt idx="2">
                  <c:v>2.4</c:v>
                </c:pt>
                <c:pt idx="3">
                  <c:v>2.2000000000000002</c:v>
                </c:pt>
                <c:pt idx="4">
                  <c:v>2.8</c:v>
                </c:pt>
                <c:pt idx="5">
                  <c:v>3.2</c:v>
                </c:pt>
                <c:pt idx="6">
                  <c:v>7.5</c:v>
                </c:pt>
                <c:pt idx="7">
                  <c:v>2.5</c:v>
                </c:pt>
                <c:pt idx="8">
                  <c:v>12.4</c:v>
                </c:pt>
              </c:numCache>
            </c:numRef>
          </c:val>
          <c:smooth val="0"/>
        </c:ser>
        <c:ser>
          <c:idx val="6"/>
          <c:order val="5"/>
          <c:tx>
            <c:strRef>
              <c:f>'Tootmine (t)'!$A$10</c:f>
              <c:strCache>
                <c:ptCount val="1"/>
                <c:pt idx="0">
                  <c:v>Toorõli</c:v>
                </c:pt>
              </c:strCache>
            </c:strRef>
          </c:tx>
          <c:dPt>
            <c:idx val="8"/>
            <c:marker>
              <c:symbol val="diamond"/>
              <c:size val="25"/>
            </c:marker>
            <c:bubble3D val="0"/>
          </c:dPt>
          <c:dLbls>
            <c:dLbl>
              <c:idx val="8"/>
              <c:dLblPos val="ctr"/>
              <c:showLegendKey val="0"/>
              <c:showVal val="1"/>
              <c:showCatName val="0"/>
              <c:showSerName val="0"/>
              <c:showPercent val="0"/>
              <c:showBubbleSize val="0"/>
            </c:dLbl>
            <c:dLblPos val="ctr"/>
            <c:showLegendKey val="0"/>
            <c:showVal val="0"/>
            <c:showCatName val="0"/>
            <c:showSerName val="0"/>
            <c:showPercent val="0"/>
            <c:showBubbleSize val="0"/>
          </c:dLbls>
          <c:cat>
            <c:strRef>
              <c:f>'Tootmine (t)'!$B$4:$J$4</c:f>
              <c:strCache>
                <c:ptCount val="9"/>
                <c:pt idx="0">
                  <c:v>2004</c:v>
                </c:pt>
                <c:pt idx="1">
                  <c:v>2005</c:v>
                </c:pt>
                <c:pt idx="2">
                  <c:v>2006</c:v>
                </c:pt>
                <c:pt idx="3">
                  <c:v>2007</c:v>
                </c:pt>
                <c:pt idx="4">
                  <c:v>2008</c:v>
                </c:pt>
                <c:pt idx="5">
                  <c:v>2009</c:v>
                </c:pt>
                <c:pt idx="6">
                  <c:v>2010</c:v>
                </c:pt>
                <c:pt idx="7">
                  <c:v>2011</c:v>
                </c:pt>
                <c:pt idx="8">
                  <c:v>2012</c:v>
                </c:pt>
              </c:strCache>
            </c:strRef>
          </c:cat>
          <c:val>
            <c:numRef>
              <c:f>'Tootmine (t)'!$B$10:$J$10</c:f>
              <c:numCache>
                <c:formatCode>0.0</c:formatCode>
                <c:ptCount val="9"/>
                <c:pt idx="0">
                  <c:v>22.765000000000001</c:v>
                </c:pt>
                <c:pt idx="1">
                  <c:v>25.263999999999999</c:v>
                </c:pt>
                <c:pt idx="2">
                  <c:v>28.81</c:v>
                </c:pt>
                <c:pt idx="3">
                  <c:v>29.885999999999999</c:v>
                </c:pt>
                <c:pt idx="4">
                  <c:v>27.515999999999998</c:v>
                </c:pt>
                <c:pt idx="5">
                  <c:v>29.318000000000001</c:v>
                </c:pt>
                <c:pt idx="6">
                  <c:v>23.533000000000001</c:v>
                </c:pt>
                <c:pt idx="7">
                  <c:v>12.957000000000001</c:v>
                </c:pt>
                <c:pt idx="8">
                  <c:v>15.956</c:v>
                </c:pt>
              </c:numCache>
            </c:numRef>
          </c:val>
          <c:smooth val="0"/>
        </c:ser>
        <c:ser>
          <c:idx val="7"/>
          <c:order val="6"/>
          <c:tx>
            <c:strRef>
              <c:f>'Tootmine (t)'!$A$11</c:f>
              <c:strCache>
                <c:ptCount val="1"/>
                <c:pt idx="0">
                  <c:v>Õlikook</c:v>
                </c:pt>
              </c:strCache>
            </c:strRef>
          </c:tx>
          <c:dPt>
            <c:idx val="8"/>
            <c:marker>
              <c:symbol val="triangle"/>
              <c:size val="25"/>
            </c:marker>
            <c:bubble3D val="0"/>
          </c:dPt>
          <c:dLbls>
            <c:dLbl>
              <c:idx val="8"/>
              <c:layout>
                <c:manualLayout>
                  <c:x val="-6.1720175914577458E-2"/>
                  <c:y val="1.7737618443994657E-2"/>
                </c:manualLayout>
              </c:layout>
              <c:dLblPos val="r"/>
              <c:showLegendKey val="0"/>
              <c:showVal val="1"/>
              <c:showCatName val="0"/>
              <c:showSerName val="0"/>
              <c:showPercent val="0"/>
              <c:showBubbleSize val="0"/>
            </c:dLbl>
            <c:dLblPos val="ctr"/>
            <c:showLegendKey val="0"/>
            <c:showVal val="0"/>
            <c:showCatName val="0"/>
            <c:showSerName val="0"/>
            <c:showPercent val="0"/>
            <c:showBubbleSize val="0"/>
          </c:dLbls>
          <c:cat>
            <c:strRef>
              <c:f>'Tootmine (t)'!$B$4:$J$4</c:f>
              <c:strCache>
                <c:ptCount val="9"/>
                <c:pt idx="0">
                  <c:v>2004</c:v>
                </c:pt>
                <c:pt idx="1">
                  <c:v>2005</c:v>
                </c:pt>
                <c:pt idx="2">
                  <c:v>2006</c:v>
                </c:pt>
                <c:pt idx="3">
                  <c:v>2007</c:v>
                </c:pt>
                <c:pt idx="4">
                  <c:v>2008</c:v>
                </c:pt>
                <c:pt idx="5">
                  <c:v>2009</c:v>
                </c:pt>
                <c:pt idx="6">
                  <c:v>2010</c:v>
                </c:pt>
                <c:pt idx="7">
                  <c:v>2011</c:v>
                </c:pt>
                <c:pt idx="8">
                  <c:v>2012</c:v>
                </c:pt>
              </c:strCache>
            </c:strRef>
          </c:cat>
          <c:val>
            <c:numRef>
              <c:f>'Tootmine (t)'!$B$11:$J$11</c:f>
              <c:numCache>
                <c:formatCode>0.0</c:formatCode>
                <c:ptCount val="9"/>
                <c:pt idx="0">
                  <c:v>39.280999999999999</c:v>
                </c:pt>
                <c:pt idx="1">
                  <c:v>42.234999999999999</c:v>
                </c:pt>
                <c:pt idx="2">
                  <c:v>43.09</c:v>
                </c:pt>
                <c:pt idx="3">
                  <c:v>46.444000000000003</c:v>
                </c:pt>
                <c:pt idx="4">
                  <c:v>44.311999999999998</c:v>
                </c:pt>
                <c:pt idx="5">
                  <c:v>43.087000000000003</c:v>
                </c:pt>
                <c:pt idx="6">
                  <c:v>39.027999999999999</c:v>
                </c:pt>
                <c:pt idx="7">
                  <c:v>25.242000000000001</c:v>
                </c:pt>
                <c:pt idx="8">
                  <c:v>30.486999999999998</c:v>
                </c:pt>
              </c:numCache>
            </c:numRef>
          </c:val>
          <c:smooth val="0"/>
        </c:ser>
        <c:dLbls>
          <c:showLegendKey val="0"/>
          <c:showVal val="0"/>
          <c:showCatName val="0"/>
          <c:showSerName val="0"/>
          <c:showPercent val="0"/>
          <c:showBubbleSize val="0"/>
        </c:dLbls>
        <c:marker val="1"/>
        <c:smooth val="0"/>
        <c:axId val="83409152"/>
        <c:axId val="83423232"/>
      </c:lineChart>
      <c:catAx>
        <c:axId val="83409152"/>
        <c:scaling>
          <c:orientation val="minMax"/>
        </c:scaling>
        <c:delete val="0"/>
        <c:axPos val="b"/>
        <c:majorTickMark val="out"/>
        <c:minorTickMark val="none"/>
        <c:tickLblPos val="nextTo"/>
        <c:crossAx val="83423232"/>
        <c:crosses val="autoZero"/>
        <c:auto val="1"/>
        <c:lblAlgn val="ctr"/>
        <c:lblOffset val="100"/>
        <c:noMultiLvlLbl val="0"/>
      </c:catAx>
      <c:valAx>
        <c:axId val="83423232"/>
        <c:scaling>
          <c:orientation val="minMax"/>
        </c:scaling>
        <c:delete val="0"/>
        <c:axPos val="l"/>
        <c:majorGridlines/>
        <c:numFmt formatCode="General" sourceLinked="1"/>
        <c:majorTickMark val="out"/>
        <c:minorTickMark val="none"/>
        <c:tickLblPos val="nextTo"/>
        <c:crossAx val="83409152"/>
        <c:crosses val="autoZero"/>
        <c:crossBetween val="between"/>
      </c:valAx>
      <c:valAx>
        <c:axId val="83424768"/>
        <c:scaling>
          <c:orientation val="minMax"/>
        </c:scaling>
        <c:delete val="0"/>
        <c:axPos val="r"/>
        <c:numFmt formatCode="General" sourceLinked="1"/>
        <c:majorTickMark val="out"/>
        <c:minorTickMark val="none"/>
        <c:tickLblPos val="nextTo"/>
        <c:crossAx val="83426304"/>
        <c:crosses val="max"/>
        <c:crossBetween val="between"/>
      </c:valAx>
      <c:catAx>
        <c:axId val="83426304"/>
        <c:scaling>
          <c:orientation val="minMax"/>
        </c:scaling>
        <c:delete val="1"/>
        <c:axPos val="b"/>
        <c:majorTickMark val="out"/>
        <c:minorTickMark val="none"/>
        <c:tickLblPos val="nextTo"/>
        <c:crossAx val="83424768"/>
        <c:crosses val="autoZero"/>
        <c:auto val="1"/>
        <c:lblAlgn val="ctr"/>
        <c:lblOffset val="100"/>
        <c:noMultiLvlLbl val="0"/>
      </c:catAx>
    </c:plotArea>
    <c:legend>
      <c:legendPos val="r"/>
      <c:layout>
        <c:manualLayout>
          <c:xMode val="edge"/>
          <c:yMode val="edge"/>
          <c:x val="5.1596170556696026E-2"/>
          <c:y val="0.88524580917356677"/>
          <c:w val="0.87611934425840055"/>
          <c:h val="0.11475419082643325"/>
        </c:manualLayout>
      </c:layout>
      <c:overlay val="0"/>
    </c:legend>
    <c:plotVisOnly val="1"/>
    <c:dispBlanksAs val="gap"/>
    <c:showDLblsOverMax val="0"/>
  </c:chart>
  <c:spPr>
    <a:ln>
      <a:solidFill>
        <a:schemeClr val="bg1"/>
      </a:solidFill>
    </a:ln>
  </c:spPr>
  <c:txPr>
    <a:bodyPr/>
    <a:lstStyle/>
    <a:p>
      <a:pPr>
        <a:defRPr sz="1000"/>
      </a:pPr>
      <a:endParaRPr lang="et-EE"/>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4041115577153812E-2"/>
          <c:y val="8.4949305194718674E-2"/>
          <c:w val="0.89201297826715331"/>
          <c:h val="0.65262044771848038"/>
        </c:manualLayout>
      </c:layout>
      <c:barChart>
        <c:barDir val="col"/>
        <c:grouping val="stacked"/>
        <c:varyColors val="0"/>
        <c:ser>
          <c:idx val="1"/>
          <c:order val="1"/>
          <c:tx>
            <c:strRef>
              <c:f>Ressurss!$A$6</c:f>
              <c:strCache>
                <c:ptCount val="1"/>
                <c:pt idx="0">
                  <c:v>..tarbimine seemnena </c:v>
                </c:pt>
              </c:strCache>
            </c:strRef>
          </c:tx>
          <c:invertIfNegative val="0"/>
          <c:cat>
            <c:strRef>
              <c:f>Ressurss!$F$3:$O$3</c:f>
              <c:strCache>
                <c:ptCount val="10"/>
                <c:pt idx="0">
                  <c:v>2003/04</c:v>
                </c:pt>
                <c:pt idx="1">
                  <c:v>2004/05</c:v>
                </c:pt>
                <c:pt idx="2">
                  <c:v>2005/06</c:v>
                </c:pt>
                <c:pt idx="3">
                  <c:v>2006/07</c:v>
                </c:pt>
                <c:pt idx="4">
                  <c:v>2007/08</c:v>
                </c:pt>
                <c:pt idx="5">
                  <c:v>2008/09</c:v>
                </c:pt>
                <c:pt idx="6">
                  <c:v>2009/10</c:v>
                </c:pt>
                <c:pt idx="7">
                  <c:v>2010/11</c:v>
                </c:pt>
                <c:pt idx="8">
                  <c:v>2011/12</c:v>
                </c:pt>
                <c:pt idx="9">
                  <c:v>2012/13</c:v>
                </c:pt>
              </c:strCache>
            </c:strRef>
          </c:cat>
          <c:val>
            <c:numRef>
              <c:f>Ressurss!$F$6:$O$6</c:f>
              <c:numCache>
                <c:formatCode>0</c:formatCode>
                <c:ptCount val="10"/>
                <c:pt idx="0">
                  <c:v>64.494</c:v>
                </c:pt>
                <c:pt idx="1">
                  <c:v>64.376000000000005</c:v>
                </c:pt>
                <c:pt idx="2">
                  <c:v>66.14</c:v>
                </c:pt>
                <c:pt idx="3">
                  <c:v>75.950999999999993</c:v>
                </c:pt>
                <c:pt idx="4">
                  <c:v>86.822999999999993</c:v>
                </c:pt>
                <c:pt idx="5">
                  <c:v>71.867000000000004</c:v>
                </c:pt>
                <c:pt idx="6">
                  <c:v>68.984999999999999</c:v>
                </c:pt>
                <c:pt idx="7">
                  <c:v>67.659000000000006</c:v>
                </c:pt>
                <c:pt idx="8">
                  <c:v>58.853000000000002</c:v>
                </c:pt>
                <c:pt idx="9">
                  <c:v>69.593999999999994</c:v>
                </c:pt>
              </c:numCache>
            </c:numRef>
          </c:val>
        </c:ser>
        <c:ser>
          <c:idx val="2"/>
          <c:order val="2"/>
          <c:tx>
            <c:strRef>
              <c:f>Ressurss!$A$7</c:f>
              <c:strCache>
                <c:ptCount val="1"/>
                <c:pt idx="0">
                  <c:v>..kadu </c:v>
                </c:pt>
              </c:strCache>
            </c:strRef>
          </c:tx>
          <c:invertIfNegative val="0"/>
          <c:cat>
            <c:strRef>
              <c:f>Ressurss!$F$3:$O$3</c:f>
              <c:strCache>
                <c:ptCount val="10"/>
                <c:pt idx="0">
                  <c:v>2003/04</c:v>
                </c:pt>
                <c:pt idx="1">
                  <c:v>2004/05</c:v>
                </c:pt>
                <c:pt idx="2">
                  <c:v>2005/06</c:v>
                </c:pt>
                <c:pt idx="3">
                  <c:v>2006/07</c:v>
                </c:pt>
                <c:pt idx="4">
                  <c:v>2007/08</c:v>
                </c:pt>
                <c:pt idx="5">
                  <c:v>2008/09</c:v>
                </c:pt>
                <c:pt idx="6">
                  <c:v>2009/10</c:v>
                </c:pt>
                <c:pt idx="7">
                  <c:v>2010/11</c:v>
                </c:pt>
                <c:pt idx="8">
                  <c:v>2011/12</c:v>
                </c:pt>
                <c:pt idx="9">
                  <c:v>2012/13</c:v>
                </c:pt>
              </c:strCache>
            </c:strRef>
          </c:cat>
          <c:val>
            <c:numRef>
              <c:f>Ressurss!$F$7:$O$7</c:f>
              <c:numCache>
                <c:formatCode>0</c:formatCode>
                <c:ptCount val="10"/>
                <c:pt idx="0">
                  <c:v>4.0759999999999996</c:v>
                </c:pt>
                <c:pt idx="1">
                  <c:v>9.7690000000000001</c:v>
                </c:pt>
                <c:pt idx="2">
                  <c:v>4.4950000000000001</c:v>
                </c:pt>
                <c:pt idx="3">
                  <c:v>5.0289999999999999</c:v>
                </c:pt>
                <c:pt idx="4">
                  <c:v>5.056</c:v>
                </c:pt>
                <c:pt idx="5">
                  <c:v>5.29</c:v>
                </c:pt>
                <c:pt idx="6">
                  <c:v>5.7619999999999996</c:v>
                </c:pt>
                <c:pt idx="7">
                  <c:v>3.024</c:v>
                </c:pt>
                <c:pt idx="8">
                  <c:v>6.42</c:v>
                </c:pt>
                <c:pt idx="9">
                  <c:v>4.3310000000000004</c:v>
                </c:pt>
              </c:numCache>
            </c:numRef>
          </c:val>
        </c:ser>
        <c:ser>
          <c:idx val="3"/>
          <c:order val="3"/>
          <c:tx>
            <c:strRef>
              <c:f>Ressurss!$A$8</c:f>
              <c:strCache>
                <c:ptCount val="1"/>
                <c:pt idx="0">
                  <c:v>..tarbimine loomasöödana </c:v>
                </c:pt>
              </c:strCache>
            </c:strRef>
          </c:tx>
          <c:invertIfNegative val="0"/>
          <c:cat>
            <c:strRef>
              <c:f>Ressurss!$F$3:$O$3</c:f>
              <c:strCache>
                <c:ptCount val="10"/>
                <c:pt idx="0">
                  <c:v>2003/04</c:v>
                </c:pt>
                <c:pt idx="1">
                  <c:v>2004/05</c:v>
                </c:pt>
                <c:pt idx="2">
                  <c:v>2005/06</c:v>
                </c:pt>
                <c:pt idx="3">
                  <c:v>2006/07</c:v>
                </c:pt>
                <c:pt idx="4">
                  <c:v>2007/08</c:v>
                </c:pt>
                <c:pt idx="5">
                  <c:v>2008/09</c:v>
                </c:pt>
                <c:pt idx="6">
                  <c:v>2009/10</c:v>
                </c:pt>
                <c:pt idx="7">
                  <c:v>2010/11</c:v>
                </c:pt>
                <c:pt idx="8">
                  <c:v>2011/12</c:v>
                </c:pt>
                <c:pt idx="9">
                  <c:v>2012/13</c:v>
                </c:pt>
              </c:strCache>
            </c:strRef>
          </c:cat>
          <c:val>
            <c:numRef>
              <c:f>Ressurss!$F$8:$O$8</c:f>
              <c:numCache>
                <c:formatCode>0</c:formatCode>
                <c:ptCount val="10"/>
                <c:pt idx="0">
                  <c:v>438.01299999999998</c:v>
                </c:pt>
                <c:pt idx="1">
                  <c:v>426.65800000000002</c:v>
                </c:pt>
                <c:pt idx="2">
                  <c:v>479.69099999999997</c:v>
                </c:pt>
                <c:pt idx="3">
                  <c:v>463.76400000000001</c:v>
                </c:pt>
                <c:pt idx="4">
                  <c:v>533.66600000000005</c:v>
                </c:pt>
                <c:pt idx="5">
                  <c:v>492.99599999999998</c:v>
                </c:pt>
                <c:pt idx="6">
                  <c:v>516.56600000000003</c:v>
                </c:pt>
                <c:pt idx="7">
                  <c:v>439.45299999999997</c:v>
                </c:pt>
                <c:pt idx="8">
                  <c:v>439.26100000000002</c:v>
                </c:pt>
                <c:pt idx="9">
                  <c:v>393.82900000000001</c:v>
                </c:pt>
              </c:numCache>
            </c:numRef>
          </c:val>
        </c:ser>
        <c:ser>
          <c:idx val="4"/>
          <c:order val="4"/>
          <c:tx>
            <c:strRef>
              <c:f>Ressurss!$A$9</c:f>
              <c:strCache>
                <c:ptCount val="1"/>
                <c:pt idx="0">
                  <c:v>..tööstuslik tarbimine* </c:v>
                </c:pt>
              </c:strCache>
            </c:strRef>
          </c:tx>
          <c:invertIfNegative val="0"/>
          <c:cat>
            <c:strRef>
              <c:f>Ressurss!$F$3:$O$3</c:f>
              <c:strCache>
                <c:ptCount val="10"/>
                <c:pt idx="0">
                  <c:v>2003/04</c:v>
                </c:pt>
                <c:pt idx="1">
                  <c:v>2004/05</c:v>
                </c:pt>
                <c:pt idx="2">
                  <c:v>2005/06</c:v>
                </c:pt>
                <c:pt idx="3">
                  <c:v>2006/07</c:v>
                </c:pt>
                <c:pt idx="4">
                  <c:v>2007/08</c:v>
                </c:pt>
                <c:pt idx="5">
                  <c:v>2008/09</c:v>
                </c:pt>
                <c:pt idx="6">
                  <c:v>2009/10</c:v>
                </c:pt>
                <c:pt idx="7">
                  <c:v>2010/11</c:v>
                </c:pt>
                <c:pt idx="8">
                  <c:v>2011/12</c:v>
                </c:pt>
                <c:pt idx="9">
                  <c:v>2012/13</c:v>
                </c:pt>
              </c:strCache>
            </c:strRef>
          </c:cat>
          <c:val>
            <c:numRef>
              <c:f>Ressurss!$F$9:$O$9</c:f>
              <c:numCache>
                <c:formatCode>0</c:formatCode>
                <c:ptCount val="10"/>
                <c:pt idx="0">
                  <c:v>34.628999999999998</c:v>
                </c:pt>
                <c:pt idx="1">
                  <c:v>44.726999999999997</c:v>
                </c:pt>
                <c:pt idx="2">
                  <c:v>40.838999999999999</c:v>
                </c:pt>
                <c:pt idx="3">
                  <c:v>48.353000000000002</c:v>
                </c:pt>
                <c:pt idx="4">
                  <c:v>39.335999999999999</c:v>
                </c:pt>
                <c:pt idx="5">
                  <c:v>28.472999999999999</c:v>
                </c:pt>
                <c:pt idx="6">
                  <c:v>25.422999999999998</c:v>
                </c:pt>
                <c:pt idx="7">
                  <c:v>27.07</c:v>
                </c:pt>
                <c:pt idx="8">
                  <c:v>28.376999999999999</c:v>
                </c:pt>
                <c:pt idx="9">
                  <c:v>28.832000000000001</c:v>
                </c:pt>
              </c:numCache>
            </c:numRef>
          </c:val>
        </c:ser>
        <c:ser>
          <c:idx val="5"/>
          <c:order val="5"/>
          <c:tx>
            <c:strRef>
              <c:f>Ressurss!$A$10</c:f>
              <c:strCache>
                <c:ptCount val="1"/>
                <c:pt idx="0">
                  <c:v>..inimtarbimine (terakaalus) </c:v>
                </c:pt>
              </c:strCache>
            </c:strRef>
          </c:tx>
          <c:invertIfNegative val="0"/>
          <c:cat>
            <c:strRef>
              <c:f>Ressurss!$F$3:$O$3</c:f>
              <c:strCache>
                <c:ptCount val="10"/>
                <c:pt idx="0">
                  <c:v>2003/04</c:v>
                </c:pt>
                <c:pt idx="1">
                  <c:v>2004/05</c:v>
                </c:pt>
                <c:pt idx="2">
                  <c:v>2005/06</c:v>
                </c:pt>
                <c:pt idx="3">
                  <c:v>2006/07</c:v>
                </c:pt>
                <c:pt idx="4">
                  <c:v>2007/08</c:v>
                </c:pt>
                <c:pt idx="5">
                  <c:v>2008/09</c:v>
                </c:pt>
                <c:pt idx="6">
                  <c:v>2009/10</c:v>
                </c:pt>
                <c:pt idx="7">
                  <c:v>2010/11</c:v>
                </c:pt>
                <c:pt idx="8">
                  <c:v>2011/12</c:v>
                </c:pt>
                <c:pt idx="9">
                  <c:v>2012/13</c:v>
                </c:pt>
              </c:strCache>
            </c:strRef>
          </c:cat>
          <c:val>
            <c:numRef>
              <c:f>Ressurss!$F$10:$O$10</c:f>
              <c:numCache>
                <c:formatCode>0</c:formatCode>
                <c:ptCount val="10"/>
                <c:pt idx="0">
                  <c:v>120.908</c:v>
                </c:pt>
                <c:pt idx="1">
                  <c:v>123.85599999999999</c:v>
                </c:pt>
                <c:pt idx="2">
                  <c:v>101.95699999999999</c:v>
                </c:pt>
                <c:pt idx="3">
                  <c:v>100.66800000000001</c:v>
                </c:pt>
                <c:pt idx="4">
                  <c:v>105.282</c:v>
                </c:pt>
                <c:pt idx="5">
                  <c:v>110.101</c:v>
                </c:pt>
                <c:pt idx="6">
                  <c:v>111.512</c:v>
                </c:pt>
                <c:pt idx="7">
                  <c:v>108.396</c:v>
                </c:pt>
                <c:pt idx="8">
                  <c:v>105.754</c:v>
                </c:pt>
                <c:pt idx="9">
                  <c:v>103.104</c:v>
                </c:pt>
              </c:numCache>
            </c:numRef>
          </c:val>
        </c:ser>
        <c:dLbls>
          <c:showLegendKey val="0"/>
          <c:showVal val="0"/>
          <c:showCatName val="0"/>
          <c:showSerName val="0"/>
          <c:showPercent val="0"/>
          <c:showBubbleSize val="0"/>
        </c:dLbls>
        <c:gapWidth val="71"/>
        <c:overlap val="100"/>
        <c:axId val="83536512"/>
        <c:axId val="83546496"/>
      </c:barChart>
      <c:lineChart>
        <c:grouping val="standard"/>
        <c:varyColors val="0"/>
        <c:ser>
          <c:idx val="0"/>
          <c:order val="0"/>
          <c:tx>
            <c:strRef>
              <c:f>Ressurss!$A$5</c:f>
              <c:strCache>
                <c:ptCount val="1"/>
                <c:pt idx="0">
                  <c:v>Tarbimine kokku </c:v>
                </c:pt>
              </c:strCache>
            </c:strRef>
          </c:tx>
          <c:spPr>
            <a:ln>
              <a:noFill/>
            </a:ln>
          </c:spPr>
          <c:marker>
            <c:symbol val="none"/>
          </c:marker>
          <c:dLbls>
            <c:dLbl>
              <c:idx val="2"/>
              <c:layout>
                <c:manualLayout>
                  <c:x val="-2.3355382464912321E-2"/>
                  <c:y val="-5.2288081293014987E-2"/>
                </c:manualLayout>
              </c:layout>
              <c:dLblPos val="r"/>
              <c:showLegendKey val="0"/>
              <c:showVal val="1"/>
              <c:showCatName val="0"/>
              <c:showSerName val="0"/>
              <c:showPercent val="0"/>
              <c:showBubbleSize val="0"/>
            </c:dLbl>
            <c:dLbl>
              <c:idx val="6"/>
              <c:layout>
                <c:manualLayout>
                  <c:x val="-2.3355382464912321E-2"/>
                  <c:y val="-5.504444790819356E-3"/>
                </c:manualLayout>
              </c:layout>
              <c:dLblPos val="r"/>
              <c:showLegendKey val="0"/>
              <c:showVal val="1"/>
              <c:showCatName val="0"/>
              <c:showSerName val="0"/>
              <c:showPercent val="0"/>
              <c:showBubbleSize val="0"/>
            </c:dLbl>
            <c:dLbl>
              <c:idx val="7"/>
              <c:layout>
                <c:manualLayout>
                  <c:x val="-2.3355382464912321E-2"/>
                  <c:y val="-4.936410401162776E-2"/>
                </c:manualLayout>
              </c:layout>
              <c:dLblPos val="r"/>
              <c:showLegendKey val="0"/>
              <c:showVal val="1"/>
              <c:showCatName val="0"/>
              <c:showSerName val="0"/>
              <c:showPercent val="0"/>
              <c:showBubbleSize val="0"/>
            </c:dLbl>
            <c:dLbl>
              <c:idx val="10"/>
              <c:layout>
                <c:manualLayout>
                  <c:x val="-2.808814172966451E-2"/>
                  <c:y val="-1.3883315347002944E-2"/>
                </c:manualLayout>
              </c:layout>
              <c:dLblPos val="r"/>
              <c:showLegendKey val="0"/>
              <c:showVal val="1"/>
              <c:showCatName val="0"/>
              <c:showSerName val="0"/>
              <c:showPercent val="0"/>
              <c:showBubbleSize val="0"/>
            </c:dLbl>
            <c:dLblPos val="t"/>
            <c:showLegendKey val="0"/>
            <c:showVal val="1"/>
            <c:showCatName val="0"/>
            <c:showSerName val="0"/>
            <c:showPercent val="0"/>
            <c:showBubbleSize val="0"/>
            <c:showLeaderLines val="0"/>
          </c:dLbls>
          <c:cat>
            <c:strRef>
              <c:f>Ressurss!$F$3:$O$3</c:f>
              <c:strCache>
                <c:ptCount val="10"/>
                <c:pt idx="0">
                  <c:v>2003/04</c:v>
                </c:pt>
                <c:pt idx="1">
                  <c:v>2004/05</c:v>
                </c:pt>
                <c:pt idx="2">
                  <c:v>2005/06</c:v>
                </c:pt>
                <c:pt idx="3">
                  <c:v>2006/07</c:v>
                </c:pt>
                <c:pt idx="4">
                  <c:v>2007/08</c:v>
                </c:pt>
                <c:pt idx="5">
                  <c:v>2008/09</c:v>
                </c:pt>
                <c:pt idx="6">
                  <c:v>2009/10</c:v>
                </c:pt>
                <c:pt idx="7">
                  <c:v>2010/11</c:v>
                </c:pt>
                <c:pt idx="8">
                  <c:v>2011/12</c:v>
                </c:pt>
                <c:pt idx="9">
                  <c:v>2012/13</c:v>
                </c:pt>
              </c:strCache>
            </c:strRef>
          </c:cat>
          <c:val>
            <c:numRef>
              <c:f>Ressurss!$F$5:$O$5</c:f>
              <c:numCache>
                <c:formatCode>0</c:formatCode>
                <c:ptCount val="10"/>
                <c:pt idx="0">
                  <c:v>662.12</c:v>
                </c:pt>
                <c:pt idx="1">
                  <c:v>669.38599999999997</c:v>
                </c:pt>
                <c:pt idx="2">
                  <c:v>693.12199999999996</c:v>
                </c:pt>
                <c:pt idx="3">
                  <c:v>693.76499999999999</c:v>
                </c:pt>
                <c:pt idx="4">
                  <c:v>770.16300000000001</c:v>
                </c:pt>
                <c:pt idx="5">
                  <c:v>708.72699999999998</c:v>
                </c:pt>
                <c:pt idx="6">
                  <c:v>728.24800000000005</c:v>
                </c:pt>
                <c:pt idx="7">
                  <c:v>645.60199999999998</c:v>
                </c:pt>
                <c:pt idx="8">
                  <c:v>638.66499999999996</c:v>
                </c:pt>
                <c:pt idx="9">
                  <c:v>599.69000000000005</c:v>
                </c:pt>
              </c:numCache>
            </c:numRef>
          </c:val>
          <c:smooth val="0"/>
        </c:ser>
        <c:dLbls>
          <c:showLegendKey val="0"/>
          <c:showVal val="0"/>
          <c:showCatName val="0"/>
          <c:showSerName val="0"/>
          <c:showPercent val="0"/>
          <c:showBubbleSize val="0"/>
        </c:dLbls>
        <c:marker val="1"/>
        <c:smooth val="0"/>
        <c:axId val="83536512"/>
        <c:axId val="83546496"/>
      </c:lineChart>
      <c:lineChart>
        <c:grouping val="standard"/>
        <c:varyColors val="0"/>
        <c:ser>
          <c:idx val="6"/>
          <c:order val="6"/>
          <c:tx>
            <c:strRef>
              <c:f>Ressurss!$A$11</c:f>
              <c:strCache>
                <c:ptCount val="1"/>
                <c:pt idx="0">
                  <c:v>Isevarustatuse tase (%)</c:v>
                </c:pt>
              </c:strCache>
            </c:strRef>
          </c:tx>
          <c:marker>
            <c:symbol val="circle"/>
            <c:size val="17"/>
            <c:spPr>
              <a:solidFill>
                <a:schemeClr val="accent1"/>
              </a:solidFill>
              <a:ln>
                <a:solidFill>
                  <a:schemeClr val="tx2">
                    <a:lumMod val="40000"/>
                    <a:lumOff val="60000"/>
                  </a:schemeClr>
                </a:solidFill>
              </a:ln>
            </c:spPr>
          </c:marker>
          <c:dLbls>
            <c:dLbl>
              <c:idx val="10"/>
              <c:layout>
                <c:manualLayout>
                  <c:x val="-4.0296555977501911E-2"/>
                  <c:y val="0"/>
                </c:manualLayout>
              </c:layout>
              <c:dLblPos val="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Ressurss!$F$3:$O$3</c:f>
              <c:strCache>
                <c:ptCount val="10"/>
                <c:pt idx="0">
                  <c:v>2003/04</c:v>
                </c:pt>
                <c:pt idx="1">
                  <c:v>2004/05</c:v>
                </c:pt>
                <c:pt idx="2">
                  <c:v>2005/06</c:v>
                </c:pt>
                <c:pt idx="3">
                  <c:v>2006/07</c:v>
                </c:pt>
                <c:pt idx="4">
                  <c:v>2007/08</c:v>
                </c:pt>
                <c:pt idx="5">
                  <c:v>2008/09</c:v>
                </c:pt>
                <c:pt idx="6">
                  <c:v>2009/10</c:v>
                </c:pt>
                <c:pt idx="7">
                  <c:v>2010/11</c:v>
                </c:pt>
                <c:pt idx="8">
                  <c:v>2011/12</c:v>
                </c:pt>
                <c:pt idx="9">
                  <c:v>2012/13</c:v>
                </c:pt>
              </c:strCache>
            </c:strRef>
          </c:cat>
          <c:val>
            <c:numRef>
              <c:f>Ressurss!$F$11:$O$11</c:f>
              <c:numCache>
                <c:formatCode>0</c:formatCode>
                <c:ptCount val="10"/>
                <c:pt idx="0">
                  <c:v>76.379810306288888</c:v>
                </c:pt>
                <c:pt idx="1">
                  <c:v>90.851616257286537</c:v>
                </c:pt>
                <c:pt idx="2">
                  <c:v>109.65933847143793</c:v>
                </c:pt>
                <c:pt idx="3">
                  <c:v>89.265385252931466</c:v>
                </c:pt>
                <c:pt idx="4">
                  <c:v>114.19335906814531</c:v>
                </c:pt>
                <c:pt idx="5">
                  <c:v>121.94004179324338</c:v>
                </c:pt>
                <c:pt idx="6">
                  <c:v>119.94073447506892</c:v>
                </c:pt>
                <c:pt idx="7">
                  <c:v>105.07464351101763</c:v>
                </c:pt>
                <c:pt idx="8">
                  <c:v>120.80903133880831</c:v>
                </c:pt>
                <c:pt idx="9">
                  <c:v>165.28489719688503</c:v>
                </c:pt>
              </c:numCache>
            </c:numRef>
          </c:val>
          <c:smooth val="0"/>
        </c:ser>
        <c:dLbls>
          <c:showLegendKey val="0"/>
          <c:showVal val="0"/>
          <c:showCatName val="0"/>
          <c:showSerName val="0"/>
          <c:showPercent val="0"/>
          <c:showBubbleSize val="0"/>
        </c:dLbls>
        <c:marker val="1"/>
        <c:smooth val="0"/>
        <c:axId val="83549568"/>
        <c:axId val="83548032"/>
      </c:lineChart>
      <c:catAx>
        <c:axId val="83536512"/>
        <c:scaling>
          <c:orientation val="minMax"/>
        </c:scaling>
        <c:delete val="0"/>
        <c:axPos val="b"/>
        <c:majorTickMark val="out"/>
        <c:minorTickMark val="none"/>
        <c:tickLblPos val="nextTo"/>
        <c:txPr>
          <a:bodyPr rot="0" vert="horz"/>
          <a:lstStyle/>
          <a:p>
            <a:pPr>
              <a:defRPr/>
            </a:pPr>
            <a:endParaRPr lang="et-EE"/>
          </a:p>
        </c:txPr>
        <c:crossAx val="83546496"/>
        <c:crosses val="autoZero"/>
        <c:auto val="1"/>
        <c:lblAlgn val="ctr"/>
        <c:lblOffset val="100"/>
        <c:noMultiLvlLbl val="0"/>
      </c:catAx>
      <c:valAx>
        <c:axId val="83546496"/>
        <c:scaling>
          <c:orientation val="minMax"/>
        </c:scaling>
        <c:delete val="0"/>
        <c:axPos val="l"/>
        <c:majorGridlines/>
        <c:numFmt formatCode="0" sourceLinked="1"/>
        <c:majorTickMark val="out"/>
        <c:minorTickMark val="none"/>
        <c:tickLblPos val="nextTo"/>
        <c:crossAx val="83536512"/>
        <c:crosses val="autoZero"/>
        <c:crossBetween val="between"/>
      </c:valAx>
      <c:valAx>
        <c:axId val="83548032"/>
        <c:scaling>
          <c:orientation val="minMax"/>
          <c:min val="40"/>
        </c:scaling>
        <c:delete val="0"/>
        <c:axPos val="r"/>
        <c:numFmt formatCode="General" sourceLinked="0"/>
        <c:majorTickMark val="out"/>
        <c:minorTickMark val="none"/>
        <c:tickLblPos val="nextTo"/>
        <c:crossAx val="83549568"/>
        <c:crosses val="max"/>
        <c:crossBetween val="between"/>
      </c:valAx>
      <c:catAx>
        <c:axId val="83549568"/>
        <c:scaling>
          <c:orientation val="minMax"/>
        </c:scaling>
        <c:delete val="1"/>
        <c:axPos val="b"/>
        <c:majorTickMark val="out"/>
        <c:minorTickMark val="none"/>
        <c:tickLblPos val="nextTo"/>
        <c:crossAx val="83548032"/>
        <c:crosses val="autoZero"/>
        <c:auto val="1"/>
        <c:lblAlgn val="ctr"/>
        <c:lblOffset val="100"/>
        <c:noMultiLvlLbl val="0"/>
      </c:catAx>
    </c:plotArea>
    <c:legend>
      <c:legendPos val="r"/>
      <c:legendEntry>
        <c:idx val="5"/>
        <c:delete val="1"/>
      </c:legendEntry>
      <c:layout>
        <c:manualLayout>
          <c:xMode val="edge"/>
          <c:yMode val="edge"/>
          <c:x val="5.7941853288623342E-2"/>
          <c:y val="0.82165096966684381"/>
          <c:w val="0.94117301065066394"/>
          <c:h val="9.4790596827570461E-2"/>
        </c:manualLayout>
      </c:layout>
      <c:overlay val="0"/>
      <c:spPr>
        <a:solidFill>
          <a:schemeClr val="bg1"/>
        </a:solidFill>
        <a:ln>
          <a:solidFill>
            <a:sysClr val="window" lastClr="FFFFFF"/>
          </a:solidFill>
        </a:ln>
      </c:spPr>
    </c:legend>
    <c:plotVisOnly val="1"/>
    <c:dispBlanksAs val="gap"/>
    <c:showDLblsOverMax val="0"/>
  </c:chart>
  <c:spPr>
    <a:ln>
      <a:solidFill>
        <a:sysClr val="window" lastClr="FFFFFF"/>
      </a:solidFill>
    </a:ln>
  </c:spPr>
  <c:txPr>
    <a:bodyPr/>
    <a:lstStyle/>
    <a:p>
      <a:pPr>
        <a:defRPr sz="1000"/>
      </a:pPr>
      <a:endParaRPr lang="et-EE"/>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t-EE"/>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0897403132923799E-2"/>
          <c:y val="6.9358680762514321E-2"/>
          <c:w val="0.79082055996389544"/>
          <c:h val="0.7122202815557146"/>
        </c:manualLayout>
      </c:layout>
      <c:barChart>
        <c:barDir val="col"/>
        <c:grouping val="clustered"/>
        <c:varyColors val="0"/>
        <c:ser>
          <c:idx val="1"/>
          <c:order val="0"/>
          <c:tx>
            <c:strRef>
              <c:f>'joonis SA'!$N$18</c:f>
              <c:strCache>
                <c:ptCount val="1"/>
                <c:pt idx="0">
                  <c:v> Kasvupind, tuhat ha</c:v>
                </c:pt>
              </c:strCache>
            </c:strRef>
          </c:tx>
          <c:spPr>
            <a:solidFill>
              <a:srgbClr val="796EAA"/>
            </a:solidFill>
          </c:spPr>
          <c:invertIfNegative val="0"/>
          <c:cat>
            <c:strRef>
              <c:f>'joonis SA'!$O$17:$X$17</c:f>
              <c:strCache>
                <c:ptCount val="10"/>
                <c:pt idx="0">
                  <c:v>2003</c:v>
                </c:pt>
                <c:pt idx="1">
                  <c:v>2004</c:v>
                </c:pt>
                <c:pt idx="2">
                  <c:v>2005</c:v>
                </c:pt>
                <c:pt idx="3">
                  <c:v>2006</c:v>
                </c:pt>
                <c:pt idx="4">
                  <c:v>2007</c:v>
                </c:pt>
                <c:pt idx="5">
                  <c:v>2008</c:v>
                </c:pt>
                <c:pt idx="6">
                  <c:v>2009</c:v>
                </c:pt>
                <c:pt idx="7">
                  <c:v>2010</c:v>
                </c:pt>
                <c:pt idx="8">
                  <c:v>2011*</c:v>
                </c:pt>
                <c:pt idx="9">
                  <c:v>2012*</c:v>
                </c:pt>
              </c:strCache>
            </c:strRef>
          </c:cat>
          <c:val>
            <c:numRef>
              <c:f>'joonis SA'!$O$18:$X$18</c:f>
              <c:numCache>
                <c:formatCode>#,##0</c:formatCode>
                <c:ptCount val="10"/>
                <c:pt idx="0">
                  <c:v>263.2</c:v>
                </c:pt>
                <c:pt idx="1">
                  <c:v>261</c:v>
                </c:pt>
                <c:pt idx="2">
                  <c:v>282.10000000000002</c:v>
                </c:pt>
                <c:pt idx="3">
                  <c:v>280.3</c:v>
                </c:pt>
                <c:pt idx="4">
                  <c:v>292.3</c:v>
                </c:pt>
                <c:pt idx="5">
                  <c:v>309.3</c:v>
                </c:pt>
                <c:pt idx="6">
                  <c:v>316.39999999999998</c:v>
                </c:pt>
                <c:pt idx="7">
                  <c:v>275.3</c:v>
                </c:pt>
                <c:pt idx="8">
                  <c:v>297</c:v>
                </c:pt>
                <c:pt idx="9">
                  <c:v>290.5</c:v>
                </c:pt>
              </c:numCache>
            </c:numRef>
          </c:val>
        </c:ser>
        <c:dLbls>
          <c:showLegendKey val="0"/>
          <c:showVal val="0"/>
          <c:showCatName val="0"/>
          <c:showSerName val="0"/>
          <c:showPercent val="0"/>
          <c:showBubbleSize val="0"/>
        </c:dLbls>
        <c:gapWidth val="150"/>
        <c:axId val="78948992"/>
        <c:axId val="78954880"/>
      </c:barChart>
      <c:lineChart>
        <c:grouping val="standard"/>
        <c:varyColors val="0"/>
        <c:ser>
          <c:idx val="2"/>
          <c:order val="1"/>
          <c:tx>
            <c:strRef>
              <c:f>'joonis SA'!$N$19</c:f>
              <c:strCache>
                <c:ptCount val="1"/>
                <c:pt idx="0">
                  <c:v> Tootjate arv</c:v>
                </c:pt>
              </c:strCache>
            </c:strRef>
          </c:tx>
          <c:spPr>
            <a:ln>
              <a:solidFill>
                <a:srgbClr val="95BF69"/>
              </a:solidFill>
            </a:ln>
            <a:effectLst/>
          </c:spPr>
          <c:marker>
            <c:symbol val="none"/>
          </c:marker>
          <c:cat>
            <c:strRef>
              <c:f>'joonis SA'!$O$17:$X$17</c:f>
              <c:strCache>
                <c:ptCount val="10"/>
                <c:pt idx="0">
                  <c:v>2003</c:v>
                </c:pt>
                <c:pt idx="1">
                  <c:v>2004</c:v>
                </c:pt>
                <c:pt idx="2">
                  <c:v>2005</c:v>
                </c:pt>
                <c:pt idx="3">
                  <c:v>2006</c:v>
                </c:pt>
                <c:pt idx="4">
                  <c:v>2007</c:v>
                </c:pt>
                <c:pt idx="5">
                  <c:v>2008</c:v>
                </c:pt>
                <c:pt idx="6">
                  <c:v>2009</c:v>
                </c:pt>
                <c:pt idx="7">
                  <c:v>2010</c:v>
                </c:pt>
                <c:pt idx="8">
                  <c:v>2011*</c:v>
                </c:pt>
                <c:pt idx="9">
                  <c:v>2012*</c:v>
                </c:pt>
              </c:strCache>
            </c:strRef>
          </c:cat>
          <c:val>
            <c:numRef>
              <c:f>'joonis SA'!$O$19:$X$19</c:f>
              <c:numCache>
                <c:formatCode>#,##0</c:formatCode>
                <c:ptCount val="10"/>
                <c:pt idx="0">
                  <c:v>14122</c:v>
                </c:pt>
                <c:pt idx="1">
                  <c:v>12269.5</c:v>
                </c:pt>
                <c:pt idx="2">
                  <c:v>10417</c:v>
                </c:pt>
                <c:pt idx="3">
                  <c:v>9192</c:v>
                </c:pt>
                <c:pt idx="4">
                  <c:v>7967</c:v>
                </c:pt>
                <c:pt idx="5">
                  <c:v>7220.666666666667</c:v>
                </c:pt>
                <c:pt idx="6">
                  <c:v>6474.3333333333339</c:v>
                </c:pt>
                <c:pt idx="7">
                  <c:v>5728</c:v>
                </c:pt>
                <c:pt idx="8">
                  <c:v>5228</c:v>
                </c:pt>
                <c:pt idx="9">
                  <c:v>4728</c:v>
                </c:pt>
              </c:numCache>
            </c:numRef>
          </c:val>
          <c:smooth val="1"/>
        </c:ser>
        <c:dLbls>
          <c:showLegendKey val="0"/>
          <c:showVal val="0"/>
          <c:showCatName val="0"/>
          <c:showSerName val="0"/>
          <c:showPercent val="0"/>
          <c:showBubbleSize val="0"/>
        </c:dLbls>
        <c:marker val="1"/>
        <c:smooth val="0"/>
        <c:axId val="78958976"/>
        <c:axId val="78956800"/>
      </c:lineChart>
      <c:catAx>
        <c:axId val="78948992"/>
        <c:scaling>
          <c:orientation val="minMax"/>
        </c:scaling>
        <c:delete val="0"/>
        <c:axPos val="b"/>
        <c:numFmt formatCode="General" sourceLinked="1"/>
        <c:majorTickMark val="out"/>
        <c:minorTickMark val="out"/>
        <c:tickLblPos val="nextTo"/>
        <c:spPr>
          <a:ln>
            <a:solidFill>
              <a:srgbClr val="908E46"/>
            </a:solidFill>
          </a:ln>
        </c:spPr>
        <c:txPr>
          <a:bodyPr rot="0" vert="horz"/>
          <a:lstStyle/>
          <a:p>
            <a:pPr>
              <a:defRPr/>
            </a:pPr>
            <a:endParaRPr lang="et-EE"/>
          </a:p>
        </c:txPr>
        <c:crossAx val="78954880"/>
        <c:crosses val="autoZero"/>
        <c:auto val="1"/>
        <c:lblAlgn val="r"/>
        <c:lblOffset val="1"/>
        <c:tickMarkSkip val="2"/>
        <c:noMultiLvlLbl val="0"/>
      </c:catAx>
      <c:valAx>
        <c:axId val="78954880"/>
        <c:scaling>
          <c:orientation val="minMax"/>
        </c:scaling>
        <c:delete val="0"/>
        <c:axPos val="l"/>
        <c:majorGridlines>
          <c:spPr>
            <a:ln>
              <a:solidFill>
                <a:srgbClr val="908E46"/>
              </a:solidFill>
            </a:ln>
          </c:spPr>
        </c:majorGridlines>
        <c:title>
          <c:tx>
            <c:rich>
              <a:bodyPr rot="-5400000" vert="horz"/>
              <a:lstStyle/>
              <a:p>
                <a:pPr>
                  <a:defRPr/>
                </a:pPr>
                <a:r>
                  <a:rPr lang="et-EE"/>
                  <a:t>Kasvupind,  tuhat ha</a:t>
                </a:r>
              </a:p>
            </c:rich>
          </c:tx>
          <c:layout>
            <c:manualLayout>
              <c:xMode val="edge"/>
              <c:yMode val="edge"/>
              <c:x val="0"/>
              <c:y val="0.2183877612907949"/>
            </c:manualLayout>
          </c:layout>
          <c:overlay val="0"/>
        </c:title>
        <c:numFmt formatCode="#,##0" sourceLinked="0"/>
        <c:majorTickMark val="out"/>
        <c:minorTickMark val="none"/>
        <c:tickLblPos val="nextTo"/>
        <c:spPr>
          <a:ln>
            <a:solidFill>
              <a:srgbClr val="908E46"/>
            </a:solidFill>
          </a:ln>
        </c:spPr>
        <c:crossAx val="78948992"/>
        <c:crosses val="autoZero"/>
        <c:crossBetween val="between"/>
      </c:valAx>
      <c:valAx>
        <c:axId val="78956800"/>
        <c:scaling>
          <c:orientation val="minMax"/>
        </c:scaling>
        <c:delete val="0"/>
        <c:axPos val="r"/>
        <c:title>
          <c:tx>
            <c:rich>
              <a:bodyPr rot="-5400000" vert="horz"/>
              <a:lstStyle/>
              <a:p>
                <a:pPr>
                  <a:defRPr/>
                </a:pPr>
                <a:r>
                  <a:rPr lang="et-EE"/>
                  <a:t>Tootjate arv</a:t>
                </a:r>
              </a:p>
            </c:rich>
          </c:tx>
          <c:layout>
            <c:manualLayout>
              <c:xMode val="edge"/>
              <c:yMode val="edge"/>
              <c:x val="0.96539148119171569"/>
              <c:y val="0.30239859459798896"/>
            </c:manualLayout>
          </c:layout>
          <c:overlay val="0"/>
        </c:title>
        <c:numFmt formatCode="#,##0" sourceLinked="1"/>
        <c:majorTickMark val="out"/>
        <c:minorTickMark val="none"/>
        <c:tickLblPos val="nextTo"/>
        <c:spPr>
          <a:ln>
            <a:solidFill>
              <a:srgbClr val="908E46"/>
            </a:solidFill>
          </a:ln>
        </c:spPr>
        <c:crossAx val="78958976"/>
        <c:crosses val="max"/>
        <c:crossBetween val="between"/>
        <c:majorUnit val="3500"/>
      </c:valAx>
      <c:catAx>
        <c:axId val="78958976"/>
        <c:scaling>
          <c:orientation val="minMax"/>
        </c:scaling>
        <c:delete val="1"/>
        <c:axPos val="b"/>
        <c:numFmt formatCode="General" sourceLinked="1"/>
        <c:majorTickMark val="out"/>
        <c:minorTickMark val="none"/>
        <c:tickLblPos val="none"/>
        <c:crossAx val="78956800"/>
        <c:crosses val="autoZero"/>
        <c:auto val="1"/>
        <c:lblAlgn val="ctr"/>
        <c:lblOffset val="100"/>
        <c:noMultiLvlLbl val="0"/>
      </c:catAx>
      <c:spPr>
        <a:ln>
          <a:solidFill>
            <a:srgbClr val="908E46"/>
          </a:solidFill>
        </a:ln>
      </c:spPr>
    </c:plotArea>
    <c:legend>
      <c:legendPos val="b"/>
      <c:layout>
        <c:manualLayout>
          <c:xMode val="edge"/>
          <c:yMode val="edge"/>
          <c:x val="0.21648542742938007"/>
          <c:y val="0.85563388212837144"/>
          <c:w val="0.53526850599004883"/>
          <c:h val="8.9642061674561596E-2"/>
        </c:manualLayout>
      </c:layout>
      <c:overlay val="0"/>
    </c:legend>
    <c:plotVisOnly val="1"/>
    <c:dispBlanksAs val="gap"/>
    <c:showDLblsOverMax val="0"/>
  </c:chart>
  <c:spPr>
    <a:solidFill>
      <a:schemeClr val="bg1"/>
    </a:solidFill>
    <a:ln>
      <a:noFill/>
    </a:ln>
  </c:spPr>
  <c:txPr>
    <a:bodyPr/>
    <a:lstStyle/>
    <a:p>
      <a:pPr>
        <a:defRPr sz="1000">
          <a:solidFill>
            <a:sysClr val="windowText" lastClr="000000"/>
          </a:solidFill>
        </a:defRPr>
      </a:pPr>
      <a:endParaRPr lang="et-EE"/>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628630723485143E-2"/>
          <c:y val="4.2822047244094497E-2"/>
          <c:w val="0.89214638867815943"/>
          <c:h val="0.83073777651252922"/>
        </c:manualLayout>
      </c:layout>
      <c:barChart>
        <c:barDir val="col"/>
        <c:grouping val="clustered"/>
        <c:varyColors val="0"/>
        <c:ser>
          <c:idx val="3"/>
          <c:order val="3"/>
          <c:tx>
            <c:strRef>
              <c:f>Tarbimine!$A$9</c:f>
              <c:strCache>
                <c:ptCount val="1"/>
                <c:pt idx="0">
                  <c:v>Maailm</c:v>
                </c:pt>
              </c:strCache>
            </c:strRef>
          </c:tx>
          <c:spPr>
            <a:solidFill>
              <a:schemeClr val="accent4"/>
            </a:solidFill>
            <a:ln>
              <a:noFill/>
            </a:ln>
            <a:effectLst>
              <a:outerShdw blurRad="533400" dir="13500000" sx="1000" sy="1000" algn="ctr" rotWithShape="0">
                <a:srgbClr val="D60093"/>
              </a:outerShdw>
            </a:effectLst>
          </c:spPr>
          <c:invertIfNegative val="0"/>
          <c:dLbls>
            <c:dLbl>
              <c:idx val="8"/>
              <c:showLegendKey val="0"/>
              <c:showVal val="1"/>
              <c:showCatName val="0"/>
              <c:showSerName val="0"/>
              <c:showPercent val="0"/>
              <c:showBubbleSize val="0"/>
            </c:dLbl>
            <c:showLegendKey val="0"/>
            <c:showVal val="0"/>
            <c:showCatName val="0"/>
            <c:showSerName val="0"/>
            <c:showPercent val="0"/>
            <c:showBubbleSize val="0"/>
          </c:dLbls>
          <c:cat>
            <c:strRef>
              <c:f>Tarbimine!$B$5:$J$5</c:f>
              <c:strCache>
                <c:ptCount val="9"/>
                <c:pt idx="0">
                  <c:v>2003/04</c:v>
                </c:pt>
                <c:pt idx="1">
                  <c:v>2004/05</c:v>
                </c:pt>
                <c:pt idx="2">
                  <c:v>2005/06</c:v>
                </c:pt>
                <c:pt idx="3">
                  <c:v>2006/07</c:v>
                </c:pt>
                <c:pt idx="4">
                  <c:v>2007/08</c:v>
                </c:pt>
                <c:pt idx="5">
                  <c:v>2008/09</c:v>
                </c:pt>
                <c:pt idx="6">
                  <c:v>2009/10</c:v>
                </c:pt>
                <c:pt idx="7">
                  <c:v>2010/11</c:v>
                </c:pt>
                <c:pt idx="8">
                  <c:v>2011/12</c:v>
                </c:pt>
              </c:strCache>
            </c:strRef>
          </c:cat>
          <c:val>
            <c:numRef>
              <c:f>Tarbimine!$B$9:$J$9</c:f>
              <c:numCache>
                <c:formatCode>#,##0</c:formatCode>
                <c:ptCount val="9"/>
                <c:pt idx="0">
                  <c:v>95.2</c:v>
                </c:pt>
                <c:pt idx="1">
                  <c:v>95.5</c:v>
                </c:pt>
                <c:pt idx="2">
                  <c:v>95.6</c:v>
                </c:pt>
                <c:pt idx="3">
                  <c:v>95.5</c:v>
                </c:pt>
                <c:pt idx="4">
                  <c:v>95.8</c:v>
                </c:pt>
                <c:pt idx="5">
                  <c:v>96.6</c:v>
                </c:pt>
                <c:pt idx="6">
                  <c:v>96.6</c:v>
                </c:pt>
                <c:pt idx="7">
                  <c:v>96</c:v>
                </c:pt>
                <c:pt idx="8">
                  <c:v>96.1</c:v>
                </c:pt>
              </c:numCache>
            </c:numRef>
          </c:val>
        </c:ser>
        <c:dLbls>
          <c:showLegendKey val="0"/>
          <c:showVal val="0"/>
          <c:showCatName val="0"/>
          <c:showSerName val="0"/>
          <c:showPercent val="0"/>
          <c:showBubbleSize val="0"/>
        </c:dLbls>
        <c:gapWidth val="62"/>
        <c:axId val="83201024"/>
        <c:axId val="83202816"/>
      </c:barChart>
      <c:lineChart>
        <c:grouping val="standard"/>
        <c:varyColors val="0"/>
        <c:ser>
          <c:idx val="0"/>
          <c:order val="0"/>
          <c:tx>
            <c:strRef>
              <c:f>Tarbimine!$A$6</c:f>
              <c:strCache>
                <c:ptCount val="1"/>
                <c:pt idx="0">
                  <c:v>Läti</c:v>
                </c:pt>
              </c:strCache>
            </c:strRef>
          </c:tx>
          <c:spPr>
            <a:ln>
              <a:solidFill>
                <a:schemeClr val="accent2">
                  <a:lumMod val="60000"/>
                  <a:lumOff val="40000"/>
                </a:schemeClr>
              </a:solidFill>
            </a:ln>
          </c:spPr>
          <c:marker>
            <c:symbol val="none"/>
          </c:marker>
          <c:dLbls>
            <c:dLbl>
              <c:idx val="8"/>
              <c:showLegendKey val="0"/>
              <c:showVal val="1"/>
              <c:showCatName val="0"/>
              <c:showSerName val="0"/>
              <c:showPercent val="0"/>
              <c:showBubbleSize val="0"/>
            </c:dLbl>
            <c:showLegendKey val="0"/>
            <c:showVal val="0"/>
            <c:showCatName val="0"/>
            <c:showSerName val="0"/>
            <c:showPercent val="0"/>
            <c:showBubbleSize val="0"/>
          </c:dLbls>
          <c:cat>
            <c:strRef>
              <c:f>Tarbimine!$B$5:$J$5</c:f>
              <c:strCache>
                <c:ptCount val="9"/>
                <c:pt idx="0">
                  <c:v>2003/04</c:v>
                </c:pt>
                <c:pt idx="1">
                  <c:v>2004/05</c:v>
                </c:pt>
                <c:pt idx="2">
                  <c:v>2005/06</c:v>
                </c:pt>
                <c:pt idx="3">
                  <c:v>2006/07</c:v>
                </c:pt>
                <c:pt idx="4">
                  <c:v>2007/08</c:v>
                </c:pt>
                <c:pt idx="5">
                  <c:v>2008/09</c:v>
                </c:pt>
                <c:pt idx="6">
                  <c:v>2009/10</c:v>
                </c:pt>
                <c:pt idx="7">
                  <c:v>2010/11</c:v>
                </c:pt>
                <c:pt idx="8">
                  <c:v>2011/12</c:v>
                </c:pt>
              </c:strCache>
            </c:strRef>
          </c:cat>
          <c:val>
            <c:numRef>
              <c:f>Tarbimine!$B$6:$J$6</c:f>
              <c:numCache>
                <c:formatCode>#,##0.0</c:formatCode>
                <c:ptCount val="9"/>
                <c:pt idx="0">
                  <c:v>99.478999999999999</c:v>
                </c:pt>
                <c:pt idx="1">
                  <c:v>105.477</c:v>
                </c:pt>
                <c:pt idx="2">
                  <c:v>112.587</c:v>
                </c:pt>
                <c:pt idx="3">
                  <c:v>127.73699999999999</c:v>
                </c:pt>
                <c:pt idx="4">
                  <c:v>139.44800000000001</c:v>
                </c:pt>
                <c:pt idx="5">
                  <c:v>122.988</c:v>
                </c:pt>
                <c:pt idx="6">
                  <c:v>122.968</c:v>
                </c:pt>
                <c:pt idx="7">
                  <c:v>120.45099999999999</c:v>
                </c:pt>
                <c:pt idx="8" formatCode="#,##0">
                  <c:v>150.006</c:v>
                </c:pt>
              </c:numCache>
            </c:numRef>
          </c:val>
          <c:smooth val="0"/>
        </c:ser>
        <c:ser>
          <c:idx val="1"/>
          <c:order val="1"/>
          <c:tx>
            <c:strRef>
              <c:f>Tarbimine!$A$7</c:f>
              <c:strCache>
                <c:ptCount val="1"/>
                <c:pt idx="0">
                  <c:v>EL*</c:v>
                </c:pt>
              </c:strCache>
            </c:strRef>
          </c:tx>
          <c:spPr>
            <a:ln>
              <a:solidFill>
                <a:srgbClr val="0070C0"/>
              </a:solidFill>
            </a:ln>
          </c:spPr>
          <c:marker>
            <c:symbol val="none"/>
          </c:marker>
          <c:dLbls>
            <c:dLbl>
              <c:idx val="8"/>
              <c:layout>
                <c:manualLayout>
                  <c:x val="0"/>
                  <c:y val="-1.5825913292271804E-2"/>
                </c:manualLayout>
              </c:layout>
              <c:showLegendKey val="0"/>
              <c:showVal val="1"/>
              <c:showCatName val="0"/>
              <c:showSerName val="0"/>
              <c:showPercent val="0"/>
              <c:showBubbleSize val="0"/>
            </c:dLbl>
            <c:showLegendKey val="0"/>
            <c:showVal val="0"/>
            <c:showCatName val="0"/>
            <c:showSerName val="0"/>
            <c:showPercent val="0"/>
            <c:showBubbleSize val="0"/>
          </c:dLbls>
          <c:cat>
            <c:strRef>
              <c:f>Tarbimine!$B$5:$J$5</c:f>
              <c:strCache>
                <c:ptCount val="9"/>
                <c:pt idx="0">
                  <c:v>2003/04</c:v>
                </c:pt>
                <c:pt idx="1">
                  <c:v>2004/05</c:v>
                </c:pt>
                <c:pt idx="2">
                  <c:v>2005/06</c:v>
                </c:pt>
                <c:pt idx="3">
                  <c:v>2006/07</c:v>
                </c:pt>
                <c:pt idx="4">
                  <c:v>2007/08</c:v>
                </c:pt>
                <c:pt idx="5">
                  <c:v>2008/09</c:v>
                </c:pt>
                <c:pt idx="6">
                  <c:v>2009/10</c:v>
                </c:pt>
                <c:pt idx="7">
                  <c:v>2010/11</c:v>
                </c:pt>
                <c:pt idx="8">
                  <c:v>2011/12</c:v>
                </c:pt>
              </c:strCache>
            </c:strRef>
          </c:cat>
          <c:val>
            <c:numRef>
              <c:f>Tarbimine!$B$7:$J$7</c:f>
              <c:numCache>
                <c:formatCode>#,##0.0</c:formatCode>
                <c:ptCount val="9"/>
                <c:pt idx="0">
                  <c:v>121.49700000000004</c:v>
                </c:pt>
                <c:pt idx="1">
                  <c:v>126.0500909090909</c:v>
                </c:pt>
                <c:pt idx="2">
                  <c:v>123.68339999999996</c:v>
                </c:pt>
                <c:pt idx="3">
                  <c:v>123.98394444444446</c:v>
                </c:pt>
                <c:pt idx="4">
                  <c:v>120.90368421052632</c:v>
                </c:pt>
                <c:pt idx="5">
                  <c:v>130.98105882352939</c:v>
                </c:pt>
                <c:pt idx="6">
                  <c:v>133.84711764705881</c:v>
                </c:pt>
                <c:pt idx="7">
                  <c:v>128.71546666666669</c:v>
                </c:pt>
                <c:pt idx="8" formatCode="#,##0">
                  <c:v>127.98292307692306</c:v>
                </c:pt>
              </c:numCache>
            </c:numRef>
          </c:val>
          <c:smooth val="0"/>
        </c:ser>
        <c:ser>
          <c:idx val="2"/>
          <c:order val="2"/>
          <c:tx>
            <c:strRef>
              <c:f>Tarbimine!$A$8</c:f>
              <c:strCache>
                <c:ptCount val="1"/>
                <c:pt idx="0">
                  <c:v>Leedu</c:v>
                </c:pt>
              </c:strCache>
            </c:strRef>
          </c:tx>
          <c:marker>
            <c:symbol val="none"/>
          </c:marker>
          <c:dLbls>
            <c:dLbl>
              <c:idx val="8"/>
              <c:showLegendKey val="0"/>
              <c:showVal val="1"/>
              <c:showCatName val="0"/>
              <c:showSerName val="0"/>
              <c:showPercent val="0"/>
              <c:showBubbleSize val="0"/>
            </c:dLbl>
            <c:showLegendKey val="0"/>
            <c:showVal val="0"/>
            <c:showCatName val="0"/>
            <c:showSerName val="0"/>
            <c:showPercent val="0"/>
            <c:showBubbleSize val="0"/>
          </c:dLbls>
          <c:cat>
            <c:strRef>
              <c:f>Tarbimine!$B$5:$J$5</c:f>
              <c:strCache>
                <c:ptCount val="9"/>
                <c:pt idx="0">
                  <c:v>2003/04</c:v>
                </c:pt>
                <c:pt idx="1">
                  <c:v>2004/05</c:v>
                </c:pt>
                <c:pt idx="2">
                  <c:v>2005/06</c:v>
                </c:pt>
                <c:pt idx="3">
                  <c:v>2006/07</c:v>
                </c:pt>
                <c:pt idx="4">
                  <c:v>2007/08</c:v>
                </c:pt>
                <c:pt idx="5">
                  <c:v>2008/09</c:v>
                </c:pt>
                <c:pt idx="6">
                  <c:v>2009/10</c:v>
                </c:pt>
                <c:pt idx="7">
                  <c:v>2010/11</c:v>
                </c:pt>
                <c:pt idx="8">
                  <c:v>2011/12</c:v>
                </c:pt>
              </c:strCache>
            </c:strRef>
          </c:cat>
          <c:val>
            <c:numRef>
              <c:f>Tarbimine!$B$8:$J$8</c:f>
              <c:numCache>
                <c:formatCode>#,##0.0</c:formatCode>
                <c:ptCount val="9"/>
                <c:pt idx="0">
                  <c:v>119.82899999999999</c:v>
                </c:pt>
                <c:pt idx="1">
                  <c:v>119.505</c:v>
                </c:pt>
                <c:pt idx="2">
                  <c:v>109.042</c:v>
                </c:pt>
                <c:pt idx="3">
                  <c:v>110.965</c:v>
                </c:pt>
                <c:pt idx="4">
                  <c:v>120.825</c:v>
                </c:pt>
                <c:pt idx="5">
                  <c:v>114</c:v>
                </c:pt>
                <c:pt idx="6">
                  <c:v>118.55800000000001</c:v>
                </c:pt>
                <c:pt idx="7">
                  <c:v>118.101</c:v>
                </c:pt>
                <c:pt idx="8" formatCode="#,##0">
                  <c:v>126.26600000000001</c:v>
                </c:pt>
              </c:numCache>
            </c:numRef>
          </c:val>
          <c:smooth val="0"/>
        </c:ser>
        <c:ser>
          <c:idx val="4"/>
          <c:order val="4"/>
          <c:tx>
            <c:strRef>
              <c:f>Tarbimine!$A$10</c:f>
              <c:strCache>
                <c:ptCount val="1"/>
                <c:pt idx="0">
                  <c:v>Eesti</c:v>
                </c:pt>
              </c:strCache>
            </c:strRef>
          </c:tx>
          <c:spPr>
            <a:ln>
              <a:solidFill>
                <a:srgbClr val="FF0000"/>
              </a:solidFill>
            </a:ln>
          </c:spPr>
          <c:marker>
            <c:symbol val="none"/>
          </c:marker>
          <c:dLbls>
            <c:dLbl>
              <c:idx val="8"/>
              <c:showLegendKey val="0"/>
              <c:showVal val="1"/>
              <c:showCatName val="0"/>
              <c:showSerName val="0"/>
              <c:showPercent val="0"/>
              <c:showBubbleSize val="0"/>
            </c:dLbl>
            <c:showLegendKey val="0"/>
            <c:showVal val="0"/>
            <c:showCatName val="0"/>
            <c:showSerName val="0"/>
            <c:showPercent val="0"/>
            <c:showBubbleSize val="0"/>
          </c:dLbls>
          <c:cat>
            <c:strRef>
              <c:f>Tarbimine!$B$5:$J$5</c:f>
              <c:strCache>
                <c:ptCount val="9"/>
                <c:pt idx="0">
                  <c:v>2003/04</c:v>
                </c:pt>
                <c:pt idx="1">
                  <c:v>2004/05</c:v>
                </c:pt>
                <c:pt idx="2">
                  <c:v>2005/06</c:v>
                </c:pt>
                <c:pt idx="3">
                  <c:v>2006/07</c:v>
                </c:pt>
                <c:pt idx="4">
                  <c:v>2007/08</c:v>
                </c:pt>
                <c:pt idx="5">
                  <c:v>2008/09</c:v>
                </c:pt>
                <c:pt idx="6">
                  <c:v>2009/10</c:v>
                </c:pt>
                <c:pt idx="7">
                  <c:v>2010/11</c:v>
                </c:pt>
                <c:pt idx="8">
                  <c:v>2011/12</c:v>
                </c:pt>
              </c:strCache>
            </c:strRef>
          </c:cat>
          <c:val>
            <c:numRef>
              <c:f>Tarbimine!$B$10:$J$10</c:f>
              <c:numCache>
                <c:formatCode>#,##0.0</c:formatCode>
                <c:ptCount val="9"/>
                <c:pt idx="0">
                  <c:v>90.275000000000006</c:v>
                </c:pt>
                <c:pt idx="1">
                  <c:v>90.525000000000006</c:v>
                </c:pt>
                <c:pt idx="2">
                  <c:v>75.846000000000004</c:v>
                </c:pt>
                <c:pt idx="3">
                  <c:v>75.227000000000004</c:v>
                </c:pt>
                <c:pt idx="4">
                  <c:v>78.290000000000006</c:v>
                </c:pt>
                <c:pt idx="5">
                  <c:v>82.807000000000002</c:v>
                </c:pt>
                <c:pt idx="6">
                  <c:v>83.569000000000003</c:v>
                </c:pt>
                <c:pt idx="7">
                  <c:v>83.578999999999994</c:v>
                </c:pt>
                <c:pt idx="8" formatCode="#,##0">
                  <c:v>79.834999999999994</c:v>
                </c:pt>
              </c:numCache>
            </c:numRef>
          </c:val>
          <c:smooth val="0"/>
        </c:ser>
        <c:dLbls>
          <c:showLegendKey val="0"/>
          <c:showVal val="0"/>
          <c:showCatName val="0"/>
          <c:showSerName val="0"/>
          <c:showPercent val="0"/>
          <c:showBubbleSize val="0"/>
        </c:dLbls>
        <c:marker val="1"/>
        <c:smooth val="0"/>
        <c:axId val="83201024"/>
        <c:axId val="83202816"/>
      </c:lineChart>
      <c:catAx>
        <c:axId val="83201024"/>
        <c:scaling>
          <c:orientation val="minMax"/>
        </c:scaling>
        <c:delete val="0"/>
        <c:axPos val="b"/>
        <c:majorTickMark val="out"/>
        <c:minorTickMark val="none"/>
        <c:tickLblPos val="nextTo"/>
        <c:crossAx val="83202816"/>
        <c:crosses val="autoZero"/>
        <c:auto val="1"/>
        <c:lblAlgn val="ctr"/>
        <c:lblOffset val="100"/>
        <c:noMultiLvlLbl val="0"/>
      </c:catAx>
      <c:valAx>
        <c:axId val="83202816"/>
        <c:scaling>
          <c:orientation val="minMax"/>
          <c:min val="60"/>
        </c:scaling>
        <c:delete val="0"/>
        <c:axPos val="l"/>
        <c:majorGridlines/>
        <c:numFmt formatCode="General" sourceLinked="0"/>
        <c:majorTickMark val="out"/>
        <c:minorTickMark val="none"/>
        <c:tickLblPos val="nextTo"/>
        <c:crossAx val="83201024"/>
        <c:crosses val="autoZero"/>
        <c:crossBetween val="between"/>
      </c:valAx>
      <c:spPr>
        <a:ln>
          <a:solidFill>
            <a:schemeClr val="bg1">
              <a:lumMod val="65000"/>
            </a:schemeClr>
          </a:solidFill>
        </a:ln>
      </c:spPr>
    </c:plotArea>
    <c:legend>
      <c:legendPos val="r"/>
      <c:layout>
        <c:manualLayout>
          <c:xMode val="edge"/>
          <c:yMode val="edge"/>
          <c:x val="0.15703949377461837"/>
          <c:y val="0.1066888783290494"/>
          <c:w val="0.64155145555259196"/>
          <c:h val="8.2860702055790283E-2"/>
        </c:manualLayout>
      </c:layout>
      <c:overlay val="0"/>
      <c:spPr>
        <a:solidFill>
          <a:schemeClr val="bg1"/>
        </a:solidFill>
      </c:spPr>
    </c:legend>
    <c:plotVisOnly val="1"/>
    <c:dispBlanksAs val="gap"/>
    <c:showDLblsOverMax val="0"/>
  </c:chart>
  <c:spPr>
    <a:ln>
      <a:noFill/>
    </a:ln>
  </c:spPr>
  <c:txPr>
    <a:bodyPr/>
    <a:lstStyle/>
    <a:p>
      <a:pPr>
        <a:defRPr sz="1000"/>
      </a:pPr>
      <a:endParaRPr lang="et-EE"/>
    </a:p>
  </c:txPr>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957594791325403E-2"/>
          <c:y val="3.588639279514981E-2"/>
          <c:w val="0.88781075249381491"/>
          <c:h val="0.76153824222451427"/>
        </c:manualLayout>
      </c:layout>
      <c:barChart>
        <c:barDir val="col"/>
        <c:grouping val="stacked"/>
        <c:varyColors val="0"/>
        <c:ser>
          <c:idx val="1"/>
          <c:order val="1"/>
          <c:tx>
            <c:strRef>
              <c:f>Õlik_ressurss!$A$54</c:f>
              <c:strCache>
                <c:ptCount val="1"/>
                <c:pt idx="0">
                  <c:v>..kadu</c:v>
                </c:pt>
              </c:strCache>
            </c:strRef>
          </c:tx>
          <c:invertIfNegative val="0"/>
          <c:cat>
            <c:strRef>
              <c:f>Õlik_ressurss!$B$51:$J$51</c:f>
              <c:strCache>
                <c:ptCount val="9"/>
                <c:pt idx="0">
                  <c:v>2003/04</c:v>
                </c:pt>
                <c:pt idx="1">
                  <c:v>2004/05</c:v>
                </c:pt>
                <c:pt idx="2">
                  <c:v>2005/06</c:v>
                </c:pt>
                <c:pt idx="3">
                  <c:v>2006/07</c:v>
                </c:pt>
                <c:pt idx="4">
                  <c:v>2007/08</c:v>
                </c:pt>
                <c:pt idx="5">
                  <c:v>2008/09</c:v>
                </c:pt>
                <c:pt idx="6">
                  <c:v>2009/10</c:v>
                </c:pt>
                <c:pt idx="7">
                  <c:v>2010/11</c:v>
                </c:pt>
                <c:pt idx="8">
                  <c:v>2011/12</c:v>
                </c:pt>
              </c:strCache>
            </c:strRef>
          </c:cat>
          <c:val>
            <c:numRef>
              <c:f>Õlik_ressurss!$B$54:$J$54</c:f>
              <c:numCache>
                <c:formatCode>0.0</c:formatCode>
                <c:ptCount val="9"/>
                <c:pt idx="0">
                  <c:v>0.63600000000000001</c:v>
                </c:pt>
                <c:pt idx="1">
                  <c:v>0.75800000000000001</c:v>
                </c:pt>
                <c:pt idx="2">
                  <c:v>0.86399999999999999</c:v>
                </c:pt>
                <c:pt idx="3">
                  <c:v>0.89700000000000002</c:v>
                </c:pt>
                <c:pt idx="4">
                  <c:v>0.90800000000000003</c:v>
                </c:pt>
                <c:pt idx="5">
                  <c:v>1.173</c:v>
                </c:pt>
                <c:pt idx="6">
                  <c:v>0.78700000000000003</c:v>
                </c:pt>
                <c:pt idx="7">
                  <c:v>0.35399999999999998</c:v>
                </c:pt>
                <c:pt idx="8">
                  <c:v>0.52900000000000003</c:v>
                </c:pt>
              </c:numCache>
            </c:numRef>
          </c:val>
        </c:ser>
        <c:ser>
          <c:idx val="2"/>
          <c:order val="2"/>
          <c:tx>
            <c:strRef>
              <c:f>Õlik_ressurss!$A$55</c:f>
              <c:strCache>
                <c:ptCount val="1"/>
                <c:pt idx="0">
                  <c:v>..loomasööt</c:v>
                </c:pt>
              </c:strCache>
            </c:strRef>
          </c:tx>
          <c:invertIfNegative val="0"/>
          <c:cat>
            <c:strRef>
              <c:f>Õlik_ressurss!$B$51:$J$51</c:f>
              <c:strCache>
                <c:ptCount val="9"/>
                <c:pt idx="0">
                  <c:v>2003/04</c:v>
                </c:pt>
                <c:pt idx="1">
                  <c:v>2004/05</c:v>
                </c:pt>
                <c:pt idx="2">
                  <c:v>2005/06</c:v>
                </c:pt>
                <c:pt idx="3">
                  <c:v>2006/07</c:v>
                </c:pt>
                <c:pt idx="4">
                  <c:v>2007/08</c:v>
                </c:pt>
                <c:pt idx="5">
                  <c:v>2008/09</c:v>
                </c:pt>
                <c:pt idx="6">
                  <c:v>2009/10</c:v>
                </c:pt>
                <c:pt idx="7">
                  <c:v>2010/11</c:v>
                </c:pt>
                <c:pt idx="8">
                  <c:v>2011/12</c:v>
                </c:pt>
              </c:strCache>
            </c:strRef>
          </c:cat>
          <c:val>
            <c:numRef>
              <c:f>Õlik_ressurss!$B$55:$J$55</c:f>
              <c:numCache>
                <c:formatCode>0.0</c:formatCode>
                <c:ptCount val="9"/>
                <c:pt idx="0">
                  <c:v>0.05</c:v>
                </c:pt>
                <c:pt idx="1">
                  <c:v>0.67200000000000004</c:v>
                </c:pt>
                <c:pt idx="2">
                  <c:v>0.80200000000000005</c:v>
                </c:pt>
                <c:pt idx="3">
                  <c:v>0.63400000000000001</c:v>
                </c:pt>
                <c:pt idx="4">
                  <c:v>0.69199999999999995</c:v>
                </c:pt>
                <c:pt idx="5">
                  <c:v>0.48899999999999999</c:v>
                </c:pt>
                <c:pt idx="6">
                  <c:v>0.372</c:v>
                </c:pt>
                <c:pt idx="7">
                  <c:v>0.315</c:v>
                </c:pt>
                <c:pt idx="8">
                  <c:v>0.36299999999999999</c:v>
                </c:pt>
              </c:numCache>
            </c:numRef>
          </c:val>
        </c:ser>
        <c:ser>
          <c:idx val="3"/>
          <c:order val="3"/>
          <c:tx>
            <c:strRef>
              <c:f>Õlik_ressurss!$A$56</c:f>
              <c:strCache>
                <c:ptCount val="1"/>
                <c:pt idx="0">
                  <c:v>..tööstuslik**</c:v>
                </c:pt>
              </c:strCache>
            </c:strRef>
          </c:tx>
          <c:invertIfNegative val="0"/>
          <c:cat>
            <c:strRef>
              <c:f>Õlik_ressurss!$B$51:$J$51</c:f>
              <c:strCache>
                <c:ptCount val="9"/>
                <c:pt idx="0">
                  <c:v>2003/04</c:v>
                </c:pt>
                <c:pt idx="1">
                  <c:v>2004/05</c:v>
                </c:pt>
                <c:pt idx="2">
                  <c:v>2005/06</c:v>
                </c:pt>
                <c:pt idx="3">
                  <c:v>2006/07</c:v>
                </c:pt>
                <c:pt idx="4">
                  <c:v>2007/08</c:v>
                </c:pt>
                <c:pt idx="5">
                  <c:v>2008/09</c:v>
                </c:pt>
                <c:pt idx="6">
                  <c:v>2009/10</c:v>
                </c:pt>
                <c:pt idx="7">
                  <c:v>2010/11</c:v>
                </c:pt>
                <c:pt idx="8">
                  <c:v>2011/12</c:v>
                </c:pt>
              </c:strCache>
            </c:strRef>
          </c:cat>
          <c:val>
            <c:numRef>
              <c:f>Õlik_ressurss!$B$56:$J$56</c:f>
              <c:numCache>
                <c:formatCode>0.0</c:formatCode>
                <c:ptCount val="9"/>
                <c:pt idx="0">
                  <c:v>2.17</c:v>
                </c:pt>
                <c:pt idx="1">
                  <c:v>3.3140000000000001</c:v>
                </c:pt>
                <c:pt idx="2">
                  <c:v>5.01</c:v>
                </c:pt>
                <c:pt idx="3">
                  <c:v>7.5460000000000003</c:v>
                </c:pt>
                <c:pt idx="4">
                  <c:v>12.961</c:v>
                </c:pt>
                <c:pt idx="5">
                  <c:v>27.082999999999998</c:v>
                </c:pt>
                <c:pt idx="6">
                  <c:v>9.69</c:v>
                </c:pt>
                <c:pt idx="7">
                  <c:v>2.4950000000000001</c:v>
                </c:pt>
                <c:pt idx="8">
                  <c:v>2.823</c:v>
                </c:pt>
              </c:numCache>
            </c:numRef>
          </c:val>
        </c:ser>
        <c:ser>
          <c:idx val="4"/>
          <c:order val="4"/>
          <c:tx>
            <c:strRef>
              <c:f>Õlik_ressurss!$A$57</c:f>
              <c:strCache>
                <c:ptCount val="1"/>
                <c:pt idx="0">
                  <c:v>..inimtarbimine</c:v>
                </c:pt>
              </c:strCache>
            </c:strRef>
          </c:tx>
          <c:invertIfNegative val="0"/>
          <c:cat>
            <c:strRef>
              <c:f>Õlik_ressurss!$B$51:$J$51</c:f>
              <c:strCache>
                <c:ptCount val="9"/>
                <c:pt idx="0">
                  <c:v>2003/04</c:v>
                </c:pt>
                <c:pt idx="1">
                  <c:v>2004/05</c:v>
                </c:pt>
                <c:pt idx="2">
                  <c:v>2005/06</c:v>
                </c:pt>
                <c:pt idx="3">
                  <c:v>2006/07</c:v>
                </c:pt>
                <c:pt idx="4">
                  <c:v>2007/08</c:v>
                </c:pt>
                <c:pt idx="5">
                  <c:v>2008/09</c:v>
                </c:pt>
                <c:pt idx="6">
                  <c:v>2009/10</c:v>
                </c:pt>
                <c:pt idx="7">
                  <c:v>2010/11</c:v>
                </c:pt>
                <c:pt idx="8">
                  <c:v>2011/12</c:v>
                </c:pt>
              </c:strCache>
            </c:strRef>
          </c:cat>
          <c:val>
            <c:numRef>
              <c:f>Õlik_ressurss!$B$57:$J$57</c:f>
              <c:numCache>
                <c:formatCode>0.0</c:formatCode>
                <c:ptCount val="9"/>
                <c:pt idx="0">
                  <c:v>20.097999999999999</c:v>
                </c:pt>
                <c:pt idx="1">
                  <c:v>16.792000000000002</c:v>
                </c:pt>
                <c:pt idx="2">
                  <c:v>16.238</c:v>
                </c:pt>
                <c:pt idx="3">
                  <c:v>15.858000000000001</c:v>
                </c:pt>
                <c:pt idx="4">
                  <c:v>16.224</c:v>
                </c:pt>
                <c:pt idx="5">
                  <c:v>15.385</c:v>
                </c:pt>
                <c:pt idx="6">
                  <c:v>14.77</c:v>
                </c:pt>
                <c:pt idx="7">
                  <c:v>8.109</c:v>
                </c:pt>
                <c:pt idx="8">
                  <c:v>13.441000000000001</c:v>
                </c:pt>
              </c:numCache>
            </c:numRef>
          </c:val>
        </c:ser>
        <c:dLbls>
          <c:showLegendKey val="0"/>
          <c:showVal val="0"/>
          <c:showCatName val="0"/>
          <c:showSerName val="0"/>
          <c:showPercent val="0"/>
          <c:showBubbleSize val="0"/>
        </c:dLbls>
        <c:gapWidth val="77"/>
        <c:overlap val="100"/>
        <c:axId val="93699456"/>
        <c:axId val="93709440"/>
      </c:barChart>
      <c:lineChart>
        <c:grouping val="standard"/>
        <c:varyColors val="0"/>
        <c:ser>
          <c:idx val="0"/>
          <c:order val="0"/>
          <c:tx>
            <c:strRef>
              <c:f>Õlik_ressurss!$A$53</c:f>
              <c:strCache>
                <c:ptCount val="1"/>
                <c:pt idx="0">
                  <c:v>Tarbimine</c:v>
                </c:pt>
              </c:strCache>
            </c:strRef>
          </c:tx>
          <c:spPr>
            <a:ln>
              <a:noFill/>
            </a:ln>
          </c:spPr>
          <c:marker>
            <c:symbol val="none"/>
          </c:marker>
          <c:dLbls>
            <c:dLbl>
              <c:idx val="4"/>
              <c:layout>
                <c:manualLayout>
                  <c:x val="-3.1563845050215207E-2"/>
                  <c:y val="3.6971824305094395E-2"/>
                </c:manualLayout>
              </c:layout>
              <c:dLblPos val="r"/>
              <c:showLegendKey val="0"/>
              <c:showVal val="1"/>
              <c:showCatName val="0"/>
              <c:showSerName val="0"/>
              <c:showPercent val="0"/>
              <c:showBubbleSize val="0"/>
            </c:dLbl>
            <c:dLblPos val="t"/>
            <c:showLegendKey val="0"/>
            <c:showVal val="1"/>
            <c:showCatName val="0"/>
            <c:showSerName val="0"/>
            <c:showPercent val="0"/>
            <c:showBubbleSize val="0"/>
            <c:showLeaderLines val="0"/>
          </c:dLbls>
          <c:cat>
            <c:strRef>
              <c:f>Õlik_ressurss!$B$51:$J$51</c:f>
              <c:strCache>
                <c:ptCount val="9"/>
                <c:pt idx="0">
                  <c:v>2003/04</c:v>
                </c:pt>
                <c:pt idx="1">
                  <c:v>2004/05</c:v>
                </c:pt>
                <c:pt idx="2">
                  <c:v>2005/06</c:v>
                </c:pt>
                <c:pt idx="3">
                  <c:v>2006/07</c:v>
                </c:pt>
                <c:pt idx="4">
                  <c:v>2007/08</c:v>
                </c:pt>
                <c:pt idx="5">
                  <c:v>2008/09</c:v>
                </c:pt>
                <c:pt idx="6">
                  <c:v>2009/10</c:v>
                </c:pt>
                <c:pt idx="7">
                  <c:v>2010/11</c:v>
                </c:pt>
                <c:pt idx="8">
                  <c:v>2011/12</c:v>
                </c:pt>
              </c:strCache>
            </c:strRef>
          </c:cat>
          <c:val>
            <c:numRef>
              <c:f>Õlik_ressurss!$B$53:$J$53</c:f>
              <c:numCache>
                <c:formatCode>0.0</c:formatCode>
                <c:ptCount val="9"/>
                <c:pt idx="0">
                  <c:v>22.954000000000001</c:v>
                </c:pt>
                <c:pt idx="1">
                  <c:v>21.536000000000001</c:v>
                </c:pt>
                <c:pt idx="2">
                  <c:v>22.914000000000001</c:v>
                </c:pt>
                <c:pt idx="3">
                  <c:v>24.934999999999999</c:v>
                </c:pt>
                <c:pt idx="4">
                  <c:v>30.785</c:v>
                </c:pt>
                <c:pt idx="5">
                  <c:v>44.13</c:v>
                </c:pt>
                <c:pt idx="6">
                  <c:v>25.619</c:v>
                </c:pt>
                <c:pt idx="7">
                  <c:v>11.273</c:v>
                </c:pt>
                <c:pt idx="8">
                  <c:v>17.155999999999999</c:v>
                </c:pt>
              </c:numCache>
            </c:numRef>
          </c:val>
          <c:smooth val="0"/>
        </c:ser>
        <c:dLbls>
          <c:showLegendKey val="0"/>
          <c:showVal val="0"/>
          <c:showCatName val="0"/>
          <c:showSerName val="0"/>
          <c:showPercent val="0"/>
          <c:showBubbleSize val="0"/>
        </c:dLbls>
        <c:marker val="1"/>
        <c:smooth val="0"/>
        <c:axId val="93699456"/>
        <c:axId val="93709440"/>
      </c:lineChart>
      <c:lineChart>
        <c:grouping val="standard"/>
        <c:varyColors val="0"/>
        <c:ser>
          <c:idx val="5"/>
          <c:order val="5"/>
          <c:tx>
            <c:strRef>
              <c:f>Õlik_ressurss!$A$59</c:f>
              <c:strCache>
                <c:ptCount val="1"/>
                <c:pt idx="0">
                  <c:v>Isevarustatuse tase (%)</c:v>
                </c:pt>
              </c:strCache>
            </c:strRef>
          </c:tx>
          <c:marker>
            <c:symbol val="circle"/>
            <c:size val="20"/>
          </c:marker>
          <c:dLbls>
            <c:dLbl>
              <c:idx val="4"/>
              <c:layout>
                <c:manualLayout>
                  <c:x val="-4.3998087039693927E-2"/>
                  <c:y val="0"/>
                </c:manualLayout>
              </c:layout>
              <c:dLblPos val="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Õlik_ressurss!$B$51:$J$51</c:f>
              <c:strCache>
                <c:ptCount val="9"/>
                <c:pt idx="0">
                  <c:v>2003/04</c:v>
                </c:pt>
                <c:pt idx="1">
                  <c:v>2004/05</c:v>
                </c:pt>
                <c:pt idx="2">
                  <c:v>2005/06</c:v>
                </c:pt>
                <c:pt idx="3">
                  <c:v>2006/07</c:v>
                </c:pt>
                <c:pt idx="4">
                  <c:v>2007/08</c:v>
                </c:pt>
                <c:pt idx="5">
                  <c:v>2008/09</c:v>
                </c:pt>
                <c:pt idx="6">
                  <c:v>2009/10</c:v>
                </c:pt>
                <c:pt idx="7">
                  <c:v>2010/11</c:v>
                </c:pt>
                <c:pt idx="8">
                  <c:v>2011/12</c:v>
                </c:pt>
              </c:strCache>
            </c:strRef>
          </c:cat>
          <c:val>
            <c:numRef>
              <c:f>Õlik_ressurss!$B$59:$J$59</c:f>
              <c:numCache>
                <c:formatCode>0.0</c:formatCode>
                <c:ptCount val="9"/>
                <c:pt idx="0">
                  <c:v>99.176614097760734</c:v>
                </c:pt>
                <c:pt idx="1">
                  <c:v>117.31054977711737</c:v>
                </c:pt>
                <c:pt idx="2">
                  <c:v>125.73099415204676</c:v>
                </c:pt>
                <c:pt idx="3">
                  <c:v>119.85562462402245</c:v>
                </c:pt>
                <c:pt idx="4">
                  <c:v>89.381192139028741</c:v>
                </c:pt>
                <c:pt idx="5">
                  <c:v>66.435531384545669</c:v>
                </c:pt>
                <c:pt idx="6">
                  <c:v>91.857605683281946</c:v>
                </c:pt>
                <c:pt idx="7">
                  <c:v>114.93834826576776</c:v>
                </c:pt>
                <c:pt idx="8">
                  <c:v>93.005362555374219</c:v>
                </c:pt>
              </c:numCache>
            </c:numRef>
          </c:val>
          <c:smooth val="0"/>
        </c:ser>
        <c:dLbls>
          <c:showLegendKey val="0"/>
          <c:showVal val="0"/>
          <c:showCatName val="0"/>
          <c:showSerName val="0"/>
          <c:showPercent val="0"/>
          <c:showBubbleSize val="0"/>
        </c:dLbls>
        <c:marker val="1"/>
        <c:smooth val="0"/>
        <c:axId val="93819264"/>
        <c:axId val="93710976"/>
      </c:lineChart>
      <c:catAx>
        <c:axId val="93699456"/>
        <c:scaling>
          <c:orientation val="minMax"/>
        </c:scaling>
        <c:delete val="0"/>
        <c:axPos val="b"/>
        <c:majorTickMark val="out"/>
        <c:minorTickMark val="none"/>
        <c:tickLblPos val="nextTo"/>
        <c:crossAx val="93709440"/>
        <c:crosses val="autoZero"/>
        <c:auto val="1"/>
        <c:lblAlgn val="ctr"/>
        <c:lblOffset val="100"/>
        <c:noMultiLvlLbl val="0"/>
      </c:catAx>
      <c:valAx>
        <c:axId val="93709440"/>
        <c:scaling>
          <c:orientation val="minMax"/>
        </c:scaling>
        <c:delete val="0"/>
        <c:axPos val="l"/>
        <c:majorGridlines/>
        <c:numFmt formatCode="General" sourceLinked="0"/>
        <c:majorTickMark val="out"/>
        <c:minorTickMark val="none"/>
        <c:tickLblPos val="nextTo"/>
        <c:crossAx val="93699456"/>
        <c:crosses val="autoZero"/>
        <c:crossBetween val="between"/>
      </c:valAx>
      <c:valAx>
        <c:axId val="93710976"/>
        <c:scaling>
          <c:orientation val="minMax"/>
        </c:scaling>
        <c:delete val="0"/>
        <c:axPos val="r"/>
        <c:numFmt formatCode="General" sourceLinked="0"/>
        <c:majorTickMark val="out"/>
        <c:minorTickMark val="none"/>
        <c:tickLblPos val="nextTo"/>
        <c:crossAx val="93819264"/>
        <c:crosses val="max"/>
        <c:crossBetween val="between"/>
      </c:valAx>
      <c:catAx>
        <c:axId val="93819264"/>
        <c:scaling>
          <c:orientation val="minMax"/>
        </c:scaling>
        <c:delete val="1"/>
        <c:axPos val="b"/>
        <c:majorTickMark val="out"/>
        <c:minorTickMark val="none"/>
        <c:tickLblPos val="nextTo"/>
        <c:crossAx val="93710976"/>
        <c:crosses val="autoZero"/>
        <c:auto val="1"/>
        <c:lblAlgn val="ctr"/>
        <c:lblOffset val="100"/>
        <c:noMultiLvlLbl val="0"/>
      </c:catAx>
    </c:plotArea>
    <c:legend>
      <c:legendPos val="r"/>
      <c:legendEntry>
        <c:idx val="4"/>
        <c:delete val="1"/>
      </c:legendEntry>
      <c:layout>
        <c:manualLayout>
          <c:xMode val="edge"/>
          <c:yMode val="edge"/>
          <c:x val="1.3300751199203546E-2"/>
          <c:y val="0.87189147139740064"/>
          <c:w val="0.97564123450085982"/>
          <c:h val="8.8345318280997995E-2"/>
        </c:manualLayout>
      </c:layout>
      <c:overlay val="0"/>
    </c:legend>
    <c:plotVisOnly val="1"/>
    <c:dispBlanksAs val="gap"/>
    <c:showDLblsOverMax val="0"/>
  </c:chart>
  <c:spPr>
    <a:ln>
      <a:solidFill>
        <a:sysClr val="window" lastClr="FFFFFF"/>
      </a:solidFill>
    </a:ln>
  </c:spPr>
  <c:txPr>
    <a:bodyPr/>
    <a:lstStyle/>
    <a:p>
      <a:pPr>
        <a:defRPr sz="1000"/>
      </a:pPr>
      <a:endParaRPr lang="et-EE"/>
    </a:p>
  </c:txPr>
  <c:externalData r:id="rId2">
    <c:autoUpdate val="0"/>
  </c:externalData>
  <c:userShapes r:id="rId3"/>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514388982800947E-2"/>
          <c:y val="0.10687439870727902"/>
          <c:w val="0.87875101819169155"/>
          <c:h val="0.79007369630397628"/>
        </c:manualLayout>
      </c:layout>
      <c:barChart>
        <c:barDir val="col"/>
        <c:grouping val="stacked"/>
        <c:varyColors val="0"/>
        <c:ser>
          <c:idx val="0"/>
          <c:order val="0"/>
          <c:tx>
            <c:strRef>
              <c:f>Õlik_ressurss!$A$10</c:f>
              <c:strCache>
                <c:ptCount val="1"/>
                <c:pt idx="0">
                  <c:v>Tarbimine (tuh t)</c:v>
                </c:pt>
              </c:strCache>
            </c:strRef>
          </c:tx>
          <c:invertIfNegative val="0"/>
          <c:dLbls>
            <c:dLbl>
              <c:idx val="6"/>
              <c:layout>
                <c:manualLayout>
                  <c:x val="2.9662588060808304E-3"/>
                  <c:y val="-0.25921360148452782"/>
                </c:manualLayout>
              </c:layout>
              <c:dLblPos val="ctr"/>
              <c:showLegendKey val="0"/>
              <c:showVal val="1"/>
              <c:showCatName val="0"/>
              <c:showSerName val="0"/>
              <c:showPercent val="0"/>
              <c:showBubbleSize val="0"/>
            </c:dLbl>
            <c:dLblPos val="inEnd"/>
            <c:showLegendKey val="0"/>
            <c:showVal val="1"/>
            <c:showCatName val="0"/>
            <c:showSerName val="0"/>
            <c:showPercent val="0"/>
            <c:showBubbleSize val="0"/>
            <c:showLeaderLines val="0"/>
          </c:dLbls>
          <c:cat>
            <c:strRef>
              <c:f>Õlik_ressurss!$B$3:$J$3</c:f>
              <c:strCache>
                <c:ptCount val="9"/>
                <c:pt idx="0">
                  <c:v>2003/04</c:v>
                </c:pt>
                <c:pt idx="1">
                  <c:v>2004/05</c:v>
                </c:pt>
                <c:pt idx="2">
                  <c:v>2005/06</c:v>
                </c:pt>
                <c:pt idx="3">
                  <c:v>2006/07</c:v>
                </c:pt>
                <c:pt idx="4">
                  <c:v>2007/08</c:v>
                </c:pt>
                <c:pt idx="5">
                  <c:v>2008/09</c:v>
                </c:pt>
                <c:pt idx="6">
                  <c:v>2009/10</c:v>
                </c:pt>
                <c:pt idx="7">
                  <c:v>2010/11</c:v>
                </c:pt>
                <c:pt idx="8">
                  <c:v>2011/12</c:v>
                </c:pt>
              </c:strCache>
            </c:strRef>
          </c:cat>
          <c:val>
            <c:numRef>
              <c:f>Õlik_ressurss!$B$10:$J$10</c:f>
              <c:numCache>
                <c:formatCode>0.0</c:formatCode>
                <c:ptCount val="9"/>
                <c:pt idx="0">
                  <c:v>65.039000000000001</c:v>
                </c:pt>
                <c:pt idx="1">
                  <c:v>87.61</c:v>
                </c:pt>
                <c:pt idx="2">
                  <c:v>82.52</c:v>
                </c:pt>
                <c:pt idx="3">
                  <c:v>96.623000000000005</c:v>
                </c:pt>
                <c:pt idx="4">
                  <c:v>69.587000000000003</c:v>
                </c:pt>
                <c:pt idx="5">
                  <c:v>81.680000000000007</c:v>
                </c:pt>
                <c:pt idx="6">
                  <c:v>93.712999999999994</c:v>
                </c:pt>
                <c:pt idx="7">
                  <c:v>125.01600000000001</c:v>
                </c:pt>
                <c:pt idx="8">
                  <c:v>109.241</c:v>
                </c:pt>
              </c:numCache>
            </c:numRef>
          </c:val>
        </c:ser>
        <c:dLbls>
          <c:showLegendKey val="0"/>
          <c:showVal val="0"/>
          <c:showCatName val="0"/>
          <c:showSerName val="0"/>
          <c:showPercent val="0"/>
          <c:showBubbleSize val="0"/>
        </c:dLbls>
        <c:gapWidth val="66"/>
        <c:overlap val="100"/>
        <c:axId val="93896704"/>
        <c:axId val="93898240"/>
      </c:barChart>
      <c:lineChart>
        <c:grouping val="standard"/>
        <c:varyColors val="0"/>
        <c:ser>
          <c:idx val="1"/>
          <c:order val="1"/>
          <c:tx>
            <c:strRef>
              <c:f>Õlik_ressurss!$A$14</c:f>
              <c:strCache>
                <c:ptCount val="1"/>
                <c:pt idx="0">
                  <c:v>Isevarustatus (%)</c:v>
                </c:pt>
              </c:strCache>
            </c:strRef>
          </c:tx>
          <c:marker>
            <c:symbol val="circle"/>
            <c:size val="20"/>
          </c:marker>
          <c:dLbls>
            <c:dLblPos val="ctr"/>
            <c:showLegendKey val="0"/>
            <c:showVal val="1"/>
            <c:showCatName val="0"/>
            <c:showSerName val="0"/>
            <c:showPercent val="0"/>
            <c:showBubbleSize val="0"/>
            <c:showLeaderLines val="0"/>
          </c:dLbls>
          <c:cat>
            <c:strRef>
              <c:f>Õlik_ressurss!$B$3:$J$3</c:f>
              <c:strCache>
                <c:ptCount val="9"/>
                <c:pt idx="0">
                  <c:v>2003/04</c:v>
                </c:pt>
                <c:pt idx="1">
                  <c:v>2004/05</c:v>
                </c:pt>
                <c:pt idx="2">
                  <c:v>2005/06</c:v>
                </c:pt>
                <c:pt idx="3">
                  <c:v>2006/07</c:v>
                </c:pt>
                <c:pt idx="4">
                  <c:v>2007/08</c:v>
                </c:pt>
                <c:pt idx="5">
                  <c:v>2008/09</c:v>
                </c:pt>
                <c:pt idx="6">
                  <c:v>2009/10</c:v>
                </c:pt>
                <c:pt idx="7">
                  <c:v>2010/11</c:v>
                </c:pt>
                <c:pt idx="8">
                  <c:v>2011/12</c:v>
                </c:pt>
              </c:strCache>
            </c:strRef>
          </c:cat>
          <c:val>
            <c:numRef>
              <c:f>Õlik_ressurss!$B$14:$J$14</c:f>
              <c:numCache>
                <c:formatCode>0</c:formatCode>
                <c:ptCount val="9"/>
                <c:pt idx="0">
                  <c:v>60.396070050277515</c:v>
                </c:pt>
                <c:pt idx="1">
                  <c:v>48.207967127040291</c:v>
                </c:pt>
                <c:pt idx="2">
                  <c:v>52.217644207464865</c:v>
                </c:pt>
                <c:pt idx="3">
                  <c:v>48.067230369580741</c:v>
                </c:pt>
                <c:pt idx="4">
                  <c:v>63.678560650696248</c:v>
                </c:pt>
                <c:pt idx="5">
                  <c:v>52.75097943192948</c:v>
                </c:pt>
                <c:pt idx="6">
                  <c:v>41.646303074279984</c:v>
                </c:pt>
                <c:pt idx="7">
                  <c:v>20.191015550009599</c:v>
                </c:pt>
                <c:pt idx="8">
                  <c:v>27.90801988264479</c:v>
                </c:pt>
              </c:numCache>
            </c:numRef>
          </c:val>
          <c:smooth val="0"/>
        </c:ser>
        <c:dLbls>
          <c:showLegendKey val="0"/>
          <c:showVal val="0"/>
          <c:showCatName val="0"/>
          <c:showSerName val="0"/>
          <c:showPercent val="0"/>
          <c:showBubbleSize val="0"/>
        </c:dLbls>
        <c:marker val="1"/>
        <c:smooth val="0"/>
        <c:axId val="93913856"/>
        <c:axId val="93899776"/>
      </c:lineChart>
      <c:catAx>
        <c:axId val="93896704"/>
        <c:scaling>
          <c:orientation val="minMax"/>
        </c:scaling>
        <c:delete val="0"/>
        <c:axPos val="b"/>
        <c:majorTickMark val="out"/>
        <c:minorTickMark val="none"/>
        <c:tickLblPos val="nextTo"/>
        <c:crossAx val="93898240"/>
        <c:crosses val="autoZero"/>
        <c:auto val="1"/>
        <c:lblAlgn val="ctr"/>
        <c:lblOffset val="100"/>
        <c:noMultiLvlLbl val="0"/>
      </c:catAx>
      <c:valAx>
        <c:axId val="93898240"/>
        <c:scaling>
          <c:orientation val="minMax"/>
        </c:scaling>
        <c:delete val="0"/>
        <c:axPos val="l"/>
        <c:majorGridlines/>
        <c:numFmt formatCode="General" sourceLinked="0"/>
        <c:majorTickMark val="out"/>
        <c:minorTickMark val="none"/>
        <c:tickLblPos val="nextTo"/>
        <c:crossAx val="93896704"/>
        <c:crosses val="autoZero"/>
        <c:crossBetween val="between"/>
      </c:valAx>
      <c:valAx>
        <c:axId val="93899776"/>
        <c:scaling>
          <c:orientation val="minMax"/>
        </c:scaling>
        <c:delete val="0"/>
        <c:axPos val="r"/>
        <c:numFmt formatCode="0" sourceLinked="1"/>
        <c:majorTickMark val="out"/>
        <c:minorTickMark val="none"/>
        <c:tickLblPos val="nextTo"/>
        <c:crossAx val="93913856"/>
        <c:crosses val="max"/>
        <c:crossBetween val="between"/>
      </c:valAx>
      <c:catAx>
        <c:axId val="93913856"/>
        <c:scaling>
          <c:orientation val="minMax"/>
        </c:scaling>
        <c:delete val="1"/>
        <c:axPos val="b"/>
        <c:majorTickMark val="out"/>
        <c:minorTickMark val="none"/>
        <c:tickLblPos val="nextTo"/>
        <c:crossAx val="93899776"/>
        <c:crosses val="autoZero"/>
        <c:auto val="1"/>
        <c:lblAlgn val="ctr"/>
        <c:lblOffset val="100"/>
        <c:noMultiLvlLbl val="0"/>
      </c:catAx>
    </c:plotArea>
    <c:legend>
      <c:legendPos val="r"/>
      <c:layout>
        <c:manualLayout>
          <c:xMode val="edge"/>
          <c:yMode val="edge"/>
          <c:x val="0.10940274846066932"/>
          <c:y val="0.10694602077483456"/>
          <c:w val="0.804131482828643"/>
          <c:h val="7.037681387083472E-2"/>
        </c:manualLayout>
      </c:layout>
      <c:overlay val="0"/>
    </c:legend>
    <c:plotVisOnly val="1"/>
    <c:dispBlanksAs val="gap"/>
    <c:showDLblsOverMax val="0"/>
  </c:chart>
  <c:spPr>
    <a:ln>
      <a:solidFill>
        <a:sysClr val="window" lastClr="FFFFFF"/>
      </a:solidFill>
    </a:ln>
  </c:spPr>
  <c:txPr>
    <a:bodyPr/>
    <a:lstStyle/>
    <a:p>
      <a:pPr>
        <a:defRPr sz="1000"/>
      </a:pPr>
      <a:endParaRPr lang="et-EE"/>
    </a:p>
  </c:txPr>
  <c:externalData r:id="rId2">
    <c:autoUpdate val="0"/>
  </c:externalData>
  <c:userShapes r:id="rId3"/>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270058984562415E-2"/>
          <c:y val="6.1505613832463904E-2"/>
          <c:w val="0.90717410323709535"/>
          <c:h val="0.79915584548669094"/>
        </c:manualLayout>
      </c:layout>
      <c:barChart>
        <c:barDir val="col"/>
        <c:grouping val="stacked"/>
        <c:varyColors val="0"/>
        <c:ser>
          <c:idx val="0"/>
          <c:order val="0"/>
          <c:tx>
            <c:strRef>
              <c:f>EX_IMP!$A$94</c:f>
              <c:strCache>
                <c:ptCount val="1"/>
                <c:pt idx="0">
                  <c:v>Teravili</c:v>
                </c:pt>
              </c:strCache>
            </c:strRef>
          </c:tx>
          <c:invertIfNegative val="0"/>
          <c:cat>
            <c:multiLvlStrRef>
              <c:f>EX_IMP!$B$92:$U$93</c:f>
              <c:multiLvlStrCache>
                <c:ptCount val="20"/>
                <c:lvl>
                  <c:pt idx="0">
                    <c:v>2004</c:v>
                  </c:pt>
                  <c:pt idx="1">
                    <c:v>2005</c:v>
                  </c:pt>
                  <c:pt idx="2">
                    <c:v>2006</c:v>
                  </c:pt>
                  <c:pt idx="3">
                    <c:v>2007</c:v>
                  </c:pt>
                  <c:pt idx="4">
                    <c:v>2008</c:v>
                  </c:pt>
                  <c:pt idx="5">
                    <c:v>2009</c:v>
                  </c:pt>
                  <c:pt idx="6">
                    <c:v>2010</c:v>
                  </c:pt>
                  <c:pt idx="7">
                    <c:v>2011</c:v>
                  </c:pt>
                  <c:pt idx="8">
                    <c:v>2012</c:v>
                  </c:pt>
                  <c:pt idx="9">
                    <c:v>2013</c:v>
                  </c:pt>
                  <c:pt idx="10">
                    <c:v>2004</c:v>
                  </c:pt>
                  <c:pt idx="11">
                    <c:v>2005</c:v>
                  </c:pt>
                  <c:pt idx="12">
                    <c:v>2006</c:v>
                  </c:pt>
                  <c:pt idx="13">
                    <c:v>2007</c:v>
                  </c:pt>
                  <c:pt idx="14">
                    <c:v>2008</c:v>
                  </c:pt>
                  <c:pt idx="15">
                    <c:v>2009</c:v>
                  </c:pt>
                  <c:pt idx="16">
                    <c:v>2010</c:v>
                  </c:pt>
                  <c:pt idx="17">
                    <c:v>2011</c:v>
                  </c:pt>
                  <c:pt idx="18">
                    <c:v>2012</c:v>
                  </c:pt>
                  <c:pt idx="19">
                    <c:v>2013</c:v>
                  </c:pt>
                </c:lvl>
                <c:lvl>
                  <c:pt idx="0">
                    <c:v>EKSPORT</c:v>
                  </c:pt>
                  <c:pt idx="10">
                    <c:v>IMPORT</c:v>
                  </c:pt>
                </c:lvl>
              </c:multiLvlStrCache>
            </c:multiLvlStrRef>
          </c:cat>
          <c:val>
            <c:numRef>
              <c:f>EX_IMP!$B$94:$U$94</c:f>
              <c:numCache>
                <c:formatCode>0</c:formatCode>
                <c:ptCount val="20"/>
                <c:pt idx="0">
                  <c:v>5.1989070000000002</c:v>
                </c:pt>
                <c:pt idx="1">
                  <c:v>103.43050100000001</c:v>
                </c:pt>
                <c:pt idx="2">
                  <c:v>157.177763</c:v>
                </c:pt>
                <c:pt idx="3">
                  <c:v>148.93713199999999</c:v>
                </c:pt>
                <c:pt idx="4">
                  <c:v>256.955218</c:v>
                </c:pt>
                <c:pt idx="5">
                  <c:v>197.88387599999999</c:v>
                </c:pt>
                <c:pt idx="6">
                  <c:v>217.088796</c:v>
                </c:pt>
                <c:pt idx="7">
                  <c:v>271.17500000000001</c:v>
                </c:pt>
                <c:pt idx="8">
                  <c:v>379.95819299999999</c:v>
                </c:pt>
                <c:pt idx="9">
                  <c:v>448.53664600000002</c:v>
                </c:pt>
                <c:pt idx="10">
                  <c:v>130.491983</c:v>
                </c:pt>
                <c:pt idx="11">
                  <c:v>60.506295999999999</c:v>
                </c:pt>
                <c:pt idx="12">
                  <c:v>32.824376000000001</c:v>
                </c:pt>
                <c:pt idx="13">
                  <c:v>39.671663000000002</c:v>
                </c:pt>
                <c:pt idx="14">
                  <c:v>88.113934</c:v>
                </c:pt>
                <c:pt idx="15">
                  <c:v>44.551735000000001</c:v>
                </c:pt>
                <c:pt idx="16">
                  <c:v>76.235831000000005</c:v>
                </c:pt>
                <c:pt idx="17">
                  <c:v>172.07386399999999</c:v>
                </c:pt>
                <c:pt idx="18">
                  <c:v>65.806236999999996</c:v>
                </c:pt>
                <c:pt idx="19">
                  <c:v>118.67298500000001</c:v>
                </c:pt>
              </c:numCache>
            </c:numRef>
          </c:val>
        </c:ser>
        <c:ser>
          <c:idx val="1"/>
          <c:order val="1"/>
          <c:tx>
            <c:strRef>
              <c:f>EX_IMP!$A$95</c:f>
              <c:strCache>
                <c:ptCount val="1"/>
                <c:pt idx="0">
                  <c:v>Jahu, tangained</c:v>
                </c:pt>
              </c:strCache>
            </c:strRef>
          </c:tx>
          <c:invertIfNegative val="0"/>
          <c:cat>
            <c:multiLvlStrRef>
              <c:f>EX_IMP!$B$92:$U$93</c:f>
              <c:multiLvlStrCache>
                <c:ptCount val="20"/>
                <c:lvl>
                  <c:pt idx="0">
                    <c:v>2004</c:v>
                  </c:pt>
                  <c:pt idx="1">
                    <c:v>2005</c:v>
                  </c:pt>
                  <c:pt idx="2">
                    <c:v>2006</c:v>
                  </c:pt>
                  <c:pt idx="3">
                    <c:v>2007</c:v>
                  </c:pt>
                  <c:pt idx="4">
                    <c:v>2008</c:v>
                  </c:pt>
                  <c:pt idx="5">
                    <c:v>2009</c:v>
                  </c:pt>
                  <c:pt idx="6">
                    <c:v>2010</c:v>
                  </c:pt>
                  <c:pt idx="7">
                    <c:v>2011</c:v>
                  </c:pt>
                  <c:pt idx="8">
                    <c:v>2012</c:v>
                  </c:pt>
                  <c:pt idx="9">
                    <c:v>2013</c:v>
                  </c:pt>
                  <c:pt idx="10">
                    <c:v>2004</c:v>
                  </c:pt>
                  <c:pt idx="11">
                    <c:v>2005</c:v>
                  </c:pt>
                  <c:pt idx="12">
                    <c:v>2006</c:v>
                  </c:pt>
                  <c:pt idx="13">
                    <c:v>2007</c:v>
                  </c:pt>
                  <c:pt idx="14">
                    <c:v>2008</c:v>
                  </c:pt>
                  <c:pt idx="15">
                    <c:v>2009</c:v>
                  </c:pt>
                  <c:pt idx="16">
                    <c:v>2010</c:v>
                  </c:pt>
                  <c:pt idx="17">
                    <c:v>2011</c:v>
                  </c:pt>
                  <c:pt idx="18">
                    <c:v>2012</c:v>
                  </c:pt>
                  <c:pt idx="19">
                    <c:v>2013</c:v>
                  </c:pt>
                </c:lvl>
                <c:lvl>
                  <c:pt idx="0">
                    <c:v>EKSPORT</c:v>
                  </c:pt>
                  <c:pt idx="10">
                    <c:v>IMPORT</c:v>
                  </c:pt>
                </c:lvl>
              </c:multiLvlStrCache>
            </c:multiLvlStrRef>
          </c:cat>
          <c:val>
            <c:numRef>
              <c:f>EX_IMP!$B$95:$U$95</c:f>
              <c:numCache>
                <c:formatCode>0</c:formatCode>
                <c:ptCount val="20"/>
                <c:pt idx="0">
                  <c:v>6.5162950000000004</c:v>
                </c:pt>
                <c:pt idx="1">
                  <c:v>20.397265000000001</c:v>
                </c:pt>
                <c:pt idx="2">
                  <c:v>21.108830000000001</c:v>
                </c:pt>
                <c:pt idx="3">
                  <c:v>24.008067</c:v>
                </c:pt>
                <c:pt idx="4">
                  <c:v>27.507550999999999</c:v>
                </c:pt>
                <c:pt idx="5">
                  <c:v>32.164143000000003</c:v>
                </c:pt>
                <c:pt idx="6">
                  <c:v>39.055802999999997</c:v>
                </c:pt>
                <c:pt idx="7">
                  <c:v>36.489846</c:v>
                </c:pt>
                <c:pt idx="8">
                  <c:v>49.711891999999999</c:v>
                </c:pt>
                <c:pt idx="9">
                  <c:v>44.014772999999998</c:v>
                </c:pt>
                <c:pt idx="10">
                  <c:v>46.020301000000003</c:v>
                </c:pt>
                <c:pt idx="11">
                  <c:v>50.634656</c:v>
                </c:pt>
                <c:pt idx="12">
                  <c:v>56.543970000000002</c:v>
                </c:pt>
                <c:pt idx="13">
                  <c:v>54.203431000000002</c:v>
                </c:pt>
                <c:pt idx="14">
                  <c:v>64.565742</c:v>
                </c:pt>
                <c:pt idx="15">
                  <c:v>58.545892000000002</c:v>
                </c:pt>
                <c:pt idx="16">
                  <c:v>53.770383000000002</c:v>
                </c:pt>
                <c:pt idx="17">
                  <c:v>56.962226999999999</c:v>
                </c:pt>
                <c:pt idx="18">
                  <c:v>57.496496999999998</c:v>
                </c:pt>
                <c:pt idx="19">
                  <c:v>49.774096</c:v>
                </c:pt>
              </c:numCache>
            </c:numRef>
          </c:val>
        </c:ser>
        <c:ser>
          <c:idx val="2"/>
          <c:order val="2"/>
          <c:tx>
            <c:strRef>
              <c:f>EX_IMP!$A$96</c:f>
              <c:strCache>
                <c:ptCount val="1"/>
                <c:pt idx="0">
                  <c:v>Pagaritooted</c:v>
                </c:pt>
              </c:strCache>
            </c:strRef>
          </c:tx>
          <c:invertIfNegative val="0"/>
          <c:cat>
            <c:multiLvlStrRef>
              <c:f>EX_IMP!$B$92:$U$93</c:f>
              <c:multiLvlStrCache>
                <c:ptCount val="20"/>
                <c:lvl>
                  <c:pt idx="0">
                    <c:v>2004</c:v>
                  </c:pt>
                  <c:pt idx="1">
                    <c:v>2005</c:v>
                  </c:pt>
                  <c:pt idx="2">
                    <c:v>2006</c:v>
                  </c:pt>
                  <c:pt idx="3">
                    <c:v>2007</c:v>
                  </c:pt>
                  <c:pt idx="4">
                    <c:v>2008</c:v>
                  </c:pt>
                  <c:pt idx="5">
                    <c:v>2009</c:v>
                  </c:pt>
                  <c:pt idx="6">
                    <c:v>2010</c:v>
                  </c:pt>
                  <c:pt idx="7">
                    <c:v>2011</c:v>
                  </c:pt>
                  <c:pt idx="8">
                    <c:v>2012</c:v>
                  </c:pt>
                  <c:pt idx="9">
                    <c:v>2013</c:v>
                  </c:pt>
                  <c:pt idx="10">
                    <c:v>2004</c:v>
                  </c:pt>
                  <c:pt idx="11">
                    <c:v>2005</c:v>
                  </c:pt>
                  <c:pt idx="12">
                    <c:v>2006</c:v>
                  </c:pt>
                  <c:pt idx="13">
                    <c:v>2007</c:v>
                  </c:pt>
                  <c:pt idx="14">
                    <c:v>2008</c:v>
                  </c:pt>
                  <c:pt idx="15">
                    <c:v>2009</c:v>
                  </c:pt>
                  <c:pt idx="16">
                    <c:v>2010</c:v>
                  </c:pt>
                  <c:pt idx="17">
                    <c:v>2011</c:v>
                  </c:pt>
                  <c:pt idx="18">
                    <c:v>2012</c:v>
                  </c:pt>
                  <c:pt idx="19">
                    <c:v>2013</c:v>
                  </c:pt>
                </c:lvl>
                <c:lvl>
                  <c:pt idx="0">
                    <c:v>EKSPORT</c:v>
                  </c:pt>
                  <c:pt idx="10">
                    <c:v>IMPORT</c:v>
                  </c:pt>
                </c:lvl>
              </c:multiLvlStrCache>
            </c:multiLvlStrRef>
          </c:cat>
          <c:val>
            <c:numRef>
              <c:f>EX_IMP!$B$96:$U$96</c:f>
              <c:numCache>
                <c:formatCode>0</c:formatCode>
                <c:ptCount val="20"/>
                <c:pt idx="0">
                  <c:v>2.2735439999999998</c:v>
                </c:pt>
                <c:pt idx="1">
                  <c:v>1.984618</c:v>
                </c:pt>
                <c:pt idx="2">
                  <c:v>8.3155059999999992</c:v>
                </c:pt>
                <c:pt idx="3">
                  <c:v>13.071802999999999</c:v>
                </c:pt>
                <c:pt idx="4">
                  <c:v>13.793596000000001</c:v>
                </c:pt>
                <c:pt idx="5">
                  <c:v>15.795498</c:v>
                </c:pt>
                <c:pt idx="6">
                  <c:v>15.51671</c:v>
                </c:pt>
                <c:pt idx="7">
                  <c:v>21.323397</c:v>
                </c:pt>
                <c:pt idx="8">
                  <c:v>26.158270000000002</c:v>
                </c:pt>
                <c:pt idx="9">
                  <c:v>31.144523</c:v>
                </c:pt>
                <c:pt idx="10">
                  <c:v>23.857768</c:v>
                </c:pt>
                <c:pt idx="11">
                  <c:v>24.033833000000001</c:v>
                </c:pt>
                <c:pt idx="12">
                  <c:v>29.524825</c:v>
                </c:pt>
                <c:pt idx="13">
                  <c:v>31.327611999999998</c:v>
                </c:pt>
                <c:pt idx="14">
                  <c:v>30.919418</c:v>
                </c:pt>
                <c:pt idx="15">
                  <c:v>30.042836999999999</c:v>
                </c:pt>
                <c:pt idx="16">
                  <c:v>30.996407999999999</c:v>
                </c:pt>
                <c:pt idx="17">
                  <c:v>32.608213999999997</c:v>
                </c:pt>
                <c:pt idx="18">
                  <c:v>34.641613</c:v>
                </c:pt>
                <c:pt idx="19">
                  <c:v>35.125064000000002</c:v>
                </c:pt>
              </c:numCache>
            </c:numRef>
          </c:val>
        </c:ser>
        <c:ser>
          <c:idx val="3"/>
          <c:order val="3"/>
          <c:tx>
            <c:strRef>
              <c:f>EX_IMP!$A$97</c:f>
              <c:strCache>
                <c:ptCount val="1"/>
                <c:pt idx="0">
                  <c:v>Loomasööt</c:v>
                </c:pt>
              </c:strCache>
            </c:strRef>
          </c:tx>
          <c:invertIfNegative val="0"/>
          <c:cat>
            <c:multiLvlStrRef>
              <c:f>EX_IMP!$B$92:$U$93</c:f>
              <c:multiLvlStrCache>
                <c:ptCount val="20"/>
                <c:lvl>
                  <c:pt idx="0">
                    <c:v>2004</c:v>
                  </c:pt>
                  <c:pt idx="1">
                    <c:v>2005</c:v>
                  </c:pt>
                  <c:pt idx="2">
                    <c:v>2006</c:v>
                  </c:pt>
                  <c:pt idx="3">
                    <c:v>2007</c:v>
                  </c:pt>
                  <c:pt idx="4">
                    <c:v>2008</c:v>
                  </c:pt>
                  <c:pt idx="5">
                    <c:v>2009</c:v>
                  </c:pt>
                  <c:pt idx="6">
                    <c:v>2010</c:v>
                  </c:pt>
                  <c:pt idx="7">
                    <c:v>2011</c:v>
                  </c:pt>
                  <c:pt idx="8">
                    <c:v>2012</c:v>
                  </c:pt>
                  <c:pt idx="9">
                    <c:v>2013</c:v>
                  </c:pt>
                  <c:pt idx="10">
                    <c:v>2004</c:v>
                  </c:pt>
                  <c:pt idx="11">
                    <c:v>2005</c:v>
                  </c:pt>
                  <c:pt idx="12">
                    <c:v>2006</c:v>
                  </c:pt>
                  <c:pt idx="13">
                    <c:v>2007</c:v>
                  </c:pt>
                  <c:pt idx="14">
                    <c:v>2008</c:v>
                  </c:pt>
                  <c:pt idx="15">
                    <c:v>2009</c:v>
                  </c:pt>
                  <c:pt idx="16">
                    <c:v>2010</c:v>
                  </c:pt>
                  <c:pt idx="17">
                    <c:v>2011</c:v>
                  </c:pt>
                  <c:pt idx="18">
                    <c:v>2012</c:v>
                  </c:pt>
                  <c:pt idx="19">
                    <c:v>2013</c:v>
                  </c:pt>
                </c:lvl>
                <c:lvl>
                  <c:pt idx="0">
                    <c:v>EKSPORT</c:v>
                  </c:pt>
                  <c:pt idx="10">
                    <c:v>IMPORT</c:v>
                  </c:pt>
                </c:lvl>
              </c:multiLvlStrCache>
            </c:multiLvlStrRef>
          </c:cat>
          <c:val>
            <c:numRef>
              <c:f>EX_IMP!$B$97:$U$97</c:f>
              <c:numCache>
                <c:formatCode>0</c:formatCode>
                <c:ptCount val="20"/>
                <c:pt idx="0">
                  <c:v>1.6791830000000001</c:v>
                </c:pt>
                <c:pt idx="1">
                  <c:v>1.1331232</c:v>
                </c:pt>
                <c:pt idx="2">
                  <c:v>1.4283928899999998</c:v>
                </c:pt>
                <c:pt idx="3">
                  <c:v>1.9489590400000001</c:v>
                </c:pt>
                <c:pt idx="4">
                  <c:v>1.39354445</c:v>
                </c:pt>
                <c:pt idx="5">
                  <c:v>0.6793176700000001</c:v>
                </c:pt>
                <c:pt idx="6">
                  <c:v>1.2961809199999998</c:v>
                </c:pt>
                <c:pt idx="7">
                  <c:v>3.3496361800000001</c:v>
                </c:pt>
                <c:pt idx="8">
                  <c:v>3.0307475020000005</c:v>
                </c:pt>
                <c:pt idx="9">
                  <c:v>6.1815180139999999</c:v>
                </c:pt>
                <c:pt idx="10">
                  <c:v>16.8</c:v>
                </c:pt>
                <c:pt idx="11">
                  <c:v>20.040476608999999</c:v>
                </c:pt>
                <c:pt idx="12">
                  <c:v>29.129009460000002</c:v>
                </c:pt>
                <c:pt idx="13">
                  <c:v>39.123264929999998</c:v>
                </c:pt>
                <c:pt idx="14">
                  <c:v>28.08320904</c:v>
                </c:pt>
                <c:pt idx="15">
                  <c:v>27.133313469999997</c:v>
                </c:pt>
                <c:pt idx="16">
                  <c:v>35.389542609999999</c:v>
                </c:pt>
                <c:pt idx="17">
                  <c:v>47.051039039999999</c:v>
                </c:pt>
                <c:pt idx="18">
                  <c:v>48.935644989000004</c:v>
                </c:pt>
                <c:pt idx="19">
                  <c:v>56.572542484999992</c:v>
                </c:pt>
              </c:numCache>
            </c:numRef>
          </c:val>
        </c:ser>
        <c:ser>
          <c:idx val="4"/>
          <c:order val="4"/>
          <c:tx>
            <c:strRef>
              <c:f>EX_IMP!$A$98</c:f>
              <c:strCache>
                <c:ptCount val="1"/>
                <c:pt idx="0">
                  <c:v>Rapsi/ rüpsi seemned</c:v>
                </c:pt>
              </c:strCache>
            </c:strRef>
          </c:tx>
          <c:invertIfNegative val="0"/>
          <c:cat>
            <c:multiLvlStrRef>
              <c:f>EX_IMP!$B$92:$U$93</c:f>
              <c:multiLvlStrCache>
                <c:ptCount val="20"/>
                <c:lvl>
                  <c:pt idx="0">
                    <c:v>2004</c:v>
                  </c:pt>
                  <c:pt idx="1">
                    <c:v>2005</c:v>
                  </c:pt>
                  <c:pt idx="2">
                    <c:v>2006</c:v>
                  </c:pt>
                  <c:pt idx="3">
                    <c:v>2007</c:v>
                  </c:pt>
                  <c:pt idx="4">
                    <c:v>2008</c:v>
                  </c:pt>
                  <c:pt idx="5">
                    <c:v>2009</c:v>
                  </c:pt>
                  <c:pt idx="6">
                    <c:v>2010</c:v>
                  </c:pt>
                  <c:pt idx="7">
                    <c:v>2011</c:v>
                  </c:pt>
                  <c:pt idx="8">
                    <c:v>2012</c:v>
                  </c:pt>
                  <c:pt idx="9">
                    <c:v>2013</c:v>
                  </c:pt>
                  <c:pt idx="10">
                    <c:v>2004</c:v>
                  </c:pt>
                  <c:pt idx="11">
                    <c:v>2005</c:v>
                  </c:pt>
                  <c:pt idx="12">
                    <c:v>2006</c:v>
                  </c:pt>
                  <c:pt idx="13">
                    <c:v>2007</c:v>
                  </c:pt>
                  <c:pt idx="14">
                    <c:v>2008</c:v>
                  </c:pt>
                  <c:pt idx="15">
                    <c:v>2009</c:v>
                  </c:pt>
                  <c:pt idx="16">
                    <c:v>2010</c:v>
                  </c:pt>
                  <c:pt idx="17">
                    <c:v>2011</c:v>
                  </c:pt>
                  <c:pt idx="18">
                    <c:v>2012</c:v>
                  </c:pt>
                  <c:pt idx="19">
                    <c:v>2013</c:v>
                  </c:pt>
                </c:lvl>
                <c:lvl>
                  <c:pt idx="0">
                    <c:v>EKSPORT</c:v>
                  </c:pt>
                  <c:pt idx="10">
                    <c:v>IMPORT</c:v>
                  </c:pt>
                </c:lvl>
              </c:multiLvlStrCache>
            </c:multiLvlStrRef>
          </c:cat>
          <c:val>
            <c:numRef>
              <c:f>EX_IMP!$B$98:$U$98</c:f>
              <c:numCache>
                <c:formatCode>0</c:formatCode>
                <c:ptCount val="20"/>
                <c:pt idx="0">
                  <c:v>11.26168</c:v>
                </c:pt>
                <c:pt idx="1">
                  <c:v>62.502237999999998</c:v>
                </c:pt>
                <c:pt idx="2">
                  <c:v>37.922063999999999</c:v>
                </c:pt>
                <c:pt idx="3">
                  <c:v>26.085159999999998</c:v>
                </c:pt>
                <c:pt idx="4">
                  <c:v>53.696340999999997</c:v>
                </c:pt>
                <c:pt idx="5">
                  <c:v>70.986829</c:v>
                </c:pt>
                <c:pt idx="6">
                  <c:v>76.309860999999998</c:v>
                </c:pt>
                <c:pt idx="7">
                  <c:v>97.652133000000006</c:v>
                </c:pt>
                <c:pt idx="8">
                  <c:v>79.101755999999995</c:v>
                </c:pt>
                <c:pt idx="9">
                  <c:v>60.153526999999997</c:v>
                </c:pt>
                <c:pt idx="10">
                  <c:v>52.351658999999998</c:v>
                </c:pt>
                <c:pt idx="11">
                  <c:v>12.822513000000001</c:v>
                </c:pt>
                <c:pt idx="12">
                  <c:v>25.701111000000001</c:v>
                </c:pt>
                <c:pt idx="13">
                  <c:v>23.394199</c:v>
                </c:pt>
                <c:pt idx="14">
                  <c:v>6.7524790000000001</c:v>
                </c:pt>
                <c:pt idx="15">
                  <c:v>0.74939999999999996</c:v>
                </c:pt>
                <c:pt idx="16">
                  <c:v>6.6409310000000001</c:v>
                </c:pt>
                <c:pt idx="17">
                  <c:v>2.100568</c:v>
                </c:pt>
                <c:pt idx="18">
                  <c:v>4.697889</c:v>
                </c:pt>
                <c:pt idx="19">
                  <c:v>13.554442999999999</c:v>
                </c:pt>
              </c:numCache>
            </c:numRef>
          </c:val>
        </c:ser>
        <c:ser>
          <c:idx val="5"/>
          <c:order val="5"/>
          <c:tx>
            <c:strRef>
              <c:f>EX_IMP!$A$99</c:f>
              <c:strCache>
                <c:ptCount val="1"/>
                <c:pt idx="0">
                  <c:v>Rapsi-/ rüpsiõli</c:v>
                </c:pt>
              </c:strCache>
            </c:strRef>
          </c:tx>
          <c:invertIfNegative val="0"/>
          <c:cat>
            <c:multiLvlStrRef>
              <c:f>EX_IMP!$B$92:$U$93</c:f>
              <c:multiLvlStrCache>
                <c:ptCount val="20"/>
                <c:lvl>
                  <c:pt idx="0">
                    <c:v>2004</c:v>
                  </c:pt>
                  <c:pt idx="1">
                    <c:v>2005</c:v>
                  </c:pt>
                  <c:pt idx="2">
                    <c:v>2006</c:v>
                  </c:pt>
                  <c:pt idx="3">
                    <c:v>2007</c:v>
                  </c:pt>
                  <c:pt idx="4">
                    <c:v>2008</c:v>
                  </c:pt>
                  <c:pt idx="5">
                    <c:v>2009</c:v>
                  </c:pt>
                  <c:pt idx="6">
                    <c:v>2010</c:v>
                  </c:pt>
                  <c:pt idx="7">
                    <c:v>2011</c:v>
                  </c:pt>
                  <c:pt idx="8">
                    <c:v>2012</c:v>
                  </c:pt>
                  <c:pt idx="9">
                    <c:v>2013</c:v>
                  </c:pt>
                  <c:pt idx="10">
                    <c:v>2004</c:v>
                  </c:pt>
                  <c:pt idx="11">
                    <c:v>2005</c:v>
                  </c:pt>
                  <c:pt idx="12">
                    <c:v>2006</c:v>
                  </c:pt>
                  <c:pt idx="13">
                    <c:v>2007</c:v>
                  </c:pt>
                  <c:pt idx="14">
                    <c:v>2008</c:v>
                  </c:pt>
                  <c:pt idx="15">
                    <c:v>2009</c:v>
                  </c:pt>
                  <c:pt idx="16">
                    <c:v>2010</c:v>
                  </c:pt>
                  <c:pt idx="17">
                    <c:v>2011</c:v>
                  </c:pt>
                  <c:pt idx="18">
                    <c:v>2012</c:v>
                  </c:pt>
                  <c:pt idx="19">
                    <c:v>2013</c:v>
                  </c:pt>
                </c:lvl>
                <c:lvl>
                  <c:pt idx="0">
                    <c:v>EKSPORT</c:v>
                  </c:pt>
                  <c:pt idx="10">
                    <c:v>IMPORT</c:v>
                  </c:pt>
                </c:lvl>
              </c:multiLvlStrCache>
            </c:multiLvlStrRef>
          </c:cat>
          <c:val>
            <c:numRef>
              <c:f>EX_IMP!$B$99:$U$99</c:f>
              <c:numCache>
                <c:formatCode>0</c:formatCode>
                <c:ptCount val="20"/>
                <c:pt idx="0">
                  <c:v>17.126488999999999</c:v>
                </c:pt>
                <c:pt idx="1">
                  <c:v>20.217686</c:v>
                </c:pt>
                <c:pt idx="2">
                  <c:v>24.398434000000002</c:v>
                </c:pt>
                <c:pt idx="3">
                  <c:v>22.494192999999999</c:v>
                </c:pt>
                <c:pt idx="4">
                  <c:v>21.140163999999999</c:v>
                </c:pt>
                <c:pt idx="5">
                  <c:v>21.144299</c:v>
                </c:pt>
                <c:pt idx="6">
                  <c:v>34.845199999999998</c:v>
                </c:pt>
                <c:pt idx="7">
                  <c:v>16.474487</c:v>
                </c:pt>
                <c:pt idx="8">
                  <c:v>17.865794000000001</c:v>
                </c:pt>
                <c:pt idx="9">
                  <c:v>33.494030000000002</c:v>
                </c:pt>
                <c:pt idx="10">
                  <c:v>3.137359</c:v>
                </c:pt>
                <c:pt idx="11">
                  <c:v>3.81731</c:v>
                </c:pt>
                <c:pt idx="12">
                  <c:v>6.070729</c:v>
                </c:pt>
                <c:pt idx="13">
                  <c:v>6.8755959999999998</c:v>
                </c:pt>
                <c:pt idx="14">
                  <c:v>24.612217000000001</c:v>
                </c:pt>
                <c:pt idx="15">
                  <c:v>28.986253999999999</c:v>
                </c:pt>
                <c:pt idx="16">
                  <c:v>8.7593890000000005</c:v>
                </c:pt>
                <c:pt idx="17">
                  <c:v>6.4178670000000002</c:v>
                </c:pt>
                <c:pt idx="18">
                  <c:v>11.823677999999999</c:v>
                </c:pt>
                <c:pt idx="19">
                  <c:v>10.629977999999999</c:v>
                </c:pt>
              </c:numCache>
            </c:numRef>
          </c:val>
        </c:ser>
        <c:ser>
          <c:idx val="6"/>
          <c:order val="6"/>
          <c:tx>
            <c:strRef>
              <c:f>EX_IMP!$A$100</c:f>
              <c:strCache>
                <c:ptCount val="1"/>
                <c:pt idx="0">
                  <c:v>Rapsi/rüpsi õlikook</c:v>
                </c:pt>
              </c:strCache>
            </c:strRef>
          </c:tx>
          <c:invertIfNegative val="0"/>
          <c:cat>
            <c:multiLvlStrRef>
              <c:f>EX_IMP!$B$92:$U$93</c:f>
              <c:multiLvlStrCache>
                <c:ptCount val="20"/>
                <c:lvl>
                  <c:pt idx="0">
                    <c:v>2004</c:v>
                  </c:pt>
                  <c:pt idx="1">
                    <c:v>2005</c:v>
                  </c:pt>
                  <c:pt idx="2">
                    <c:v>2006</c:v>
                  </c:pt>
                  <c:pt idx="3">
                    <c:v>2007</c:v>
                  </c:pt>
                  <c:pt idx="4">
                    <c:v>2008</c:v>
                  </c:pt>
                  <c:pt idx="5">
                    <c:v>2009</c:v>
                  </c:pt>
                  <c:pt idx="6">
                    <c:v>2010</c:v>
                  </c:pt>
                  <c:pt idx="7">
                    <c:v>2011</c:v>
                  </c:pt>
                  <c:pt idx="8">
                    <c:v>2012</c:v>
                  </c:pt>
                  <c:pt idx="9">
                    <c:v>2013</c:v>
                  </c:pt>
                  <c:pt idx="10">
                    <c:v>2004</c:v>
                  </c:pt>
                  <c:pt idx="11">
                    <c:v>2005</c:v>
                  </c:pt>
                  <c:pt idx="12">
                    <c:v>2006</c:v>
                  </c:pt>
                  <c:pt idx="13">
                    <c:v>2007</c:v>
                  </c:pt>
                  <c:pt idx="14">
                    <c:v>2008</c:v>
                  </c:pt>
                  <c:pt idx="15">
                    <c:v>2009</c:v>
                  </c:pt>
                  <c:pt idx="16">
                    <c:v>2010</c:v>
                  </c:pt>
                  <c:pt idx="17">
                    <c:v>2011</c:v>
                  </c:pt>
                  <c:pt idx="18">
                    <c:v>2012</c:v>
                  </c:pt>
                  <c:pt idx="19">
                    <c:v>2013</c:v>
                  </c:pt>
                </c:lvl>
                <c:lvl>
                  <c:pt idx="0">
                    <c:v>EKSPORT</c:v>
                  </c:pt>
                  <c:pt idx="10">
                    <c:v>IMPORT</c:v>
                  </c:pt>
                </c:lvl>
              </c:multiLvlStrCache>
            </c:multiLvlStrRef>
          </c:cat>
          <c:val>
            <c:numRef>
              <c:f>EX_IMP!$B$100:$U$100</c:f>
              <c:numCache>
                <c:formatCode>0</c:formatCode>
                <c:ptCount val="20"/>
                <c:pt idx="0">
                  <c:v>15.9114</c:v>
                </c:pt>
                <c:pt idx="1">
                  <c:v>24.786999999999999</c:v>
                </c:pt>
                <c:pt idx="2">
                  <c:v>11.071200000000001</c:v>
                </c:pt>
                <c:pt idx="3">
                  <c:v>17.9222</c:v>
                </c:pt>
                <c:pt idx="4">
                  <c:v>20.712299999999999</c:v>
                </c:pt>
                <c:pt idx="5">
                  <c:v>23.084200000000003</c:v>
                </c:pt>
                <c:pt idx="6">
                  <c:v>16.6676</c:v>
                </c:pt>
                <c:pt idx="7">
                  <c:v>10.6206</c:v>
                </c:pt>
                <c:pt idx="8">
                  <c:v>4.0484999999999998</c:v>
                </c:pt>
                <c:pt idx="9">
                  <c:v>19.899999999999999</c:v>
                </c:pt>
                <c:pt idx="10">
                  <c:v>14.5786</c:v>
                </c:pt>
                <c:pt idx="11">
                  <c:v>33.095300000000002</c:v>
                </c:pt>
                <c:pt idx="12">
                  <c:v>38.103700000000003</c:v>
                </c:pt>
                <c:pt idx="13">
                  <c:v>30.738899999999997</c:v>
                </c:pt>
                <c:pt idx="14">
                  <c:v>28.703899999999997</c:v>
                </c:pt>
                <c:pt idx="15">
                  <c:v>40.136699999999998</c:v>
                </c:pt>
                <c:pt idx="16">
                  <c:v>43.6218</c:v>
                </c:pt>
                <c:pt idx="17">
                  <c:v>59.863300000000002</c:v>
                </c:pt>
                <c:pt idx="18">
                  <c:v>42.652900000000002</c:v>
                </c:pt>
                <c:pt idx="19">
                  <c:v>31.67089</c:v>
                </c:pt>
              </c:numCache>
            </c:numRef>
          </c:val>
        </c:ser>
        <c:dLbls>
          <c:showLegendKey val="0"/>
          <c:showVal val="0"/>
          <c:showCatName val="0"/>
          <c:showSerName val="0"/>
          <c:showPercent val="0"/>
          <c:showBubbleSize val="0"/>
        </c:dLbls>
        <c:gapWidth val="67"/>
        <c:overlap val="100"/>
        <c:axId val="93957504"/>
        <c:axId val="93971584"/>
      </c:barChart>
      <c:lineChart>
        <c:grouping val="standard"/>
        <c:varyColors val="0"/>
        <c:ser>
          <c:idx val="7"/>
          <c:order val="7"/>
          <c:tx>
            <c:strRef>
              <c:f>EX_IMP!$A$101</c:f>
              <c:strCache>
                <c:ptCount val="1"/>
                <c:pt idx="0">
                  <c:v>Kokku</c:v>
                </c:pt>
              </c:strCache>
            </c:strRef>
          </c:tx>
          <c:spPr>
            <a:ln>
              <a:noFill/>
            </a:ln>
          </c:spPr>
          <c:marker>
            <c:symbol val="none"/>
          </c:marker>
          <c:dLbls>
            <c:dLblPos val="t"/>
            <c:showLegendKey val="0"/>
            <c:showVal val="1"/>
            <c:showCatName val="0"/>
            <c:showSerName val="0"/>
            <c:showPercent val="0"/>
            <c:showBubbleSize val="0"/>
            <c:showLeaderLines val="0"/>
          </c:dLbls>
          <c:cat>
            <c:multiLvlStrRef>
              <c:f>EX_IMP!$B$92:$U$93</c:f>
              <c:multiLvlStrCache>
                <c:ptCount val="20"/>
                <c:lvl>
                  <c:pt idx="0">
                    <c:v>2004</c:v>
                  </c:pt>
                  <c:pt idx="1">
                    <c:v>2005</c:v>
                  </c:pt>
                  <c:pt idx="2">
                    <c:v>2006</c:v>
                  </c:pt>
                  <c:pt idx="3">
                    <c:v>2007</c:v>
                  </c:pt>
                  <c:pt idx="4">
                    <c:v>2008</c:v>
                  </c:pt>
                  <c:pt idx="5">
                    <c:v>2009</c:v>
                  </c:pt>
                  <c:pt idx="6">
                    <c:v>2010</c:v>
                  </c:pt>
                  <c:pt idx="7">
                    <c:v>2011</c:v>
                  </c:pt>
                  <c:pt idx="8">
                    <c:v>2012</c:v>
                  </c:pt>
                  <c:pt idx="9">
                    <c:v>2013</c:v>
                  </c:pt>
                  <c:pt idx="10">
                    <c:v>2004</c:v>
                  </c:pt>
                  <c:pt idx="11">
                    <c:v>2005</c:v>
                  </c:pt>
                  <c:pt idx="12">
                    <c:v>2006</c:v>
                  </c:pt>
                  <c:pt idx="13">
                    <c:v>2007</c:v>
                  </c:pt>
                  <c:pt idx="14">
                    <c:v>2008</c:v>
                  </c:pt>
                  <c:pt idx="15">
                    <c:v>2009</c:v>
                  </c:pt>
                  <c:pt idx="16">
                    <c:v>2010</c:v>
                  </c:pt>
                  <c:pt idx="17">
                    <c:v>2011</c:v>
                  </c:pt>
                  <c:pt idx="18">
                    <c:v>2012</c:v>
                  </c:pt>
                  <c:pt idx="19">
                    <c:v>2013</c:v>
                  </c:pt>
                </c:lvl>
                <c:lvl>
                  <c:pt idx="0">
                    <c:v>EKSPORT</c:v>
                  </c:pt>
                  <c:pt idx="10">
                    <c:v>IMPORT</c:v>
                  </c:pt>
                </c:lvl>
              </c:multiLvlStrCache>
            </c:multiLvlStrRef>
          </c:cat>
          <c:val>
            <c:numRef>
              <c:f>EX_IMP!$B$101:$U$101</c:f>
              <c:numCache>
                <c:formatCode>0</c:formatCode>
                <c:ptCount val="20"/>
                <c:pt idx="0">
                  <c:v>59.967497999999999</c:v>
                </c:pt>
                <c:pt idx="1">
                  <c:v>234.45243120000001</c:v>
                </c:pt>
                <c:pt idx="2">
                  <c:v>261.42218989000003</c:v>
                </c:pt>
                <c:pt idx="3">
                  <c:v>254.46751404</c:v>
                </c:pt>
                <c:pt idx="4">
                  <c:v>395.19871445000001</c:v>
                </c:pt>
                <c:pt idx="5">
                  <c:v>361.73816267000001</c:v>
                </c:pt>
                <c:pt idx="6">
                  <c:v>400.78015091999993</c:v>
                </c:pt>
                <c:pt idx="7">
                  <c:v>457.08509918000004</c:v>
                </c:pt>
                <c:pt idx="8">
                  <c:v>559.87515250199999</c:v>
                </c:pt>
                <c:pt idx="9">
                  <c:v>643.42501701399988</c:v>
                </c:pt>
                <c:pt idx="10">
                  <c:v>287.23767000000004</c:v>
                </c:pt>
                <c:pt idx="11">
                  <c:v>204.950384609</c:v>
                </c:pt>
                <c:pt idx="12">
                  <c:v>217.89772045999999</c:v>
                </c:pt>
                <c:pt idx="13">
                  <c:v>225.33466593</c:v>
                </c:pt>
                <c:pt idx="14">
                  <c:v>271.75089903999998</c:v>
                </c:pt>
                <c:pt idx="15">
                  <c:v>230.14613147</c:v>
                </c:pt>
                <c:pt idx="16">
                  <c:v>255.41428461000001</c:v>
                </c:pt>
                <c:pt idx="17">
                  <c:v>377.07707903999994</c:v>
                </c:pt>
                <c:pt idx="18">
                  <c:v>266.05445898900001</c:v>
                </c:pt>
                <c:pt idx="19">
                  <c:v>315.99999848499999</c:v>
                </c:pt>
              </c:numCache>
            </c:numRef>
          </c:val>
          <c:smooth val="0"/>
        </c:ser>
        <c:dLbls>
          <c:showLegendKey val="0"/>
          <c:showVal val="0"/>
          <c:showCatName val="0"/>
          <c:showSerName val="0"/>
          <c:showPercent val="0"/>
          <c:showBubbleSize val="0"/>
        </c:dLbls>
        <c:marker val="1"/>
        <c:smooth val="0"/>
        <c:axId val="93957504"/>
        <c:axId val="93971584"/>
      </c:lineChart>
      <c:catAx>
        <c:axId val="93957504"/>
        <c:scaling>
          <c:orientation val="minMax"/>
        </c:scaling>
        <c:delete val="0"/>
        <c:axPos val="b"/>
        <c:majorTickMark val="out"/>
        <c:minorTickMark val="none"/>
        <c:tickLblPos val="nextTo"/>
        <c:crossAx val="93971584"/>
        <c:crosses val="autoZero"/>
        <c:auto val="1"/>
        <c:lblAlgn val="ctr"/>
        <c:lblOffset val="100"/>
        <c:noMultiLvlLbl val="0"/>
      </c:catAx>
      <c:valAx>
        <c:axId val="93971584"/>
        <c:scaling>
          <c:orientation val="minMax"/>
        </c:scaling>
        <c:delete val="0"/>
        <c:axPos val="l"/>
        <c:majorGridlines/>
        <c:numFmt formatCode="0" sourceLinked="1"/>
        <c:majorTickMark val="out"/>
        <c:minorTickMark val="none"/>
        <c:tickLblPos val="nextTo"/>
        <c:crossAx val="93957504"/>
        <c:crosses val="autoZero"/>
        <c:crossBetween val="between"/>
      </c:valAx>
      <c:spPr>
        <a:ln>
          <a:solidFill>
            <a:schemeClr val="bg1">
              <a:lumMod val="65000"/>
            </a:schemeClr>
          </a:solidFill>
        </a:ln>
      </c:spPr>
    </c:plotArea>
    <c:legend>
      <c:legendPos val="r"/>
      <c:legendEntry>
        <c:idx val="7"/>
        <c:delete val="1"/>
      </c:legendEntry>
      <c:layout>
        <c:manualLayout>
          <c:xMode val="edge"/>
          <c:yMode val="edge"/>
          <c:x val="5.8773838340937454E-2"/>
          <c:y val="7.3977421124616527E-2"/>
          <c:w val="0.23181745934551556"/>
          <c:h val="0.32933757413445047"/>
        </c:manualLayout>
      </c:layout>
      <c:overlay val="0"/>
      <c:spPr>
        <a:solidFill>
          <a:schemeClr val="bg1"/>
        </a:solidFill>
      </c:spPr>
    </c:legend>
    <c:plotVisOnly val="1"/>
    <c:dispBlanksAs val="gap"/>
    <c:showDLblsOverMax val="0"/>
  </c:chart>
  <c:spPr>
    <a:ln>
      <a:solidFill>
        <a:sysClr val="window" lastClr="FFFFFF"/>
      </a:solidFill>
    </a:ln>
  </c:spPr>
  <c:txPr>
    <a:bodyPr/>
    <a:lstStyle/>
    <a:p>
      <a:pPr>
        <a:defRPr sz="1000"/>
      </a:pPr>
      <a:endParaRPr lang="et-EE"/>
    </a:p>
  </c:txPr>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t-EE" sz="1000"/>
              <a:t>€/t</a:t>
            </a:r>
          </a:p>
        </c:rich>
      </c:tx>
      <c:layout>
        <c:manualLayout>
          <c:xMode val="edge"/>
          <c:yMode val="edge"/>
          <c:x val="5.595570506738301E-2"/>
          <c:y val="6.4102737157855263E-2"/>
        </c:manualLayout>
      </c:layout>
      <c:overlay val="0"/>
      <c:spPr>
        <a:noFill/>
        <a:ln w="25400">
          <a:noFill/>
        </a:ln>
      </c:spPr>
    </c:title>
    <c:autoTitleDeleted val="0"/>
    <c:plotArea>
      <c:layout>
        <c:manualLayout>
          <c:layoutTarget val="inner"/>
          <c:xMode val="edge"/>
          <c:yMode val="edge"/>
          <c:x val="6.2215477996965099E-2"/>
          <c:y val="5.4487350033021686E-2"/>
          <c:w val="0.91826668100478337"/>
          <c:h val="0.83440440137290528"/>
        </c:manualLayout>
      </c:layout>
      <c:lineChart>
        <c:grouping val="standard"/>
        <c:varyColors val="0"/>
        <c:ser>
          <c:idx val="0"/>
          <c:order val="0"/>
          <c:tx>
            <c:strRef>
              <c:f>Hinnad!$A$7</c:f>
              <c:strCache>
                <c:ptCount val="1"/>
                <c:pt idx="0">
                  <c:v> Nisu</c:v>
                </c:pt>
              </c:strCache>
            </c:strRef>
          </c:tx>
          <c:spPr>
            <a:ln w="63500">
              <a:solidFill>
                <a:srgbClr val="3366FF"/>
              </a:solidFill>
              <a:prstDash val="solid"/>
            </a:ln>
          </c:spPr>
          <c:marker>
            <c:symbol val="none"/>
          </c:marker>
          <c:cat>
            <c:numRef>
              <c:f>Hinnad!$F$4:$DQ$4</c:f>
              <c:numCache>
                <c:formatCode>General</c:formatCode>
                <c:ptCount val="116"/>
                <c:pt idx="8">
                  <c:v>2005</c:v>
                </c:pt>
                <c:pt idx="20">
                  <c:v>2006</c:v>
                </c:pt>
                <c:pt idx="32">
                  <c:v>2007</c:v>
                </c:pt>
                <c:pt idx="44">
                  <c:v>2008</c:v>
                </c:pt>
                <c:pt idx="56">
                  <c:v>2009</c:v>
                </c:pt>
                <c:pt idx="68">
                  <c:v>2010</c:v>
                </c:pt>
                <c:pt idx="80">
                  <c:v>2011</c:v>
                </c:pt>
                <c:pt idx="92">
                  <c:v>2012</c:v>
                </c:pt>
                <c:pt idx="104">
                  <c:v>2013</c:v>
                </c:pt>
              </c:numCache>
            </c:numRef>
          </c:cat>
          <c:val>
            <c:numRef>
              <c:f>Hinnad!$F$7:$DQ$7</c:f>
              <c:numCache>
                <c:formatCode>#,##0.00</c:formatCode>
                <c:ptCount val="116"/>
                <c:pt idx="0">
                  <c:v>154.87</c:v>
                </c:pt>
                <c:pt idx="1">
                  <c:v>139.13999999999999</c:v>
                </c:pt>
                <c:pt idx="3">
                  <c:v>117.91</c:v>
                </c:pt>
                <c:pt idx="4">
                  <c:v>106.41</c:v>
                </c:pt>
                <c:pt idx="5">
                  <c:v>105.23</c:v>
                </c:pt>
                <c:pt idx="6">
                  <c:v>101.11</c:v>
                </c:pt>
                <c:pt idx="7">
                  <c:v>99.41</c:v>
                </c:pt>
                <c:pt idx="8">
                  <c:v>108.02</c:v>
                </c:pt>
                <c:pt idx="9">
                  <c:v>105.4</c:v>
                </c:pt>
                <c:pt idx="10">
                  <c:v>110.72</c:v>
                </c:pt>
                <c:pt idx="11">
                  <c:v>104.64</c:v>
                </c:pt>
                <c:pt idx="12">
                  <c:v>107.21</c:v>
                </c:pt>
                <c:pt idx="13">
                  <c:v>97.45</c:v>
                </c:pt>
                <c:pt idx="14">
                  <c:v>104.24</c:v>
                </c:pt>
                <c:pt idx="15">
                  <c:v>91.05</c:v>
                </c:pt>
                <c:pt idx="16">
                  <c:v>95.71</c:v>
                </c:pt>
                <c:pt idx="17">
                  <c:v>96.47</c:v>
                </c:pt>
                <c:pt idx="18">
                  <c:v>97.5</c:v>
                </c:pt>
                <c:pt idx="19">
                  <c:v>103.97</c:v>
                </c:pt>
                <c:pt idx="20">
                  <c:v>104.29869748060283</c:v>
                </c:pt>
                <c:pt idx="21">
                  <c:v>102.72199711119349</c:v>
                </c:pt>
                <c:pt idx="22">
                  <c:v>103.57138292025104</c:v>
                </c:pt>
                <c:pt idx="23">
                  <c:v>104.27568928712947</c:v>
                </c:pt>
                <c:pt idx="24">
                  <c:v>105.17173059961908</c:v>
                </c:pt>
                <c:pt idx="25">
                  <c:v>99.54686641187223</c:v>
                </c:pt>
                <c:pt idx="26">
                  <c:v>101.00980404688559</c:v>
                </c:pt>
                <c:pt idx="27">
                  <c:v>111.28743624813059</c:v>
                </c:pt>
                <c:pt idx="28">
                  <c:v>118.83795840629914</c:v>
                </c:pt>
                <c:pt idx="29">
                  <c:v>120.86204031546789</c:v>
                </c:pt>
                <c:pt idx="30">
                  <c:v>120.01329362289572</c:v>
                </c:pt>
                <c:pt idx="31">
                  <c:v>140.49250316362662</c:v>
                </c:pt>
                <c:pt idx="32">
                  <c:v>134.06235220431276</c:v>
                </c:pt>
                <c:pt idx="33">
                  <c:v>159.0070686283282</c:v>
                </c:pt>
                <c:pt idx="34">
                  <c:v>145.35170580189947</c:v>
                </c:pt>
                <c:pt idx="35">
                  <c:v>155.53027494791201</c:v>
                </c:pt>
                <c:pt idx="36">
                  <c:v>139.08580777932585</c:v>
                </c:pt>
                <c:pt idx="37">
                  <c:v>136.39512737591554</c:v>
                </c:pt>
                <c:pt idx="38">
                  <c:v>145.12226298365141</c:v>
                </c:pt>
                <c:pt idx="39">
                  <c:v>168.0448148479542</c:v>
                </c:pt>
                <c:pt idx="40">
                  <c:v>199.12568864801298</c:v>
                </c:pt>
                <c:pt idx="41">
                  <c:v>203.44547697263303</c:v>
                </c:pt>
                <c:pt idx="42">
                  <c:v>200.22688635230656</c:v>
                </c:pt>
                <c:pt idx="43">
                  <c:v>196.45162527322231</c:v>
                </c:pt>
                <c:pt idx="44">
                  <c:v>220.71696087328877</c:v>
                </c:pt>
                <c:pt idx="45">
                  <c:v>219.8221977937699</c:v>
                </c:pt>
                <c:pt idx="46">
                  <c:v>215.44297163601038</c:v>
                </c:pt>
                <c:pt idx="47">
                  <c:v>209.44422430432172</c:v>
                </c:pt>
                <c:pt idx="48">
                  <c:v>201.20089987601142</c:v>
                </c:pt>
                <c:pt idx="49">
                  <c:v>197.37706594403897</c:v>
                </c:pt>
                <c:pt idx="50">
                  <c:v>174.01352370483045</c:v>
                </c:pt>
                <c:pt idx="51">
                  <c:v>148.4942415604668</c:v>
                </c:pt>
                <c:pt idx="52">
                  <c:v>137.21064001124847</c:v>
                </c:pt>
                <c:pt idx="53">
                  <c:v>127.3171168177112</c:v>
                </c:pt>
                <c:pt idx="54">
                  <c:v>122.28982654378588</c:v>
                </c:pt>
                <c:pt idx="55">
                  <c:v>119.73463883527413</c:v>
                </c:pt>
                <c:pt idx="56">
                  <c:v>116.67838380223179</c:v>
                </c:pt>
                <c:pt idx="57">
                  <c:v>118.08955300193014</c:v>
                </c:pt>
                <c:pt idx="58">
                  <c:v>107.35431339715977</c:v>
                </c:pt>
                <c:pt idx="59">
                  <c:v>112.48577965820051</c:v>
                </c:pt>
                <c:pt idx="60">
                  <c:v>107.98000843633761</c:v>
                </c:pt>
                <c:pt idx="61">
                  <c:v>110.37733437296282</c:v>
                </c:pt>
                <c:pt idx="62">
                  <c:v>100.61674740838265</c:v>
                </c:pt>
                <c:pt idx="63">
                  <c:v>104.75758311709892</c:v>
                </c:pt>
                <c:pt idx="64">
                  <c:v>104.87901524931935</c:v>
                </c:pt>
                <c:pt idx="65">
                  <c:v>104.78953894136745</c:v>
                </c:pt>
                <c:pt idx="66">
                  <c:v>100.24733807983843</c:v>
                </c:pt>
                <c:pt idx="67">
                  <c:v>101.82915138113073</c:v>
                </c:pt>
                <c:pt idx="68">
                  <c:v>110.99663824728695</c:v>
                </c:pt>
                <c:pt idx="69">
                  <c:v>113.52881776232536</c:v>
                </c:pt>
                <c:pt idx="70">
                  <c:v>113.43550675546126</c:v>
                </c:pt>
                <c:pt idx="71">
                  <c:v>113.81450283128603</c:v>
                </c:pt>
                <c:pt idx="72">
                  <c:v>112.19753812329836</c:v>
                </c:pt>
                <c:pt idx="73">
                  <c:v>114.02093745606075</c:v>
                </c:pt>
                <c:pt idx="74">
                  <c:v>118.9779249165953</c:v>
                </c:pt>
                <c:pt idx="75">
                  <c:v>162.11381386371482</c:v>
                </c:pt>
                <c:pt idx="76">
                  <c:v>170.71440440734727</c:v>
                </c:pt>
                <c:pt idx="77">
                  <c:v>165.40015083149055</c:v>
                </c:pt>
                <c:pt idx="78">
                  <c:v>163.80108138509325</c:v>
                </c:pt>
                <c:pt idx="79">
                  <c:v>171.76255544335513</c:v>
                </c:pt>
                <c:pt idx="80" formatCode="General">
                  <c:v>202.41</c:v>
                </c:pt>
                <c:pt idx="81" formatCode="General">
                  <c:v>234.97</c:v>
                </c:pt>
                <c:pt idx="82" formatCode="General">
                  <c:v>233.85</c:v>
                </c:pt>
                <c:pt idx="83" formatCode="General">
                  <c:v>229.87</c:v>
                </c:pt>
                <c:pt idx="84" formatCode="General">
                  <c:v>237.33500000000001</c:v>
                </c:pt>
                <c:pt idx="85" formatCode="General">
                  <c:v>232.49</c:v>
                </c:pt>
                <c:pt idx="86" formatCode="0.00">
                  <c:v>192.16</c:v>
                </c:pt>
                <c:pt idx="87" formatCode="0.00">
                  <c:v>177.57</c:v>
                </c:pt>
                <c:pt idx="88" formatCode="0.00">
                  <c:v>186.3056037146585</c:v>
                </c:pt>
                <c:pt idx="89" formatCode="0.00">
                  <c:v>180.51606637261651</c:v>
                </c:pt>
                <c:pt idx="90" formatCode="0.00">
                  <c:v>177.14502317292818</c:v>
                </c:pt>
                <c:pt idx="91" formatCode="0.00">
                  <c:v>179.64114127613234</c:v>
                </c:pt>
                <c:pt idx="92" formatCode="0.00">
                  <c:v>192.00946021381122</c:v>
                </c:pt>
                <c:pt idx="93" formatCode="0.00">
                  <c:v>192.36095197680174</c:v>
                </c:pt>
                <c:pt idx="94" formatCode="0.00">
                  <c:v>183.33031691297208</c:v>
                </c:pt>
                <c:pt idx="95" formatCode="0.00">
                  <c:v>188.78640784553824</c:v>
                </c:pt>
                <c:pt idx="96" formatCode="0.00">
                  <c:v>200.0276092530718</c:v>
                </c:pt>
                <c:pt idx="97" formatCode="0.00">
                  <c:v>205.72746728489912</c:v>
                </c:pt>
                <c:pt idx="98" formatCode="0.00">
                  <c:v>214.6915055652847</c:v>
                </c:pt>
                <c:pt idx="99" formatCode="0.00">
                  <c:v>206.72650104353181</c:v>
                </c:pt>
                <c:pt idx="100" formatCode="0.00">
                  <c:v>210.30914796868419</c:v>
                </c:pt>
                <c:pt idx="101" formatCode="0.00">
                  <c:v>219.02817350821707</c:v>
                </c:pt>
                <c:pt idx="102" formatCode="0.00">
                  <c:v>228.4</c:v>
                </c:pt>
                <c:pt idx="103" formatCode="0.00">
                  <c:v>231.75911352988945</c:v>
                </c:pt>
                <c:pt idx="104" formatCode="0.00">
                  <c:v>230.22203262989572</c:v>
                </c:pt>
                <c:pt idx="105" formatCode="0.00">
                  <c:v>232.48623045173159</c:v>
                </c:pt>
                <c:pt idx="106" formatCode="0.00">
                  <c:v>233.23214127039503</c:v>
                </c:pt>
                <c:pt idx="107" formatCode="0.00">
                  <c:v>224.38</c:v>
                </c:pt>
                <c:pt idx="108" formatCode="0.00">
                  <c:v>222.99</c:v>
                </c:pt>
                <c:pt idx="109" formatCode="0.00">
                  <c:v>213.09459828327294</c:v>
                </c:pt>
                <c:pt idx="110" formatCode="0.00">
                  <c:v>170.83848773555764</c:v>
                </c:pt>
                <c:pt idx="111" formatCode="0.00">
                  <c:v>169.88003835521909</c:v>
                </c:pt>
                <c:pt idx="112" formatCode="0.00">
                  <c:v>170.3965003356671</c:v>
                </c:pt>
                <c:pt idx="113" formatCode="0.00">
                  <c:v>177.15247372402621</c:v>
                </c:pt>
                <c:pt idx="114" formatCode="0.00">
                  <c:v>193.20594324366283</c:v>
                </c:pt>
                <c:pt idx="115" formatCode="0.00">
                  <c:v>184.50715888741601</c:v>
                </c:pt>
              </c:numCache>
            </c:numRef>
          </c:val>
          <c:smooth val="0"/>
        </c:ser>
        <c:ser>
          <c:idx val="1"/>
          <c:order val="1"/>
          <c:tx>
            <c:strRef>
              <c:f>Hinnad!$A$8</c:f>
              <c:strCache>
                <c:ptCount val="1"/>
                <c:pt idx="0">
                  <c:v> Rukis</c:v>
                </c:pt>
              </c:strCache>
            </c:strRef>
          </c:tx>
          <c:spPr>
            <a:ln w="38100">
              <a:solidFill>
                <a:srgbClr val="FF0000"/>
              </a:solidFill>
              <a:prstDash val="solid"/>
            </a:ln>
          </c:spPr>
          <c:marker>
            <c:symbol val="none"/>
          </c:marker>
          <c:cat>
            <c:numRef>
              <c:f>Hinnad!$F$4:$DQ$4</c:f>
              <c:numCache>
                <c:formatCode>General</c:formatCode>
                <c:ptCount val="116"/>
                <c:pt idx="8">
                  <c:v>2005</c:v>
                </c:pt>
                <c:pt idx="20">
                  <c:v>2006</c:v>
                </c:pt>
                <c:pt idx="32">
                  <c:v>2007</c:v>
                </c:pt>
                <c:pt idx="44">
                  <c:v>2008</c:v>
                </c:pt>
                <c:pt idx="56">
                  <c:v>2009</c:v>
                </c:pt>
                <c:pt idx="68">
                  <c:v>2010</c:v>
                </c:pt>
                <c:pt idx="80">
                  <c:v>2011</c:v>
                </c:pt>
                <c:pt idx="92">
                  <c:v>2012</c:v>
                </c:pt>
                <c:pt idx="104">
                  <c:v>2013</c:v>
                </c:pt>
              </c:numCache>
            </c:numRef>
          </c:cat>
          <c:val>
            <c:numRef>
              <c:f>Hinnad!$F$8:$DQ$8</c:f>
              <c:numCache>
                <c:formatCode>#,##0.00</c:formatCode>
                <c:ptCount val="116"/>
                <c:pt idx="0">
                  <c:v>123.95</c:v>
                </c:pt>
                <c:pt idx="1">
                  <c:v>121.43</c:v>
                </c:pt>
                <c:pt idx="2">
                  <c:v>121.43</c:v>
                </c:pt>
                <c:pt idx="3">
                  <c:v>115.98</c:v>
                </c:pt>
                <c:pt idx="4">
                  <c:v>95.56</c:v>
                </c:pt>
                <c:pt idx="5">
                  <c:v>94.06</c:v>
                </c:pt>
                <c:pt idx="6">
                  <c:v>85.18</c:v>
                </c:pt>
                <c:pt idx="7">
                  <c:v>90.89</c:v>
                </c:pt>
                <c:pt idx="10">
                  <c:v>100.98</c:v>
                </c:pt>
                <c:pt idx="11">
                  <c:v>100.98</c:v>
                </c:pt>
                <c:pt idx="13">
                  <c:v>101.11</c:v>
                </c:pt>
                <c:pt idx="14">
                  <c:v>102.88</c:v>
                </c:pt>
                <c:pt idx="15">
                  <c:v>95.31</c:v>
                </c:pt>
                <c:pt idx="16">
                  <c:v>86.52</c:v>
                </c:pt>
                <c:pt idx="17">
                  <c:v>87.41</c:v>
                </c:pt>
                <c:pt idx="18">
                  <c:v>93.96</c:v>
                </c:pt>
                <c:pt idx="19">
                  <c:v>88.15</c:v>
                </c:pt>
                <c:pt idx="20">
                  <c:v>97.185330998427773</c:v>
                </c:pt>
                <c:pt idx="21">
                  <c:v>99.596717497731134</c:v>
                </c:pt>
                <c:pt idx="22">
                  <c:v>102.3998824025667</c:v>
                </c:pt>
                <c:pt idx="23">
                  <c:v>100.99702171717817</c:v>
                </c:pt>
                <c:pt idx="24">
                  <c:v>102.17619163268698</c:v>
                </c:pt>
                <c:pt idx="25">
                  <c:v>102.84470747638466</c:v>
                </c:pt>
                <c:pt idx="26">
                  <c:v>96.187031048278868</c:v>
                </c:pt>
                <c:pt idx="27">
                  <c:v>106.65128526325209</c:v>
                </c:pt>
                <c:pt idx="28">
                  <c:v>108.69006685158438</c:v>
                </c:pt>
                <c:pt idx="29">
                  <c:v>110.13766569094884</c:v>
                </c:pt>
                <c:pt idx="30">
                  <c:v>119.36459039024453</c:v>
                </c:pt>
                <c:pt idx="31">
                  <c:v>119.84648422021398</c:v>
                </c:pt>
                <c:pt idx="32">
                  <c:v>120.30153515779786</c:v>
                </c:pt>
                <c:pt idx="33">
                  <c:v>135.74706325974972</c:v>
                </c:pt>
                <c:pt idx="34">
                  <c:v>137.15695422647732</c:v>
                </c:pt>
                <c:pt idx="35">
                  <c:v>139.84443904746081</c:v>
                </c:pt>
                <c:pt idx="36">
                  <c:v>140.60562678153721</c:v>
                </c:pt>
                <c:pt idx="37">
                  <c:v>140.24260861784671</c:v>
                </c:pt>
                <c:pt idx="39">
                  <c:v>157.7371441718968</c:v>
                </c:pt>
                <c:pt idx="40">
                  <c:v>179.56616772973041</c:v>
                </c:pt>
                <c:pt idx="41">
                  <c:v>174.46346171053139</c:v>
                </c:pt>
                <c:pt idx="42">
                  <c:v>172.26617923382716</c:v>
                </c:pt>
                <c:pt idx="43">
                  <c:v>175.92064729717637</c:v>
                </c:pt>
                <c:pt idx="44">
                  <c:v>177.61622333286468</c:v>
                </c:pt>
                <c:pt idx="45">
                  <c:v>203.73755320644742</c:v>
                </c:pt>
                <c:pt idx="46">
                  <c:v>194.67743790983346</c:v>
                </c:pt>
                <c:pt idx="47">
                  <c:v>198.94929249805071</c:v>
                </c:pt>
                <c:pt idx="48">
                  <c:v>196.35895338284357</c:v>
                </c:pt>
                <c:pt idx="49">
                  <c:v>191.7349456111871</c:v>
                </c:pt>
                <c:pt idx="51">
                  <c:v>135.84229161606993</c:v>
                </c:pt>
                <c:pt idx="52">
                  <c:v>117.63514118083162</c:v>
                </c:pt>
                <c:pt idx="53">
                  <c:v>116.09039663569084</c:v>
                </c:pt>
                <c:pt idx="54">
                  <c:v>92.332519525008635</c:v>
                </c:pt>
                <c:pt idx="55">
                  <c:v>84.929633274960693</c:v>
                </c:pt>
                <c:pt idx="56">
                  <c:v>96.56347065816216</c:v>
                </c:pt>
                <c:pt idx="57">
                  <c:v>98.416908465736981</c:v>
                </c:pt>
                <c:pt idx="58">
                  <c:v>99.072002863241863</c:v>
                </c:pt>
                <c:pt idx="59">
                  <c:v>83.950506819372904</c:v>
                </c:pt>
                <c:pt idx="60">
                  <c:v>83.579180141372575</c:v>
                </c:pt>
                <c:pt idx="61">
                  <c:v>93.017013280840573</c:v>
                </c:pt>
                <c:pt idx="62">
                  <c:v>92.358084184423447</c:v>
                </c:pt>
                <c:pt idx="63">
                  <c:v>73.035036365728018</c:v>
                </c:pt>
                <c:pt idx="64">
                  <c:v>70.543760305753324</c:v>
                </c:pt>
                <c:pt idx="65">
                  <c:v>71.759359860928257</c:v>
                </c:pt>
                <c:pt idx="66">
                  <c:v>63.911009420576995</c:v>
                </c:pt>
                <c:pt idx="67">
                  <c:v>74.118977924916607</c:v>
                </c:pt>
                <c:pt idx="68">
                  <c:v>76.623675431084081</c:v>
                </c:pt>
                <c:pt idx="69">
                  <c:v>82.864008794242835</c:v>
                </c:pt>
                <c:pt idx="70">
                  <c:v>80.720412102309766</c:v>
                </c:pt>
                <c:pt idx="71">
                  <c:v>80.047422443214501</c:v>
                </c:pt>
                <c:pt idx="72">
                  <c:v>73.293239425817745</c:v>
                </c:pt>
                <c:pt idx="73">
                  <c:v>89.198292280751104</c:v>
                </c:pt>
                <c:pt idx="74">
                  <c:v>93.87854230312017</c:v>
                </c:pt>
                <c:pt idx="75">
                  <c:v>126.45750514488772</c:v>
                </c:pt>
                <c:pt idx="76">
                  <c:v>135.02805721370777</c:v>
                </c:pt>
                <c:pt idx="77">
                  <c:v>150.98871320286835</c:v>
                </c:pt>
                <c:pt idx="78">
                  <c:v>155.66640675929597</c:v>
                </c:pt>
                <c:pt idx="79">
                  <c:v>164.31940485472882</c:v>
                </c:pt>
                <c:pt idx="80" formatCode="General">
                  <c:v>182.74</c:v>
                </c:pt>
                <c:pt idx="81" formatCode="General">
                  <c:v>180</c:v>
                </c:pt>
                <c:pt idx="82" formatCode="General">
                  <c:v>188.46</c:v>
                </c:pt>
                <c:pt idx="84" formatCode="General">
                  <c:v>195</c:v>
                </c:pt>
                <c:pt idx="85" formatCode="General">
                  <c:v>194.62</c:v>
                </c:pt>
                <c:pt idx="86" formatCode="0.00">
                  <c:v>172.03</c:v>
                </c:pt>
                <c:pt idx="87" formatCode="0.00">
                  <c:v>172.42</c:v>
                </c:pt>
                <c:pt idx="88" formatCode="0.00">
                  <c:v>178.41350642946554</c:v>
                </c:pt>
                <c:pt idx="89" formatCode="0.00">
                  <c:v>177.80261494656918</c:v>
                </c:pt>
                <c:pt idx="90" formatCode="0.00">
                  <c:v>171.31841652892564</c:v>
                </c:pt>
                <c:pt idx="91" formatCode="0.00">
                  <c:v>162.03</c:v>
                </c:pt>
                <c:pt idx="92" formatCode="0.00">
                  <c:v>170.64440375736348</c:v>
                </c:pt>
                <c:pt idx="95" formatCode="General">
                  <c:v>178.19</c:v>
                </c:pt>
                <c:pt idx="96" formatCode="0.00">
                  <c:v>176.97191310556957</c:v>
                </c:pt>
                <c:pt idx="97" formatCode="0.00">
                  <c:v>176.97191310556957</c:v>
                </c:pt>
                <c:pt idx="98" formatCode="0.00">
                  <c:v>182.65402972399153</c:v>
                </c:pt>
                <c:pt idx="99" formatCode="0.00">
                  <c:v>192.49470940291576</c:v>
                </c:pt>
                <c:pt idx="100" formatCode="0.00">
                  <c:v>182.78351533950664</c:v>
                </c:pt>
                <c:pt idx="101" formatCode="0.00">
                  <c:v>185.19623435669087</c:v>
                </c:pt>
                <c:pt idx="102" formatCode="0.00">
                  <c:v>181.26</c:v>
                </c:pt>
                <c:pt idx="103" formatCode="0.00">
                  <c:v>182.9487206546159</c:v>
                </c:pt>
                <c:pt idx="104" formatCode="0.00">
                  <c:v>184.46054341736695</c:v>
                </c:pt>
                <c:pt idx="105" formatCode="0.00">
                  <c:v>179</c:v>
                </c:pt>
                <c:pt idx="106" formatCode="0.00">
                  <c:v>160</c:v>
                </c:pt>
                <c:pt idx="107" formatCode="0.00">
                  <c:v>185</c:v>
                </c:pt>
                <c:pt idx="108" formatCode="0.00">
                  <c:v>176.5</c:v>
                </c:pt>
                <c:pt idx="110" formatCode="0.00">
                  <c:v>160.95003217733284</c:v>
                </c:pt>
                <c:pt idx="111" formatCode="0.00">
                  <c:v>146.48056704794587</c:v>
                </c:pt>
                <c:pt idx="112" formatCode="0.00">
                  <c:v>137.52763457516846</c:v>
                </c:pt>
                <c:pt idx="113" formatCode="0.00">
                  <c:v>140.38196510124945</c:v>
                </c:pt>
                <c:pt idx="114" formatCode="0.00">
                  <c:v>148.84687711942783</c:v>
                </c:pt>
                <c:pt idx="115" formatCode="0.00">
                  <c:v>161.53130764722212</c:v>
                </c:pt>
              </c:numCache>
            </c:numRef>
          </c:val>
          <c:smooth val="0"/>
        </c:ser>
        <c:ser>
          <c:idx val="2"/>
          <c:order val="2"/>
          <c:tx>
            <c:strRef>
              <c:f>Hinnad!$A$9</c:f>
              <c:strCache>
                <c:ptCount val="1"/>
                <c:pt idx="0">
                  <c:v> Oder</c:v>
                </c:pt>
              </c:strCache>
            </c:strRef>
          </c:tx>
          <c:spPr>
            <a:ln w="38100">
              <a:solidFill>
                <a:srgbClr val="FFFF00"/>
              </a:solidFill>
              <a:prstDash val="solid"/>
            </a:ln>
          </c:spPr>
          <c:marker>
            <c:symbol val="none"/>
          </c:marker>
          <c:cat>
            <c:numRef>
              <c:f>Hinnad!$F$4:$DQ$4</c:f>
              <c:numCache>
                <c:formatCode>General</c:formatCode>
                <c:ptCount val="116"/>
                <c:pt idx="8">
                  <c:v>2005</c:v>
                </c:pt>
                <c:pt idx="20">
                  <c:v>2006</c:v>
                </c:pt>
                <c:pt idx="32">
                  <c:v>2007</c:v>
                </c:pt>
                <c:pt idx="44">
                  <c:v>2008</c:v>
                </c:pt>
                <c:pt idx="56">
                  <c:v>2009</c:v>
                </c:pt>
                <c:pt idx="68">
                  <c:v>2010</c:v>
                </c:pt>
                <c:pt idx="80">
                  <c:v>2011</c:v>
                </c:pt>
                <c:pt idx="92">
                  <c:v>2012</c:v>
                </c:pt>
                <c:pt idx="104">
                  <c:v>2013</c:v>
                </c:pt>
              </c:numCache>
            </c:numRef>
          </c:cat>
          <c:val>
            <c:numRef>
              <c:f>Hinnad!$F$9:$DQ$9</c:f>
              <c:numCache>
                <c:formatCode>#,##0.00</c:formatCode>
                <c:ptCount val="116"/>
                <c:pt idx="0">
                  <c:v>124.58</c:v>
                </c:pt>
                <c:pt idx="1">
                  <c:v>125.61</c:v>
                </c:pt>
                <c:pt idx="2">
                  <c:v>127.5</c:v>
                </c:pt>
                <c:pt idx="3">
                  <c:v>102.35</c:v>
                </c:pt>
                <c:pt idx="4">
                  <c:v>99.26</c:v>
                </c:pt>
                <c:pt idx="5">
                  <c:v>99.15</c:v>
                </c:pt>
                <c:pt idx="6">
                  <c:v>95.63</c:v>
                </c:pt>
                <c:pt idx="7">
                  <c:v>93.44</c:v>
                </c:pt>
                <c:pt idx="8">
                  <c:v>101.35</c:v>
                </c:pt>
                <c:pt idx="9">
                  <c:v>97.84</c:v>
                </c:pt>
                <c:pt idx="10">
                  <c:v>94.71</c:v>
                </c:pt>
                <c:pt idx="11">
                  <c:v>97.39</c:v>
                </c:pt>
                <c:pt idx="12">
                  <c:v>89.35</c:v>
                </c:pt>
                <c:pt idx="13">
                  <c:v>85.6</c:v>
                </c:pt>
                <c:pt idx="14">
                  <c:v>102.26</c:v>
                </c:pt>
                <c:pt idx="15">
                  <c:v>85.97</c:v>
                </c:pt>
                <c:pt idx="16">
                  <c:v>88.36</c:v>
                </c:pt>
                <c:pt idx="17">
                  <c:v>88.02</c:v>
                </c:pt>
                <c:pt idx="18">
                  <c:v>90.41</c:v>
                </c:pt>
                <c:pt idx="19">
                  <c:v>93.18</c:v>
                </c:pt>
                <c:pt idx="20">
                  <c:v>92.226426188437102</c:v>
                </c:pt>
                <c:pt idx="21">
                  <c:v>93.475259800851305</c:v>
                </c:pt>
                <c:pt idx="22">
                  <c:v>95.662316413789583</c:v>
                </c:pt>
                <c:pt idx="23">
                  <c:v>88.366162616798547</c:v>
                </c:pt>
                <c:pt idx="24">
                  <c:v>95.733258343665725</c:v>
                </c:pt>
                <c:pt idx="25">
                  <c:v>95.851494893459289</c:v>
                </c:pt>
                <c:pt idx="26">
                  <c:v>101.29996293124385</c:v>
                </c:pt>
                <c:pt idx="27">
                  <c:v>98.365779146907315</c:v>
                </c:pt>
                <c:pt idx="28">
                  <c:v>97.08562882670995</c:v>
                </c:pt>
                <c:pt idx="29">
                  <c:v>98.410517300883257</c:v>
                </c:pt>
                <c:pt idx="30">
                  <c:v>109.2441808444007</c:v>
                </c:pt>
                <c:pt idx="31">
                  <c:v>119.08977030153515</c:v>
                </c:pt>
                <c:pt idx="32">
                  <c:v>121.98241151432259</c:v>
                </c:pt>
                <c:pt idx="33">
                  <c:v>149.32573210793399</c:v>
                </c:pt>
                <c:pt idx="34">
                  <c:v>148.00020451727531</c:v>
                </c:pt>
                <c:pt idx="35">
                  <c:v>148.77417458105916</c:v>
                </c:pt>
                <c:pt idx="36">
                  <c:v>146.60373499674051</c:v>
                </c:pt>
                <c:pt idx="37">
                  <c:v>136.01677041657612</c:v>
                </c:pt>
                <c:pt idx="38">
                  <c:v>139.60732683138829</c:v>
                </c:pt>
                <c:pt idx="39">
                  <c:v>154.65979829483723</c:v>
                </c:pt>
                <c:pt idx="40">
                  <c:v>163.88288829522071</c:v>
                </c:pt>
                <c:pt idx="41">
                  <c:v>177.76705482341211</c:v>
                </c:pt>
                <c:pt idx="42">
                  <c:v>185.56811064384596</c:v>
                </c:pt>
                <c:pt idx="43">
                  <c:v>182.75280252578835</c:v>
                </c:pt>
                <c:pt idx="44">
                  <c:v>180.7568417419759</c:v>
                </c:pt>
                <c:pt idx="45">
                  <c:v>198.6354863037337</c:v>
                </c:pt>
                <c:pt idx="46">
                  <c:v>194.03320849257986</c:v>
                </c:pt>
                <c:pt idx="47">
                  <c:v>193.80568302378794</c:v>
                </c:pt>
                <c:pt idx="48">
                  <c:v>174.54335127120271</c:v>
                </c:pt>
                <c:pt idx="49">
                  <c:v>198.12611046489334</c:v>
                </c:pt>
                <c:pt idx="50">
                  <c:v>129.27920442779902</c:v>
                </c:pt>
                <c:pt idx="51">
                  <c:v>137.67783416205438</c:v>
                </c:pt>
                <c:pt idx="52">
                  <c:v>121.44683189958202</c:v>
                </c:pt>
                <c:pt idx="53">
                  <c:v>116.02328940472691</c:v>
                </c:pt>
                <c:pt idx="54">
                  <c:v>124.57786356141271</c:v>
                </c:pt>
                <c:pt idx="55">
                  <c:v>117.04268019889305</c:v>
                </c:pt>
                <c:pt idx="56">
                  <c:v>112.56055628698887</c:v>
                </c:pt>
                <c:pt idx="57">
                  <c:v>108.06884562780414</c:v>
                </c:pt>
                <c:pt idx="58">
                  <c:v>125.73977733181651</c:v>
                </c:pt>
                <c:pt idx="59">
                  <c:v>102.57116562064603</c:v>
                </c:pt>
                <c:pt idx="60">
                  <c:v>95.44693415821969</c:v>
                </c:pt>
                <c:pt idx="61">
                  <c:v>100.23391663364565</c:v>
                </c:pt>
                <c:pt idx="62">
                  <c:v>93.512328557002803</c:v>
                </c:pt>
                <c:pt idx="63">
                  <c:v>84.680377845666158</c:v>
                </c:pt>
                <c:pt idx="64">
                  <c:v>94.146971226975822</c:v>
                </c:pt>
                <c:pt idx="65">
                  <c:v>94.47292063451485</c:v>
                </c:pt>
                <c:pt idx="66">
                  <c:v>90.998044303554764</c:v>
                </c:pt>
                <c:pt idx="67">
                  <c:v>91.402605038794377</c:v>
                </c:pt>
                <c:pt idx="68">
                  <c:v>99.385169941073457</c:v>
                </c:pt>
                <c:pt idx="69">
                  <c:v>97.491467794920311</c:v>
                </c:pt>
                <c:pt idx="70">
                  <c:v>99.36983114542457</c:v>
                </c:pt>
                <c:pt idx="71">
                  <c:v>93.243899633147137</c:v>
                </c:pt>
                <c:pt idx="72">
                  <c:v>93.907941661447211</c:v>
                </c:pt>
                <c:pt idx="73">
                  <c:v>87.962880114529668</c:v>
                </c:pt>
                <c:pt idx="74">
                  <c:v>105.52644024899979</c:v>
                </c:pt>
                <c:pt idx="75">
                  <c:v>122.43171040353816</c:v>
                </c:pt>
                <c:pt idx="76">
                  <c:v>130.13114670279805</c:v>
                </c:pt>
                <c:pt idx="77">
                  <c:v>136.57471910830466</c:v>
                </c:pt>
                <c:pt idx="78">
                  <c:v>140.75901473802617</c:v>
                </c:pt>
                <c:pt idx="79">
                  <c:v>176.83138828882952</c:v>
                </c:pt>
                <c:pt idx="80" formatCode="General">
                  <c:v>161.63999999999999</c:v>
                </c:pt>
                <c:pt idx="81" formatCode="General">
                  <c:v>193.91</c:v>
                </c:pt>
                <c:pt idx="82" formatCode="General">
                  <c:v>209.43</c:v>
                </c:pt>
                <c:pt idx="83" formatCode="General">
                  <c:v>194.53</c:v>
                </c:pt>
                <c:pt idx="84" formatCode="General">
                  <c:v>205.77</c:v>
                </c:pt>
                <c:pt idx="85" formatCode="General">
                  <c:v>185.17</c:v>
                </c:pt>
                <c:pt idx="86" formatCode="0.00">
                  <c:v>179.57</c:v>
                </c:pt>
                <c:pt idx="87" formatCode="0.00">
                  <c:v>173.58</c:v>
                </c:pt>
                <c:pt idx="88" formatCode="0.00">
                  <c:v>176.77369366731332</c:v>
                </c:pt>
                <c:pt idx="89" formatCode="0.00">
                  <c:v>177.57967291368473</c:v>
                </c:pt>
                <c:pt idx="90" formatCode="0.00">
                  <c:v>181.73126624274261</c:v>
                </c:pt>
                <c:pt idx="91" formatCode="0.00">
                  <c:v>181.58811700380193</c:v>
                </c:pt>
                <c:pt idx="92" formatCode="0.00">
                  <c:v>178.01328684873135</c:v>
                </c:pt>
                <c:pt idx="93" formatCode="0.00">
                  <c:v>180.58517106238745</c:v>
                </c:pt>
                <c:pt idx="94" formatCode="0.00">
                  <c:v>186.98543656676054</c:v>
                </c:pt>
                <c:pt idx="95" formatCode="0.00">
                  <c:v>186.66398562290283</c:v>
                </c:pt>
                <c:pt idx="96" formatCode="0.00">
                  <c:v>198.45894188335933</c:v>
                </c:pt>
                <c:pt idx="97" formatCode="0.00">
                  <c:v>198.45894188335933</c:v>
                </c:pt>
                <c:pt idx="98" formatCode="0.00">
                  <c:v>202.48593721611974</c:v>
                </c:pt>
                <c:pt idx="99" formatCode="0.00">
                  <c:v>197.79772411406083</c:v>
                </c:pt>
                <c:pt idx="100" formatCode="0.00">
                  <c:v>206.25018785800631</c:v>
                </c:pt>
                <c:pt idx="101" formatCode="0.00">
                  <c:v>206.56976436155875</c:v>
                </c:pt>
                <c:pt idx="102" formatCode="0.00">
                  <c:v>217.78</c:v>
                </c:pt>
                <c:pt idx="103" formatCode="0.00">
                  <c:v>207.04899856479784</c:v>
                </c:pt>
                <c:pt idx="104" formatCode="0.00">
                  <c:v>202.38899656069901</c:v>
                </c:pt>
                <c:pt idx="105" formatCode="0.00">
                  <c:v>202.52779868516581</c:v>
                </c:pt>
                <c:pt idx="106" formatCode="0.00">
                  <c:v>195.89583779140477</c:v>
                </c:pt>
                <c:pt idx="107" formatCode="0.00">
                  <c:v>192.21</c:v>
                </c:pt>
                <c:pt idx="108" formatCode="0.00">
                  <c:v>216.07</c:v>
                </c:pt>
                <c:pt idx="109" formatCode="0.00">
                  <c:v>180.23884064643858</c:v>
                </c:pt>
                <c:pt idx="110" formatCode="0.00">
                  <c:v>171.03800645992669</c:v>
                </c:pt>
                <c:pt idx="111" formatCode="0.00">
                  <c:v>154.3760907465049</c:v>
                </c:pt>
                <c:pt idx="112" formatCode="0.00">
                  <c:v>156.13458138114831</c:v>
                </c:pt>
                <c:pt idx="113" formatCode="0.00">
                  <c:v>169.26611863813659</c:v>
                </c:pt>
                <c:pt idx="114" formatCode="0.00">
                  <c:v>155.37403579520821</c:v>
                </c:pt>
                <c:pt idx="115" formatCode="0.00">
                  <c:v>152.6689098269521</c:v>
                </c:pt>
              </c:numCache>
            </c:numRef>
          </c:val>
          <c:smooth val="0"/>
        </c:ser>
        <c:ser>
          <c:idx val="3"/>
          <c:order val="3"/>
          <c:tx>
            <c:strRef>
              <c:f>Hinnad!$A$10</c:f>
              <c:strCache>
                <c:ptCount val="1"/>
                <c:pt idx="0">
                  <c:v> Kaer</c:v>
                </c:pt>
              </c:strCache>
            </c:strRef>
          </c:tx>
          <c:spPr>
            <a:ln w="63500">
              <a:solidFill>
                <a:srgbClr val="339966"/>
              </a:solidFill>
              <a:prstDash val="solid"/>
            </a:ln>
          </c:spPr>
          <c:marker>
            <c:symbol val="none"/>
          </c:marker>
          <c:cat>
            <c:numRef>
              <c:f>Hinnad!$F$4:$DQ$4</c:f>
              <c:numCache>
                <c:formatCode>General</c:formatCode>
                <c:ptCount val="116"/>
                <c:pt idx="8">
                  <c:v>2005</c:v>
                </c:pt>
                <c:pt idx="20">
                  <c:v>2006</c:v>
                </c:pt>
                <c:pt idx="32">
                  <c:v>2007</c:v>
                </c:pt>
                <c:pt idx="44">
                  <c:v>2008</c:v>
                </c:pt>
                <c:pt idx="56">
                  <c:v>2009</c:v>
                </c:pt>
                <c:pt idx="68">
                  <c:v>2010</c:v>
                </c:pt>
                <c:pt idx="80">
                  <c:v>2011</c:v>
                </c:pt>
                <c:pt idx="92">
                  <c:v>2012</c:v>
                </c:pt>
                <c:pt idx="104">
                  <c:v>2013</c:v>
                </c:pt>
              </c:numCache>
            </c:numRef>
          </c:cat>
          <c:val>
            <c:numRef>
              <c:f>Hinnad!$F$10:$DQ$10</c:f>
              <c:numCache>
                <c:formatCode>#,##0.00</c:formatCode>
                <c:ptCount val="116"/>
                <c:pt idx="0">
                  <c:v>91.55</c:v>
                </c:pt>
                <c:pt idx="1">
                  <c:v>89.48</c:v>
                </c:pt>
                <c:pt idx="3">
                  <c:v>79.25</c:v>
                </c:pt>
                <c:pt idx="4">
                  <c:v>84.43</c:v>
                </c:pt>
                <c:pt idx="5">
                  <c:v>84.82</c:v>
                </c:pt>
                <c:pt idx="6">
                  <c:v>81.17</c:v>
                </c:pt>
                <c:pt idx="8">
                  <c:v>83.09</c:v>
                </c:pt>
                <c:pt idx="9">
                  <c:v>84.24</c:v>
                </c:pt>
                <c:pt idx="10">
                  <c:v>85.17</c:v>
                </c:pt>
                <c:pt idx="11">
                  <c:v>83.09</c:v>
                </c:pt>
                <c:pt idx="14">
                  <c:v>87.49</c:v>
                </c:pt>
                <c:pt idx="15">
                  <c:v>104.85</c:v>
                </c:pt>
                <c:pt idx="16">
                  <c:v>78.599999999999994</c:v>
                </c:pt>
                <c:pt idx="17">
                  <c:v>79.81</c:v>
                </c:pt>
                <c:pt idx="18">
                  <c:v>82.73</c:v>
                </c:pt>
                <c:pt idx="19">
                  <c:v>89.52</c:v>
                </c:pt>
                <c:pt idx="20">
                  <c:v>91.943936701903283</c:v>
                </c:pt>
                <c:pt idx="21">
                  <c:v>97.791852543044499</c:v>
                </c:pt>
                <c:pt idx="22">
                  <c:v>101.2859023685657</c:v>
                </c:pt>
                <c:pt idx="23">
                  <c:v>95.517236971610444</c:v>
                </c:pt>
                <c:pt idx="24">
                  <c:v>103.08693262434012</c:v>
                </c:pt>
                <c:pt idx="25">
                  <c:v>106.43206830876996</c:v>
                </c:pt>
                <c:pt idx="26">
                  <c:v>105.13594007643833</c:v>
                </c:pt>
                <c:pt idx="27">
                  <c:v>76.488821852670867</c:v>
                </c:pt>
                <c:pt idx="28">
                  <c:v>79.13220763616377</c:v>
                </c:pt>
                <c:pt idx="29">
                  <c:v>76.85439648230286</c:v>
                </c:pt>
                <c:pt idx="30">
                  <c:v>86.733859113161969</c:v>
                </c:pt>
                <c:pt idx="31">
                  <c:v>88.773918934465001</c:v>
                </c:pt>
                <c:pt idx="32">
                  <c:v>121.4321322204185</c:v>
                </c:pt>
                <c:pt idx="33">
                  <c:v>121.4321322204185</c:v>
                </c:pt>
                <c:pt idx="34">
                  <c:v>141.78671404650211</c:v>
                </c:pt>
                <c:pt idx="35">
                  <c:v>153.38795648894967</c:v>
                </c:pt>
                <c:pt idx="36">
                  <c:v>153.38795648894967</c:v>
                </c:pt>
                <c:pt idx="37">
                  <c:v>95.228356320222929</c:v>
                </c:pt>
                <c:pt idx="38">
                  <c:v>153.38795648894967</c:v>
                </c:pt>
                <c:pt idx="39">
                  <c:v>128.00352792299924</c:v>
                </c:pt>
                <c:pt idx="40">
                  <c:v>129.02930988201911</c:v>
                </c:pt>
                <c:pt idx="41">
                  <c:v>134.76218475579361</c:v>
                </c:pt>
                <c:pt idx="42">
                  <c:v>139.58815333682716</c:v>
                </c:pt>
                <c:pt idx="43">
                  <c:v>135.2645303132949</c:v>
                </c:pt>
                <c:pt idx="44">
                  <c:v>145.95950557948692</c:v>
                </c:pt>
                <c:pt idx="45">
                  <c:v>151.80806053711351</c:v>
                </c:pt>
                <c:pt idx="46">
                  <c:v>154.2661025398489</c:v>
                </c:pt>
                <c:pt idx="47">
                  <c:v>160.90524458987895</c:v>
                </c:pt>
                <c:pt idx="48">
                  <c:v>198.76075313486635</c:v>
                </c:pt>
                <c:pt idx="49">
                  <c:v>191.7349456111871</c:v>
                </c:pt>
                <c:pt idx="50">
                  <c:v>191.7349456111871</c:v>
                </c:pt>
                <c:pt idx="51">
                  <c:v>146.66189459690926</c:v>
                </c:pt>
                <c:pt idx="52">
                  <c:v>110.625950685772</c:v>
                </c:pt>
                <c:pt idx="53">
                  <c:v>104.59205194738793</c:v>
                </c:pt>
                <c:pt idx="54">
                  <c:v>103.79379545716003</c:v>
                </c:pt>
                <c:pt idx="55">
                  <c:v>92.757531987780098</c:v>
                </c:pt>
                <c:pt idx="56">
                  <c:v>79.402553909475557</c:v>
                </c:pt>
                <c:pt idx="57">
                  <c:v>102.61398642516585</c:v>
                </c:pt>
                <c:pt idx="58">
                  <c:v>84.835044035125847</c:v>
                </c:pt>
                <c:pt idx="59">
                  <c:v>100.37068756151497</c:v>
                </c:pt>
                <c:pt idx="60">
                  <c:v>109.5055794869173</c:v>
                </c:pt>
                <c:pt idx="61">
                  <c:v>103.63785103472959</c:v>
                </c:pt>
                <c:pt idx="62">
                  <c:v>76.583411092505727</c:v>
                </c:pt>
                <c:pt idx="63">
                  <c:v>68.947886441782885</c:v>
                </c:pt>
                <c:pt idx="64">
                  <c:v>63.71607889253896</c:v>
                </c:pt>
                <c:pt idx="65">
                  <c:v>62.519013715439783</c:v>
                </c:pt>
                <c:pt idx="66">
                  <c:v>65.598276941955447</c:v>
                </c:pt>
                <c:pt idx="67">
                  <c:v>63.348586913450852</c:v>
                </c:pt>
                <c:pt idx="68">
                  <c:v>58.667058658111031</c:v>
                </c:pt>
                <c:pt idx="69">
                  <c:v>71.276187797988072</c:v>
                </c:pt>
                <c:pt idx="70">
                  <c:v>65.730574054427166</c:v>
                </c:pt>
                <c:pt idx="71">
                  <c:v>70.98858537957129</c:v>
                </c:pt>
                <c:pt idx="72">
                  <c:v>68.420615341352118</c:v>
                </c:pt>
                <c:pt idx="73">
                  <c:v>86.830365702452923</c:v>
                </c:pt>
                <c:pt idx="74">
                  <c:v>90.653560517940008</c:v>
                </c:pt>
                <c:pt idx="75">
                  <c:v>94.612887144811012</c:v>
                </c:pt>
                <c:pt idx="76">
                  <c:v>116.53777817545027</c:v>
                </c:pt>
                <c:pt idx="77">
                  <c:v>134.19464931678448</c:v>
                </c:pt>
                <c:pt idx="78">
                  <c:v>132.96818478135825</c:v>
                </c:pt>
                <c:pt idx="79">
                  <c:v>148.97869185637776</c:v>
                </c:pt>
                <c:pt idx="80" formatCode="General">
                  <c:v>142.88999999999999</c:v>
                </c:pt>
                <c:pt idx="81" formatCode="General">
                  <c:v>182.05</c:v>
                </c:pt>
                <c:pt idx="82" formatCode="General">
                  <c:v>169.44</c:v>
                </c:pt>
                <c:pt idx="83" formatCode="General">
                  <c:v>168.86</c:v>
                </c:pt>
                <c:pt idx="84" formatCode="General">
                  <c:v>171</c:v>
                </c:pt>
                <c:pt idx="85" formatCode="General">
                  <c:v>175</c:v>
                </c:pt>
                <c:pt idx="86" formatCode="0.00">
                  <c:v>179</c:v>
                </c:pt>
                <c:pt idx="87" formatCode="0.00">
                  <c:v>144.97999999999999</c:v>
                </c:pt>
                <c:pt idx="88" formatCode="0.00">
                  <c:v>152.4492595706711</c:v>
                </c:pt>
                <c:pt idx="89" formatCode="0.00">
                  <c:v>155.12329081549004</c:v>
                </c:pt>
                <c:pt idx="90" formatCode="0.00">
                  <c:v>168.1157207854406</c:v>
                </c:pt>
                <c:pt idx="91" formatCode="0.00">
                  <c:v>157.5513284319446</c:v>
                </c:pt>
                <c:pt idx="92" formatCode="0.00">
                  <c:v>169.64173170372553</c:v>
                </c:pt>
                <c:pt idx="93" formatCode="0.00">
                  <c:v>170</c:v>
                </c:pt>
                <c:pt idx="94" formatCode="0.00">
                  <c:v>172.56726734139718</c:v>
                </c:pt>
                <c:pt idx="95" formatCode="0.0">
                  <c:v>170</c:v>
                </c:pt>
                <c:pt idx="96" formatCode="0.00">
                  <c:v>174.35575094192541</c:v>
                </c:pt>
                <c:pt idx="97" formatCode="0.00">
                  <c:v>174.35575094192541</c:v>
                </c:pt>
                <c:pt idx="98" formatCode="0.00">
                  <c:v>179.10326753652279</c:v>
                </c:pt>
                <c:pt idx="99" formatCode="0.00">
                  <c:v>164.32552025593111</c:v>
                </c:pt>
                <c:pt idx="100" formatCode="0.00">
                  <c:v>173.73803915032002</c:v>
                </c:pt>
                <c:pt idx="101" formatCode="0.00">
                  <c:v>173.82338154184546</c:v>
                </c:pt>
                <c:pt idx="102" formatCode="0.00">
                  <c:v>184.97</c:v>
                </c:pt>
                <c:pt idx="103" formatCode="0.00">
                  <c:v>179.75195427228772</c:v>
                </c:pt>
                <c:pt idx="104" formatCode="0.00">
                  <c:v>173.09838903723698</c:v>
                </c:pt>
                <c:pt idx="105" formatCode="0.00">
                  <c:v>193.67826859045505</c:v>
                </c:pt>
                <c:pt idx="106" formatCode="0.00">
                  <c:v>184.52817509839684</c:v>
                </c:pt>
                <c:pt idx="107" formatCode="0.00">
                  <c:v>182</c:v>
                </c:pt>
                <c:pt idx="108" formatCode="0.00">
                  <c:v>188.10084033613447</c:v>
                </c:pt>
                <c:pt idx="109" formatCode="0.00">
                  <c:v>156.90623038995966</c:v>
                </c:pt>
                <c:pt idx="110" formatCode="0.00">
                  <c:v>153.25411715655619</c:v>
                </c:pt>
                <c:pt idx="111" formatCode="0.00">
                  <c:v>148.28340626699577</c:v>
                </c:pt>
                <c:pt idx="112" formatCode="0.00">
                  <c:v>101.6435936935395</c:v>
                </c:pt>
                <c:pt idx="113" formatCode="0.00">
                  <c:v>104.17692377591293</c:v>
                </c:pt>
                <c:pt idx="114" formatCode="0.00">
                  <c:v>108.60961533539785</c:v>
                </c:pt>
                <c:pt idx="115" formatCode="0.00">
                  <c:v>103.81979243163849</c:v>
                </c:pt>
              </c:numCache>
            </c:numRef>
          </c:val>
          <c:smooth val="0"/>
        </c:ser>
        <c:dLbls>
          <c:showLegendKey val="0"/>
          <c:showVal val="0"/>
          <c:showCatName val="0"/>
          <c:showSerName val="0"/>
          <c:showPercent val="0"/>
          <c:showBubbleSize val="0"/>
        </c:dLbls>
        <c:marker val="1"/>
        <c:smooth val="0"/>
        <c:axId val="94019584"/>
        <c:axId val="94021120"/>
      </c:lineChart>
      <c:catAx>
        <c:axId val="94019584"/>
        <c:scaling>
          <c:orientation val="minMax"/>
        </c:scaling>
        <c:delete val="0"/>
        <c:axPos val="b"/>
        <c:majorGridlines>
          <c:spPr>
            <a:ln w="3175">
              <a:solidFill>
                <a:srgbClr val="000000"/>
              </a:solidFill>
              <a:prstDash val="solid"/>
            </a:ln>
          </c:spPr>
        </c:majorGridlines>
        <c:numFmt formatCode="General" sourceLinked="1"/>
        <c:majorTickMark val="out"/>
        <c:minorTickMark val="out"/>
        <c:tickLblPos val="nextTo"/>
        <c:spPr>
          <a:ln w="3175">
            <a:solidFill>
              <a:srgbClr val="000000"/>
            </a:solidFill>
            <a:prstDash val="solid"/>
          </a:ln>
        </c:spPr>
        <c:txPr>
          <a:bodyPr rot="-2700000" vert="horz"/>
          <a:lstStyle/>
          <a:p>
            <a:pPr>
              <a:defRPr/>
            </a:pPr>
            <a:endParaRPr lang="et-EE"/>
          </a:p>
        </c:txPr>
        <c:crossAx val="94021120"/>
        <c:crosses val="autoZero"/>
        <c:auto val="1"/>
        <c:lblAlgn val="ctr"/>
        <c:lblOffset val="100"/>
        <c:tickLblSkip val="1"/>
        <c:tickMarkSkip val="6"/>
        <c:noMultiLvlLbl val="0"/>
      </c:catAx>
      <c:valAx>
        <c:axId val="94021120"/>
        <c:scaling>
          <c:orientation val="minMax"/>
          <c:max val="250"/>
          <c:min val="50"/>
        </c:scaling>
        <c:delete val="0"/>
        <c:axPos val="l"/>
        <c:majorGridlines>
          <c:spPr>
            <a:ln w="3175">
              <a:solidFill>
                <a:srgbClr val="000000"/>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a:pPr>
            <a:endParaRPr lang="et-EE"/>
          </a:p>
        </c:txPr>
        <c:crossAx val="94019584"/>
        <c:crosses val="autoZero"/>
        <c:crossBetween val="between"/>
        <c:majorUnit val="25"/>
      </c:valAx>
      <c:spPr>
        <a:solidFill>
          <a:schemeClr val="bg1"/>
        </a:solidFill>
        <a:ln w="12700">
          <a:solidFill>
            <a:srgbClr val="808080"/>
          </a:solidFill>
          <a:prstDash val="solid"/>
        </a:ln>
      </c:spPr>
    </c:plotArea>
    <c:legend>
      <c:legendPos val="r"/>
      <c:layout>
        <c:manualLayout>
          <c:xMode val="edge"/>
          <c:yMode val="edge"/>
          <c:x val="0.15964998057553276"/>
          <c:y val="9.290177105277915E-2"/>
          <c:w val="0.12939196679837403"/>
          <c:h val="0.37112006472232678"/>
        </c:manualLayout>
      </c:layout>
      <c:overlay val="0"/>
      <c:spPr>
        <a:solidFill>
          <a:schemeClr val="bg1"/>
        </a:solidFill>
        <a:ln w="3175">
          <a:solidFill>
            <a:srgbClr val="CCCCFF"/>
          </a:solidFill>
          <a:prstDash val="solid"/>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t-EE"/>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5227428254636491E-2"/>
          <c:y val="6.3788474988486568E-2"/>
          <c:w val="0.90065625460183818"/>
          <c:h val="0.65391352576972595"/>
        </c:manualLayout>
      </c:layout>
      <c:lineChart>
        <c:grouping val="standard"/>
        <c:varyColors val="0"/>
        <c:ser>
          <c:idx val="0"/>
          <c:order val="0"/>
          <c:tx>
            <c:strRef>
              <c:f>'Kadrile, teravili'!$A$13</c:f>
              <c:strCache>
                <c:ptCount val="1"/>
                <c:pt idx="0">
                  <c:v>Oder</c:v>
                </c:pt>
              </c:strCache>
            </c:strRef>
          </c:tx>
          <c:cat>
            <c:strRef>
              <c:f>'Kadrile, teravili'!$B$6:$J$6</c:f>
              <c:strCache>
                <c:ptCount val="9"/>
                <c:pt idx="0">
                  <c:v>2004</c:v>
                </c:pt>
                <c:pt idx="1">
                  <c:v>2005</c:v>
                </c:pt>
                <c:pt idx="2">
                  <c:v>2006</c:v>
                </c:pt>
                <c:pt idx="3">
                  <c:v>2007</c:v>
                </c:pt>
                <c:pt idx="4">
                  <c:v>2008</c:v>
                </c:pt>
                <c:pt idx="5">
                  <c:v>2009</c:v>
                </c:pt>
                <c:pt idx="6">
                  <c:v>2010</c:v>
                </c:pt>
                <c:pt idx="7">
                  <c:v>2011</c:v>
                </c:pt>
                <c:pt idx="8">
                  <c:v>2012</c:v>
                </c:pt>
              </c:strCache>
            </c:strRef>
          </c:cat>
          <c:val>
            <c:numRef>
              <c:f>'Kadrile, teravili'!$B$13:$J$13</c:f>
              <c:numCache>
                <c:formatCode>#,##0</c:formatCode>
                <c:ptCount val="9"/>
                <c:pt idx="0">
                  <c:v>32422.82545</c:v>
                </c:pt>
                <c:pt idx="1">
                  <c:v>35601.555110000001</c:v>
                </c:pt>
                <c:pt idx="2">
                  <c:v>43142.952690000006</c:v>
                </c:pt>
                <c:pt idx="3">
                  <c:v>68291.063989999981</c:v>
                </c:pt>
                <c:pt idx="4">
                  <c:v>31009.109090000002</c:v>
                </c:pt>
                <c:pt idx="5">
                  <c:v>33619.331429999998</c:v>
                </c:pt>
                <c:pt idx="6">
                  <c:v>38076.144340000006</c:v>
                </c:pt>
                <c:pt idx="7">
                  <c:v>51576.819850000007</c:v>
                </c:pt>
                <c:pt idx="8">
                  <c:v>68694.806469999996</c:v>
                </c:pt>
              </c:numCache>
            </c:numRef>
          </c:val>
          <c:smooth val="0"/>
        </c:ser>
        <c:ser>
          <c:idx val="1"/>
          <c:order val="1"/>
          <c:tx>
            <c:strRef>
              <c:f>'Kadrile, teravili'!$A$16</c:f>
              <c:strCache>
                <c:ptCount val="1"/>
                <c:pt idx="0">
                  <c:v>Nisu ja speltanisu</c:v>
                </c:pt>
              </c:strCache>
            </c:strRef>
          </c:tx>
          <c:cat>
            <c:strRef>
              <c:f>'Kadrile, teravili'!$B$6:$J$6</c:f>
              <c:strCache>
                <c:ptCount val="9"/>
                <c:pt idx="0">
                  <c:v>2004</c:v>
                </c:pt>
                <c:pt idx="1">
                  <c:v>2005</c:v>
                </c:pt>
                <c:pt idx="2">
                  <c:v>2006</c:v>
                </c:pt>
                <c:pt idx="3">
                  <c:v>2007</c:v>
                </c:pt>
                <c:pt idx="4">
                  <c:v>2008</c:v>
                </c:pt>
                <c:pt idx="5">
                  <c:v>2009</c:v>
                </c:pt>
                <c:pt idx="6">
                  <c:v>2010</c:v>
                </c:pt>
                <c:pt idx="7">
                  <c:v>2011</c:v>
                </c:pt>
                <c:pt idx="8">
                  <c:v>2012</c:v>
                </c:pt>
              </c:strCache>
            </c:strRef>
          </c:cat>
          <c:val>
            <c:numRef>
              <c:f>'Kadrile, teravili'!$B$16:$J$16</c:f>
              <c:numCache>
                <c:formatCode>#,##0</c:formatCode>
                <c:ptCount val="9"/>
                <c:pt idx="0">
                  <c:v>22887.099849999995</c:v>
                </c:pt>
                <c:pt idx="1">
                  <c:v>25912.533909999995</c:v>
                </c:pt>
                <c:pt idx="2">
                  <c:v>30897.690899999998</c:v>
                </c:pt>
                <c:pt idx="3">
                  <c:v>70205.258140000005</c:v>
                </c:pt>
                <c:pt idx="4">
                  <c:v>39173.689709999999</c:v>
                </c:pt>
                <c:pt idx="5">
                  <c:v>36336.115830000002</c:v>
                </c:pt>
                <c:pt idx="6">
                  <c:v>57128.693629999994</c:v>
                </c:pt>
                <c:pt idx="7">
                  <c:v>57271.370240000011</c:v>
                </c:pt>
                <c:pt idx="8">
                  <c:v>109111.71064999998</c:v>
                </c:pt>
              </c:numCache>
            </c:numRef>
          </c:val>
          <c:smooth val="0"/>
        </c:ser>
        <c:ser>
          <c:idx val="5"/>
          <c:order val="2"/>
          <c:tx>
            <c:strRef>
              <c:f>'Kadrile, teravili'!$A$30</c:f>
              <c:strCache>
                <c:ptCount val="1"/>
                <c:pt idx="0">
                  <c:v>Raps ja rüps</c:v>
                </c:pt>
              </c:strCache>
            </c:strRef>
          </c:tx>
          <c:spPr>
            <a:ln>
              <a:prstDash val="sysDash"/>
            </a:ln>
          </c:spPr>
          <c:marker>
            <c:spPr>
              <a:solidFill>
                <a:srgbClr val="FFC000"/>
              </a:solidFill>
            </c:spPr>
          </c:marker>
          <c:cat>
            <c:strRef>
              <c:f>'Kadrile, teravili'!$B$6:$J$6</c:f>
              <c:strCache>
                <c:ptCount val="9"/>
                <c:pt idx="0">
                  <c:v>2004</c:v>
                </c:pt>
                <c:pt idx="1">
                  <c:v>2005</c:v>
                </c:pt>
                <c:pt idx="2">
                  <c:v>2006</c:v>
                </c:pt>
                <c:pt idx="3">
                  <c:v>2007</c:v>
                </c:pt>
                <c:pt idx="4">
                  <c:v>2008</c:v>
                </c:pt>
                <c:pt idx="5">
                  <c:v>2009</c:v>
                </c:pt>
                <c:pt idx="6">
                  <c:v>2010</c:v>
                </c:pt>
                <c:pt idx="7">
                  <c:v>2011</c:v>
                </c:pt>
                <c:pt idx="8">
                  <c:v>2012</c:v>
                </c:pt>
              </c:strCache>
            </c:strRef>
          </c:cat>
          <c:val>
            <c:numRef>
              <c:f>'Kadrile, teravili'!$B$30:$J$30</c:f>
              <c:numCache>
                <c:formatCode>#,##0</c:formatCode>
                <c:ptCount val="9"/>
                <c:pt idx="0">
                  <c:v>16820.911749999996</c:v>
                </c:pt>
                <c:pt idx="1">
                  <c:v>20707.587680000004</c:v>
                </c:pt>
                <c:pt idx="2">
                  <c:v>24849.14806</c:v>
                </c:pt>
                <c:pt idx="3">
                  <c:v>45495.897580000004</c:v>
                </c:pt>
                <c:pt idx="4">
                  <c:v>38596.732039999995</c:v>
                </c:pt>
                <c:pt idx="5">
                  <c:v>40300.737559999994</c:v>
                </c:pt>
                <c:pt idx="6">
                  <c:v>50384.232449999996</c:v>
                </c:pt>
                <c:pt idx="7">
                  <c:v>62684.344310000008</c:v>
                </c:pt>
                <c:pt idx="8">
                  <c:v>75720.292959999992</c:v>
                </c:pt>
              </c:numCache>
            </c:numRef>
          </c:val>
          <c:smooth val="0"/>
        </c:ser>
        <c:ser>
          <c:idx val="2"/>
          <c:order val="3"/>
          <c:tx>
            <c:strRef>
              <c:f>'Kadrile, teravili'!$A$28</c:f>
              <c:strCache>
                <c:ptCount val="1"/>
                <c:pt idx="0">
                  <c:v>Rukis, kaer, muu teravili</c:v>
                </c:pt>
              </c:strCache>
            </c:strRef>
          </c:tx>
          <c:val>
            <c:numRef>
              <c:f>'Kadrile, teravili'!$B$28:$J$28</c:f>
              <c:numCache>
                <c:formatCode>#,##0</c:formatCode>
                <c:ptCount val="9"/>
                <c:pt idx="0">
                  <c:v>12604.810570000001</c:v>
                </c:pt>
                <c:pt idx="1">
                  <c:v>11875.49555</c:v>
                </c:pt>
                <c:pt idx="2">
                  <c:v>12524.021930000001</c:v>
                </c:pt>
                <c:pt idx="3">
                  <c:v>29007.397120000001</c:v>
                </c:pt>
                <c:pt idx="4">
                  <c:v>16707.663099999998</c:v>
                </c:pt>
                <c:pt idx="5">
                  <c:v>10304.625109999997</c:v>
                </c:pt>
                <c:pt idx="6">
                  <c:v>12624.459559999998</c:v>
                </c:pt>
                <c:pt idx="7">
                  <c:v>16908.807190000003</c:v>
                </c:pt>
                <c:pt idx="8">
                  <c:v>30513.519259999994</c:v>
                </c:pt>
              </c:numCache>
            </c:numRef>
          </c:val>
          <c:smooth val="0"/>
        </c:ser>
        <c:dLbls>
          <c:showLegendKey val="0"/>
          <c:showVal val="0"/>
          <c:showCatName val="0"/>
          <c:showSerName val="0"/>
          <c:showPercent val="0"/>
          <c:showBubbleSize val="0"/>
        </c:dLbls>
        <c:marker val="1"/>
        <c:smooth val="0"/>
        <c:axId val="94257152"/>
        <c:axId val="94258688"/>
      </c:lineChart>
      <c:catAx>
        <c:axId val="94257152"/>
        <c:scaling>
          <c:orientation val="minMax"/>
        </c:scaling>
        <c:delete val="0"/>
        <c:axPos val="b"/>
        <c:majorTickMark val="out"/>
        <c:minorTickMark val="none"/>
        <c:tickLblPos val="nextTo"/>
        <c:crossAx val="94258688"/>
        <c:crosses val="autoZero"/>
        <c:auto val="1"/>
        <c:lblAlgn val="ctr"/>
        <c:lblOffset val="100"/>
        <c:noMultiLvlLbl val="0"/>
      </c:catAx>
      <c:valAx>
        <c:axId val="94258688"/>
        <c:scaling>
          <c:orientation val="minMax"/>
          <c:max val="110000"/>
        </c:scaling>
        <c:delete val="0"/>
        <c:axPos val="l"/>
        <c:majorGridlines>
          <c:spPr>
            <a:ln>
              <a:solidFill>
                <a:schemeClr val="bg1">
                  <a:lumMod val="85000"/>
                </a:schemeClr>
              </a:solidFill>
            </a:ln>
          </c:spPr>
        </c:majorGridlines>
        <c:numFmt formatCode="#,##0" sourceLinked="1"/>
        <c:majorTickMark val="out"/>
        <c:minorTickMark val="none"/>
        <c:tickLblPos val="nextTo"/>
        <c:crossAx val="94257152"/>
        <c:crosses val="autoZero"/>
        <c:crossBetween val="between"/>
        <c:majorUnit val="10000"/>
        <c:dispUnits>
          <c:builtInUnit val="thousands"/>
          <c:dispUnitsLbl>
            <c:layout>
              <c:manualLayout>
                <c:xMode val="edge"/>
                <c:yMode val="edge"/>
                <c:x val="8.1414768208918936E-2"/>
                <c:y val="0.1098036021359399"/>
              </c:manualLayout>
            </c:layout>
            <c:tx>
              <c:rich>
                <a:bodyPr rot="0" vert="horz"/>
                <a:lstStyle/>
                <a:p>
                  <a:pPr>
                    <a:defRPr/>
                  </a:pPr>
                  <a:r>
                    <a:rPr lang="en-US" b="0"/>
                    <a:t>mln</a:t>
                  </a:r>
                  <a:r>
                    <a:rPr lang="en-US"/>
                    <a:t> €</a:t>
                  </a:r>
                </a:p>
              </c:rich>
            </c:tx>
          </c:dispUnitsLbl>
        </c:dispUnits>
      </c:valAx>
    </c:plotArea>
    <c:legend>
      <c:legendPos val="b"/>
      <c:overlay val="0"/>
    </c:legend>
    <c:plotVisOnly val="1"/>
    <c:dispBlanksAs val="gap"/>
    <c:showDLblsOverMax val="0"/>
  </c:chart>
  <c:spPr>
    <a:ln>
      <a:noFill/>
    </a:ln>
  </c:spPr>
  <c:txPr>
    <a:bodyPr/>
    <a:lstStyle/>
    <a:p>
      <a:pPr>
        <a:defRPr sz="1000"/>
      </a:pPr>
      <a:endParaRPr lang="et-EE"/>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t-EE"/>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89740313292384E-2"/>
          <c:y val="6.9358680762514321E-2"/>
          <c:w val="0.88628882811902332"/>
          <c:h val="0.66647844318264993"/>
        </c:manualLayout>
      </c:layout>
      <c:barChart>
        <c:barDir val="col"/>
        <c:grouping val="clustered"/>
        <c:varyColors val="0"/>
        <c:ser>
          <c:idx val="1"/>
          <c:order val="0"/>
          <c:tx>
            <c:strRef>
              <c:f>'joonis FADN'!$N$22</c:f>
              <c:strCache>
                <c:ptCount val="1"/>
                <c:pt idx="0">
                  <c:v> NLV ilma toetusteta</c:v>
                </c:pt>
              </c:strCache>
            </c:strRef>
          </c:tx>
          <c:spPr>
            <a:solidFill>
              <a:srgbClr val="796EAA"/>
            </a:solidFill>
          </c:spPr>
          <c:invertIfNegative val="0"/>
          <c:cat>
            <c:multiLvlStrRef>
              <c:f>'joonis FADN'!$O$20:$AI$21</c:f>
              <c:multiLvlStrCache>
                <c:ptCount val="21"/>
                <c:lvl>
                  <c:pt idx="0">
                    <c:v>2006</c:v>
                  </c:pt>
                  <c:pt idx="1">
                    <c:v>2007</c:v>
                  </c:pt>
                  <c:pt idx="2">
                    <c:v>2008</c:v>
                  </c:pt>
                  <c:pt idx="3">
                    <c:v>2009</c:v>
                  </c:pt>
                  <c:pt idx="4">
                    <c:v>2010</c:v>
                  </c:pt>
                  <c:pt idx="5">
                    <c:v>2011</c:v>
                  </c:pt>
                  <c:pt idx="6">
                    <c:v>2012</c:v>
                  </c:pt>
                  <c:pt idx="7">
                    <c:v>2006</c:v>
                  </c:pt>
                  <c:pt idx="8">
                    <c:v>2007</c:v>
                  </c:pt>
                  <c:pt idx="9">
                    <c:v>2008</c:v>
                  </c:pt>
                  <c:pt idx="10">
                    <c:v>2009</c:v>
                  </c:pt>
                  <c:pt idx="11">
                    <c:v>2010</c:v>
                  </c:pt>
                  <c:pt idx="12">
                    <c:v>2011</c:v>
                  </c:pt>
                  <c:pt idx="13">
                    <c:v>2012</c:v>
                  </c:pt>
                  <c:pt idx="14">
                    <c:v>2006</c:v>
                  </c:pt>
                  <c:pt idx="15">
                    <c:v>2007</c:v>
                  </c:pt>
                  <c:pt idx="16">
                    <c:v>2008</c:v>
                  </c:pt>
                  <c:pt idx="17">
                    <c:v>2009</c:v>
                  </c:pt>
                  <c:pt idx="18">
                    <c:v>2010</c:v>
                  </c:pt>
                  <c:pt idx="19">
                    <c:v>2011</c:v>
                  </c:pt>
                  <c:pt idx="20">
                    <c:v>2012</c:v>
                  </c:pt>
                </c:lvl>
                <c:lvl>
                  <c:pt idx="0">
                    <c:v>Väiketootjad</c:v>
                  </c:pt>
                  <c:pt idx="7">
                    <c:v>Keskmise suurusega tootjad</c:v>
                  </c:pt>
                  <c:pt idx="14">
                    <c:v>Suurtootjad</c:v>
                  </c:pt>
                </c:lvl>
              </c:multiLvlStrCache>
            </c:multiLvlStrRef>
          </c:cat>
          <c:val>
            <c:numRef>
              <c:f>'joonis FADN'!$O$22:$AI$22</c:f>
              <c:numCache>
                <c:formatCode>#,##0</c:formatCode>
                <c:ptCount val="21"/>
                <c:pt idx="0">
                  <c:v>72.50492004920055</c:v>
                </c:pt>
                <c:pt idx="1">
                  <c:v>65.637443438913863</c:v>
                </c:pt>
                <c:pt idx="2">
                  <c:v>65.934564643799519</c:v>
                </c:pt>
                <c:pt idx="3">
                  <c:v>64.140059910783208</c:v>
                </c:pt>
                <c:pt idx="4">
                  <c:v>72.991553841552175</c:v>
                </c:pt>
                <c:pt idx="5">
                  <c:v>63.327291998434561</c:v>
                </c:pt>
                <c:pt idx="6">
                  <c:v>77.523375078744692</c:v>
                </c:pt>
                <c:pt idx="7">
                  <c:v>110.49014866559216</c:v>
                </c:pt>
                <c:pt idx="8">
                  <c:v>122.61591786591787</c:v>
                </c:pt>
                <c:pt idx="9">
                  <c:v>119.86089466089469</c:v>
                </c:pt>
                <c:pt idx="10">
                  <c:v>147.01086479367868</c:v>
                </c:pt>
                <c:pt idx="11">
                  <c:v>144.333586708654</c:v>
                </c:pt>
                <c:pt idx="12">
                  <c:v>156.01450511945407</c:v>
                </c:pt>
                <c:pt idx="13">
                  <c:v>161.73151600874297</c:v>
                </c:pt>
                <c:pt idx="14">
                  <c:v>133.77116807746359</c:v>
                </c:pt>
                <c:pt idx="15">
                  <c:v>161.57222084264546</c:v>
                </c:pt>
                <c:pt idx="16">
                  <c:v>177.28728735794456</c:v>
                </c:pt>
                <c:pt idx="17">
                  <c:v>161.1144156878004</c:v>
                </c:pt>
                <c:pt idx="18">
                  <c:v>170.40867559896259</c:v>
                </c:pt>
                <c:pt idx="19">
                  <c:v>158.53587366766178</c:v>
                </c:pt>
                <c:pt idx="20">
                  <c:v>171.24694841512547</c:v>
                </c:pt>
              </c:numCache>
            </c:numRef>
          </c:val>
        </c:ser>
        <c:dLbls>
          <c:showLegendKey val="0"/>
          <c:showVal val="0"/>
          <c:showCatName val="0"/>
          <c:showSerName val="0"/>
          <c:showPercent val="0"/>
          <c:showBubbleSize val="0"/>
        </c:dLbls>
        <c:gapWidth val="150"/>
        <c:axId val="94304128"/>
        <c:axId val="94305664"/>
      </c:barChart>
      <c:catAx>
        <c:axId val="94304128"/>
        <c:scaling>
          <c:orientation val="minMax"/>
        </c:scaling>
        <c:delete val="0"/>
        <c:axPos val="b"/>
        <c:numFmt formatCode="General" sourceLinked="1"/>
        <c:majorTickMark val="out"/>
        <c:minorTickMark val="out"/>
        <c:tickLblPos val="nextTo"/>
        <c:spPr>
          <a:ln>
            <a:solidFill>
              <a:srgbClr val="908E46"/>
            </a:solidFill>
          </a:ln>
        </c:spPr>
        <c:txPr>
          <a:bodyPr rot="-5400000" vert="horz"/>
          <a:lstStyle/>
          <a:p>
            <a:pPr>
              <a:defRPr/>
            </a:pPr>
            <a:endParaRPr lang="et-EE"/>
          </a:p>
        </c:txPr>
        <c:crossAx val="94305664"/>
        <c:crosses val="autoZero"/>
        <c:auto val="1"/>
        <c:lblAlgn val="ctr"/>
        <c:lblOffset val="1"/>
        <c:tickMarkSkip val="2"/>
        <c:noMultiLvlLbl val="0"/>
      </c:catAx>
      <c:valAx>
        <c:axId val="94305664"/>
        <c:scaling>
          <c:orientation val="minMax"/>
        </c:scaling>
        <c:delete val="0"/>
        <c:axPos val="l"/>
        <c:majorGridlines>
          <c:spPr>
            <a:ln>
              <a:solidFill>
                <a:srgbClr val="908E46"/>
              </a:solidFill>
            </a:ln>
          </c:spPr>
        </c:majorGridlines>
        <c:title>
          <c:tx>
            <c:rich>
              <a:bodyPr rot="-5400000" vert="horz"/>
              <a:lstStyle/>
              <a:p>
                <a:pPr>
                  <a:defRPr b="0"/>
                </a:pPr>
                <a:r>
                  <a:rPr lang="et-EE" b="0"/>
                  <a:t>ha  / TJÜ</a:t>
                </a:r>
              </a:p>
            </c:rich>
          </c:tx>
          <c:layout>
            <c:manualLayout>
              <c:xMode val="edge"/>
              <c:yMode val="edge"/>
              <c:x val="6.3225884179141352E-3"/>
              <c:y val="0.30338112118455346"/>
            </c:manualLayout>
          </c:layout>
          <c:overlay val="0"/>
        </c:title>
        <c:numFmt formatCode="#,##0" sourceLinked="0"/>
        <c:majorTickMark val="out"/>
        <c:minorTickMark val="none"/>
        <c:tickLblPos val="nextTo"/>
        <c:spPr>
          <a:ln>
            <a:solidFill>
              <a:srgbClr val="908E46"/>
            </a:solidFill>
          </a:ln>
        </c:spPr>
        <c:crossAx val="94304128"/>
        <c:crosses val="autoZero"/>
        <c:crossBetween val="between"/>
        <c:majorUnit val="25"/>
      </c:valAx>
      <c:spPr>
        <a:ln>
          <a:solidFill>
            <a:srgbClr val="908E46"/>
          </a:solidFill>
        </a:ln>
      </c:spPr>
    </c:plotArea>
    <c:plotVisOnly val="1"/>
    <c:dispBlanksAs val="gap"/>
    <c:showDLblsOverMax val="0"/>
  </c:chart>
  <c:spPr>
    <a:solidFill>
      <a:schemeClr val="bg1"/>
    </a:solidFill>
    <a:ln>
      <a:solidFill>
        <a:schemeClr val="bg1"/>
      </a:solidFill>
    </a:ln>
  </c:spPr>
  <c:txPr>
    <a:bodyPr/>
    <a:lstStyle/>
    <a:p>
      <a:pPr>
        <a:defRPr sz="1000">
          <a:solidFill>
            <a:sysClr val="windowText" lastClr="000000"/>
          </a:solidFill>
        </a:defRPr>
      </a:pPr>
      <a:endParaRPr lang="et-EE"/>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t-EE"/>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60706058881717E-2"/>
          <c:y val="6.9358680762514321E-2"/>
          <c:w val="0.90736412284540358"/>
          <c:h val="0.57383923884514432"/>
        </c:manualLayout>
      </c:layout>
      <c:barChart>
        <c:barDir val="col"/>
        <c:grouping val="clustered"/>
        <c:varyColors val="0"/>
        <c:ser>
          <c:idx val="1"/>
          <c:order val="0"/>
          <c:tx>
            <c:strRef>
              <c:f>'joonis FADN'!$N$37</c:f>
              <c:strCache>
                <c:ptCount val="1"/>
                <c:pt idx="0">
                  <c:v> Ilma toetusteta</c:v>
                </c:pt>
              </c:strCache>
            </c:strRef>
          </c:tx>
          <c:spPr>
            <a:solidFill>
              <a:srgbClr val="796EAA"/>
            </a:solidFill>
          </c:spPr>
          <c:invertIfNegative val="0"/>
          <c:cat>
            <c:multiLvlStrRef>
              <c:f>'joonis FADN'!$O$35:$AI$36</c:f>
              <c:multiLvlStrCache>
                <c:ptCount val="21"/>
                <c:lvl>
                  <c:pt idx="0">
                    <c:v>2006</c:v>
                  </c:pt>
                  <c:pt idx="1">
                    <c:v>2007</c:v>
                  </c:pt>
                  <c:pt idx="2">
                    <c:v>2008</c:v>
                  </c:pt>
                  <c:pt idx="3">
                    <c:v>2009</c:v>
                  </c:pt>
                  <c:pt idx="4">
                    <c:v>2010</c:v>
                  </c:pt>
                  <c:pt idx="5">
                    <c:v>2011</c:v>
                  </c:pt>
                  <c:pt idx="6">
                    <c:v>2012</c:v>
                  </c:pt>
                  <c:pt idx="7">
                    <c:v>2006</c:v>
                  </c:pt>
                  <c:pt idx="8">
                    <c:v>2007</c:v>
                  </c:pt>
                  <c:pt idx="9">
                    <c:v>2008</c:v>
                  </c:pt>
                  <c:pt idx="10">
                    <c:v>2009</c:v>
                  </c:pt>
                  <c:pt idx="11">
                    <c:v>2010</c:v>
                  </c:pt>
                  <c:pt idx="12">
                    <c:v>2011</c:v>
                  </c:pt>
                  <c:pt idx="13">
                    <c:v>2012</c:v>
                  </c:pt>
                  <c:pt idx="14">
                    <c:v>2006</c:v>
                  </c:pt>
                  <c:pt idx="15">
                    <c:v>2007</c:v>
                  </c:pt>
                  <c:pt idx="16">
                    <c:v>2008</c:v>
                  </c:pt>
                  <c:pt idx="17">
                    <c:v>2009</c:v>
                  </c:pt>
                  <c:pt idx="18">
                    <c:v>2010</c:v>
                  </c:pt>
                  <c:pt idx="19">
                    <c:v>2011</c:v>
                  </c:pt>
                  <c:pt idx="20">
                    <c:v>2012</c:v>
                  </c:pt>
                </c:lvl>
                <c:lvl>
                  <c:pt idx="0">
                    <c:v>Väiketootjad</c:v>
                  </c:pt>
                  <c:pt idx="7">
                    <c:v>Keskmise suurusega tootjad</c:v>
                  </c:pt>
                  <c:pt idx="14">
                    <c:v>Suurtootjad</c:v>
                  </c:pt>
                </c:lvl>
              </c:multiLvlStrCache>
            </c:multiLvlStrRef>
          </c:cat>
          <c:val>
            <c:numRef>
              <c:f>'joonis FADN'!$O$37:$AI$37</c:f>
              <c:numCache>
                <c:formatCode>#,##0.00</c:formatCode>
                <c:ptCount val="21"/>
                <c:pt idx="0">
                  <c:v>0.9093464358134441</c:v>
                </c:pt>
                <c:pt idx="1">
                  <c:v>1.3190786085950075</c:v>
                </c:pt>
                <c:pt idx="2">
                  <c:v>0.83199144712528295</c:v>
                </c:pt>
                <c:pt idx="3">
                  <c:v>0.54046613217854378</c:v>
                </c:pt>
                <c:pt idx="4">
                  <c:v>0.78016949212409947</c:v>
                </c:pt>
                <c:pt idx="5">
                  <c:v>0.79336841652904333</c:v>
                </c:pt>
                <c:pt idx="6">
                  <c:v>0.84582609648084872</c:v>
                </c:pt>
                <c:pt idx="7">
                  <c:v>0.95338145794878926</c:v>
                </c:pt>
                <c:pt idx="8">
                  <c:v>1.3771148103293094</c:v>
                </c:pt>
                <c:pt idx="9">
                  <c:v>0.80088403255247231</c:v>
                </c:pt>
                <c:pt idx="10">
                  <c:v>0.71405193587428317</c:v>
                </c:pt>
                <c:pt idx="11">
                  <c:v>0.80626017240812131</c:v>
                </c:pt>
                <c:pt idx="12">
                  <c:v>0.9729323717326539</c:v>
                </c:pt>
                <c:pt idx="13">
                  <c:v>1.0550428878610125</c:v>
                </c:pt>
                <c:pt idx="14">
                  <c:v>0.87070496454678448</c:v>
                </c:pt>
                <c:pt idx="15">
                  <c:v>1.2599791429354452</c:v>
                </c:pt>
                <c:pt idx="16">
                  <c:v>0.83266634253625416</c:v>
                </c:pt>
                <c:pt idx="17">
                  <c:v>0.69572750299647224</c:v>
                </c:pt>
                <c:pt idx="18">
                  <c:v>0.86077736832178064</c:v>
                </c:pt>
                <c:pt idx="19">
                  <c:v>0.94556922460680437</c:v>
                </c:pt>
                <c:pt idx="20">
                  <c:v>1.1134368049909269</c:v>
                </c:pt>
              </c:numCache>
            </c:numRef>
          </c:val>
        </c:ser>
        <c:ser>
          <c:idx val="2"/>
          <c:order val="1"/>
          <c:tx>
            <c:strRef>
              <c:f>'joonis FADN'!$N$38</c:f>
              <c:strCache>
                <c:ptCount val="1"/>
                <c:pt idx="0">
                  <c:v> Koos toetustega</c:v>
                </c:pt>
              </c:strCache>
            </c:strRef>
          </c:tx>
          <c:spPr>
            <a:ln>
              <a:solidFill>
                <a:srgbClr val="95BF69"/>
              </a:solidFill>
            </a:ln>
            <a:effectLst/>
          </c:spPr>
          <c:invertIfNegative val="0"/>
          <c:cat>
            <c:multiLvlStrRef>
              <c:f>'joonis FADN'!$O$35:$AI$36</c:f>
              <c:multiLvlStrCache>
                <c:ptCount val="21"/>
                <c:lvl>
                  <c:pt idx="0">
                    <c:v>2006</c:v>
                  </c:pt>
                  <c:pt idx="1">
                    <c:v>2007</c:v>
                  </c:pt>
                  <c:pt idx="2">
                    <c:v>2008</c:v>
                  </c:pt>
                  <c:pt idx="3">
                    <c:v>2009</c:v>
                  </c:pt>
                  <c:pt idx="4">
                    <c:v>2010</c:v>
                  </c:pt>
                  <c:pt idx="5">
                    <c:v>2011</c:v>
                  </c:pt>
                  <c:pt idx="6">
                    <c:v>2012</c:v>
                  </c:pt>
                  <c:pt idx="7">
                    <c:v>2006</c:v>
                  </c:pt>
                  <c:pt idx="8">
                    <c:v>2007</c:v>
                  </c:pt>
                  <c:pt idx="9">
                    <c:v>2008</c:v>
                  </c:pt>
                  <c:pt idx="10">
                    <c:v>2009</c:v>
                  </c:pt>
                  <c:pt idx="11">
                    <c:v>2010</c:v>
                  </c:pt>
                  <c:pt idx="12">
                    <c:v>2011</c:v>
                  </c:pt>
                  <c:pt idx="13">
                    <c:v>2012</c:v>
                  </c:pt>
                  <c:pt idx="14">
                    <c:v>2006</c:v>
                  </c:pt>
                  <c:pt idx="15">
                    <c:v>2007</c:v>
                  </c:pt>
                  <c:pt idx="16">
                    <c:v>2008</c:v>
                  </c:pt>
                  <c:pt idx="17">
                    <c:v>2009</c:v>
                  </c:pt>
                  <c:pt idx="18">
                    <c:v>2010</c:v>
                  </c:pt>
                  <c:pt idx="19">
                    <c:v>2011</c:v>
                  </c:pt>
                  <c:pt idx="20">
                    <c:v>2012</c:v>
                  </c:pt>
                </c:lvl>
                <c:lvl>
                  <c:pt idx="0">
                    <c:v>Väiketootjad</c:v>
                  </c:pt>
                  <c:pt idx="7">
                    <c:v>Keskmise suurusega tootjad</c:v>
                  </c:pt>
                  <c:pt idx="14">
                    <c:v>Suurtootjad</c:v>
                  </c:pt>
                </c:lvl>
              </c:multiLvlStrCache>
            </c:multiLvlStrRef>
          </c:cat>
          <c:val>
            <c:numRef>
              <c:f>'joonis FADN'!$O$38:$AI$38</c:f>
              <c:numCache>
                <c:formatCode>#,##0.00</c:formatCode>
                <c:ptCount val="21"/>
                <c:pt idx="0">
                  <c:v>1.3356512244579617</c:v>
                </c:pt>
                <c:pt idx="1">
                  <c:v>1.6791779666419788</c:v>
                </c:pt>
                <c:pt idx="2">
                  <c:v>1.169337868720159</c:v>
                </c:pt>
                <c:pt idx="3">
                  <c:v>0.98168588983659544</c:v>
                </c:pt>
                <c:pt idx="4">
                  <c:v>1.4477836486248807</c:v>
                </c:pt>
                <c:pt idx="5">
                  <c:v>1.2861349038259102</c:v>
                </c:pt>
                <c:pt idx="6">
                  <c:v>1.3170036668914271</c:v>
                </c:pt>
                <c:pt idx="7">
                  <c:v>1.3550433261856503</c:v>
                </c:pt>
                <c:pt idx="8">
                  <c:v>1.7105094699251866</c:v>
                </c:pt>
                <c:pt idx="9">
                  <c:v>1.117104889169765</c:v>
                </c:pt>
                <c:pt idx="10">
                  <c:v>1.043257149984262</c:v>
                </c:pt>
                <c:pt idx="11">
                  <c:v>1.265524132594158</c:v>
                </c:pt>
                <c:pt idx="12">
                  <c:v>1.3511533952850727</c:v>
                </c:pt>
                <c:pt idx="13">
                  <c:v>1.3912399833379694</c:v>
                </c:pt>
                <c:pt idx="14">
                  <c:v>1.1975186821257242</c:v>
                </c:pt>
                <c:pt idx="15">
                  <c:v>1.569213470353799</c:v>
                </c:pt>
                <c:pt idx="16">
                  <c:v>1.1162808448957606</c:v>
                </c:pt>
                <c:pt idx="17">
                  <c:v>0.99198738067737313</c:v>
                </c:pt>
                <c:pt idx="18">
                  <c:v>1.2111017394376786</c:v>
                </c:pt>
                <c:pt idx="19">
                  <c:v>1.2344623218659343</c:v>
                </c:pt>
                <c:pt idx="20">
                  <c:v>1.360242215840809</c:v>
                </c:pt>
              </c:numCache>
            </c:numRef>
          </c:val>
        </c:ser>
        <c:dLbls>
          <c:showLegendKey val="0"/>
          <c:showVal val="0"/>
          <c:showCatName val="0"/>
          <c:showSerName val="0"/>
          <c:showPercent val="0"/>
          <c:showBubbleSize val="0"/>
        </c:dLbls>
        <c:gapWidth val="150"/>
        <c:axId val="94339456"/>
        <c:axId val="94340992"/>
      </c:barChart>
      <c:catAx>
        <c:axId val="94339456"/>
        <c:scaling>
          <c:orientation val="minMax"/>
        </c:scaling>
        <c:delete val="0"/>
        <c:axPos val="b"/>
        <c:numFmt formatCode="General" sourceLinked="1"/>
        <c:majorTickMark val="out"/>
        <c:minorTickMark val="out"/>
        <c:tickLblPos val="nextTo"/>
        <c:spPr>
          <a:ln>
            <a:solidFill>
              <a:srgbClr val="908E46"/>
            </a:solidFill>
          </a:ln>
        </c:spPr>
        <c:txPr>
          <a:bodyPr rot="-5400000" vert="horz"/>
          <a:lstStyle/>
          <a:p>
            <a:pPr>
              <a:defRPr/>
            </a:pPr>
            <a:endParaRPr lang="et-EE"/>
          </a:p>
        </c:txPr>
        <c:crossAx val="94340992"/>
        <c:crosses val="autoZero"/>
        <c:auto val="1"/>
        <c:lblAlgn val="ctr"/>
        <c:lblOffset val="1"/>
        <c:tickMarkSkip val="2"/>
        <c:noMultiLvlLbl val="0"/>
      </c:catAx>
      <c:valAx>
        <c:axId val="94340992"/>
        <c:scaling>
          <c:orientation val="minMax"/>
          <c:min val="0.4"/>
        </c:scaling>
        <c:delete val="0"/>
        <c:axPos val="l"/>
        <c:majorGridlines>
          <c:spPr>
            <a:ln>
              <a:solidFill>
                <a:srgbClr val="908E46"/>
              </a:solidFill>
            </a:ln>
          </c:spPr>
        </c:majorGridlines>
        <c:numFmt formatCode="#,##0.0" sourceLinked="0"/>
        <c:majorTickMark val="out"/>
        <c:minorTickMark val="none"/>
        <c:tickLblPos val="nextTo"/>
        <c:spPr>
          <a:ln>
            <a:solidFill>
              <a:srgbClr val="908E46"/>
            </a:solidFill>
          </a:ln>
        </c:spPr>
        <c:crossAx val="94339456"/>
        <c:crosses val="autoZero"/>
        <c:crossBetween val="between"/>
        <c:majorUnit val="0.2"/>
      </c:valAx>
      <c:spPr>
        <a:ln>
          <a:solidFill>
            <a:srgbClr val="908E46"/>
          </a:solidFill>
        </a:ln>
      </c:spPr>
    </c:plotArea>
    <c:legend>
      <c:legendPos val="b"/>
      <c:layout>
        <c:manualLayout>
          <c:xMode val="edge"/>
          <c:yMode val="edge"/>
          <c:x val="0.47688395643457948"/>
          <c:y val="6.1088266744434704E-2"/>
          <c:w val="0.4832709454825273"/>
          <c:h val="9.6057972833077238E-2"/>
        </c:manualLayout>
      </c:layout>
      <c:overlay val="0"/>
    </c:legend>
    <c:plotVisOnly val="1"/>
    <c:dispBlanksAs val="gap"/>
    <c:showDLblsOverMax val="0"/>
  </c:chart>
  <c:spPr>
    <a:solidFill>
      <a:schemeClr val="bg1"/>
    </a:solidFill>
    <a:ln>
      <a:noFill/>
    </a:ln>
  </c:spPr>
  <c:txPr>
    <a:bodyPr/>
    <a:lstStyle/>
    <a:p>
      <a:pPr>
        <a:defRPr sz="1000">
          <a:solidFill>
            <a:sysClr val="windowText" lastClr="000000"/>
          </a:solidFill>
        </a:defRPr>
      </a:pPr>
      <a:endParaRPr lang="et-EE"/>
    </a:p>
  </c:txPr>
  <c:externalData r:id="rId2">
    <c:autoUpdate val="0"/>
  </c:externalData>
  <c:userShapes r:id="rId3"/>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t-EE"/>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0897403132923799E-2"/>
          <c:y val="6.9358680762514321E-2"/>
          <c:w val="0.88207376917374702"/>
          <c:h val="0.80459265301000749"/>
        </c:manualLayout>
      </c:layout>
      <c:barChart>
        <c:barDir val="col"/>
        <c:grouping val="clustered"/>
        <c:varyColors val="0"/>
        <c:ser>
          <c:idx val="1"/>
          <c:order val="0"/>
          <c:tx>
            <c:strRef>
              <c:f>'joonis FADN'!$N$4</c:f>
              <c:strCache>
                <c:ptCount val="1"/>
                <c:pt idx="0">
                  <c:v> NLV ilma toetusteta</c:v>
                </c:pt>
              </c:strCache>
            </c:strRef>
          </c:tx>
          <c:spPr>
            <a:solidFill>
              <a:srgbClr val="796EAA"/>
            </a:solidFill>
          </c:spPr>
          <c:invertIfNegative val="0"/>
          <c:cat>
            <c:multiLvlStrRef>
              <c:f>'joonis FADN'!$O$2:$AI$3</c:f>
              <c:multiLvlStrCache>
                <c:ptCount val="21"/>
                <c:lvl>
                  <c:pt idx="0">
                    <c:v>2006</c:v>
                  </c:pt>
                  <c:pt idx="1">
                    <c:v>2007</c:v>
                  </c:pt>
                  <c:pt idx="2">
                    <c:v>2008</c:v>
                  </c:pt>
                  <c:pt idx="3">
                    <c:v>2009</c:v>
                  </c:pt>
                  <c:pt idx="4">
                    <c:v>2010</c:v>
                  </c:pt>
                  <c:pt idx="5">
                    <c:v>2011</c:v>
                  </c:pt>
                  <c:pt idx="6">
                    <c:v>2012</c:v>
                  </c:pt>
                  <c:pt idx="7">
                    <c:v>2006</c:v>
                  </c:pt>
                  <c:pt idx="8">
                    <c:v>2007</c:v>
                  </c:pt>
                  <c:pt idx="9">
                    <c:v>2008</c:v>
                  </c:pt>
                  <c:pt idx="10">
                    <c:v>2009</c:v>
                  </c:pt>
                  <c:pt idx="11">
                    <c:v>2010</c:v>
                  </c:pt>
                  <c:pt idx="12">
                    <c:v>2011</c:v>
                  </c:pt>
                  <c:pt idx="13">
                    <c:v>2012</c:v>
                  </c:pt>
                  <c:pt idx="14">
                    <c:v>2006</c:v>
                  </c:pt>
                  <c:pt idx="15">
                    <c:v>2007</c:v>
                  </c:pt>
                  <c:pt idx="16">
                    <c:v>2008</c:v>
                  </c:pt>
                  <c:pt idx="17">
                    <c:v>2009</c:v>
                  </c:pt>
                  <c:pt idx="18">
                    <c:v>2010</c:v>
                  </c:pt>
                  <c:pt idx="19">
                    <c:v>2011</c:v>
                  </c:pt>
                  <c:pt idx="20">
                    <c:v>2012</c:v>
                  </c:pt>
                </c:lvl>
                <c:lvl>
                  <c:pt idx="0">
                    <c:v>Väiketootjad</c:v>
                  </c:pt>
                  <c:pt idx="7">
                    <c:v>Keskmise suurusega tootjad</c:v>
                  </c:pt>
                  <c:pt idx="14">
                    <c:v>Suurtootjad</c:v>
                  </c:pt>
                </c:lvl>
              </c:multiLvlStrCache>
            </c:multiLvlStrRef>
          </c:cat>
          <c:val>
            <c:numRef>
              <c:f>'joonis FADN'!$O$4:$AI$4</c:f>
              <c:numCache>
                <c:formatCode>#,##0</c:formatCode>
                <c:ptCount val="21"/>
                <c:pt idx="0">
                  <c:v>-16.368232210563853</c:v>
                </c:pt>
                <c:pt idx="1">
                  <c:v>131.86036692029995</c:v>
                </c:pt>
                <c:pt idx="2">
                  <c:v>-39.888431802538278</c:v>
                </c:pt>
                <c:pt idx="3">
                  <c:v>-134.93164521686299</c:v>
                </c:pt>
                <c:pt idx="4">
                  <c:v>-56.743357891691218</c:v>
                </c:pt>
                <c:pt idx="5">
                  <c:v>-64.724922583563114</c:v>
                </c:pt>
                <c:pt idx="6">
                  <c:v>-51.962488201728483</c:v>
                </c:pt>
                <c:pt idx="7">
                  <c:v>14.100944045429264</c:v>
                </c:pt>
                <c:pt idx="8">
                  <c:v>180.93565518835598</c:v>
                </c:pt>
                <c:pt idx="9">
                  <c:v>-47.166348035320993</c:v>
                </c:pt>
                <c:pt idx="10">
                  <c:v>-82.422177978937555</c:v>
                </c:pt>
                <c:pt idx="11">
                  <c:v>-45.061722822096399</c:v>
                </c:pt>
                <c:pt idx="12">
                  <c:v>21.230632926622565</c:v>
                </c:pt>
                <c:pt idx="13">
                  <c:v>64.648914839249187</c:v>
                </c:pt>
                <c:pt idx="14">
                  <c:v>0.82523859045288817</c:v>
                </c:pt>
                <c:pt idx="15">
                  <c:v>176.76436022570232</c:v>
                </c:pt>
                <c:pt idx="16">
                  <c:v>-10.825762881380927</c:v>
                </c:pt>
                <c:pt idx="17">
                  <c:v>-68.156898593356615</c:v>
                </c:pt>
                <c:pt idx="18">
                  <c:v>10.295428414113957</c:v>
                </c:pt>
                <c:pt idx="19">
                  <c:v>52.575608168153785</c:v>
                </c:pt>
                <c:pt idx="20">
                  <c:v>174.28045762579541</c:v>
                </c:pt>
              </c:numCache>
            </c:numRef>
          </c:val>
        </c:ser>
        <c:ser>
          <c:idx val="2"/>
          <c:order val="1"/>
          <c:tx>
            <c:strRef>
              <c:f>'joonis FADN'!$N$5</c:f>
              <c:strCache>
                <c:ptCount val="1"/>
                <c:pt idx="0">
                  <c:v> NLV koos toetustega</c:v>
                </c:pt>
              </c:strCache>
            </c:strRef>
          </c:tx>
          <c:spPr>
            <a:ln>
              <a:solidFill>
                <a:srgbClr val="95BF69"/>
              </a:solidFill>
            </a:ln>
            <a:effectLst/>
          </c:spPr>
          <c:invertIfNegative val="0"/>
          <c:cat>
            <c:multiLvlStrRef>
              <c:f>'joonis FADN'!$O$2:$AI$3</c:f>
              <c:multiLvlStrCache>
                <c:ptCount val="21"/>
                <c:lvl>
                  <c:pt idx="0">
                    <c:v>2006</c:v>
                  </c:pt>
                  <c:pt idx="1">
                    <c:v>2007</c:v>
                  </c:pt>
                  <c:pt idx="2">
                    <c:v>2008</c:v>
                  </c:pt>
                  <c:pt idx="3">
                    <c:v>2009</c:v>
                  </c:pt>
                  <c:pt idx="4">
                    <c:v>2010</c:v>
                  </c:pt>
                  <c:pt idx="5">
                    <c:v>2011</c:v>
                  </c:pt>
                  <c:pt idx="6">
                    <c:v>2012</c:v>
                  </c:pt>
                  <c:pt idx="7">
                    <c:v>2006</c:v>
                  </c:pt>
                  <c:pt idx="8">
                    <c:v>2007</c:v>
                  </c:pt>
                  <c:pt idx="9">
                    <c:v>2008</c:v>
                  </c:pt>
                  <c:pt idx="10">
                    <c:v>2009</c:v>
                  </c:pt>
                  <c:pt idx="11">
                    <c:v>2010</c:v>
                  </c:pt>
                  <c:pt idx="12">
                    <c:v>2011</c:v>
                  </c:pt>
                  <c:pt idx="13">
                    <c:v>2012</c:v>
                  </c:pt>
                  <c:pt idx="14">
                    <c:v>2006</c:v>
                  </c:pt>
                  <c:pt idx="15">
                    <c:v>2007</c:v>
                  </c:pt>
                  <c:pt idx="16">
                    <c:v>2008</c:v>
                  </c:pt>
                  <c:pt idx="17">
                    <c:v>2009</c:v>
                  </c:pt>
                  <c:pt idx="18">
                    <c:v>2010</c:v>
                  </c:pt>
                  <c:pt idx="19">
                    <c:v>2011</c:v>
                  </c:pt>
                  <c:pt idx="20">
                    <c:v>2012</c:v>
                  </c:pt>
                </c:lvl>
                <c:lvl>
                  <c:pt idx="0">
                    <c:v>Väiketootjad</c:v>
                  </c:pt>
                  <c:pt idx="7">
                    <c:v>Keskmise suurusega tootjad</c:v>
                  </c:pt>
                  <c:pt idx="14">
                    <c:v>Suurtootjad</c:v>
                  </c:pt>
                </c:lvl>
              </c:multiLvlStrCache>
            </c:multiLvlStrRef>
          </c:cat>
          <c:val>
            <c:numRef>
              <c:f>'joonis FADN'!$O$5:$AI$5</c:f>
              <c:numCache>
                <c:formatCode>#,##0</c:formatCode>
                <c:ptCount val="21"/>
                <c:pt idx="0">
                  <c:v>99.54365399133107</c:v>
                </c:pt>
                <c:pt idx="1">
                  <c:v>258.40823114772496</c:v>
                </c:pt>
                <c:pt idx="2">
                  <c:v>103.30222656187472</c:v>
                </c:pt>
                <c:pt idx="3">
                  <c:v>9.3549441012786847</c:v>
                </c:pt>
                <c:pt idx="4">
                  <c:v>138.04060118778168</c:v>
                </c:pt>
                <c:pt idx="5">
                  <c:v>123.86965404573434</c:v>
                </c:pt>
                <c:pt idx="6">
                  <c:v>152.76730953395594</c:v>
                </c:pt>
                <c:pt idx="7">
                  <c:v>141.71267202871232</c:v>
                </c:pt>
                <c:pt idx="8">
                  <c:v>310.23214971971612</c:v>
                </c:pt>
                <c:pt idx="9">
                  <c:v>99.899113450416067</c:v>
                </c:pt>
                <c:pt idx="10">
                  <c:v>59.839738780482854</c:v>
                </c:pt>
                <c:pt idx="11">
                  <c:v>131.39746066712442</c:v>
                </c:pt>
                <c:pt idx="12">
                  <c:v>202.77893234308144</c:v>
                </c:pt>
                <c:pt idx="13">
                  <c:v>242.0095310331013</c:v>
                </c:pt>
                <c:pt idx="14">
                  <c:v>127.45967900089023</c:v>
                </c:pt>
                <c:pt idx="15">
                  <c:v>311.73905737532772</c:v>
                </c:pt>
                <c:pt idx="16">
                  <c:v>133.2641883016959</c:v>
                </c:pt>
                <c:pt idx="17">
                  <c:v>69.707974243706715</c:v>
                </c:pt>
                <c:pt idx="18">
                  <c:v>182.50508872021413</c:v>
                </c:pt>
                <c:pt idx="19">
                  <c:v>218.54409941639443</c:v>
                </c:pt>
                <c:pt idx="20">
                  <c:v>346.46997720047744</c:v>
                </c:pt>
              </c:numCache>
            </c:numRef>
          </c:val>
        </c:ser>
        <c:dLbls>
          <c:showLegendKey val="0"/>
          <c:showVal val="0"/>
          <c:showCatName val="0"/>
          <c:showSerName val="0"/>
          <c:showPercent val="0"/>
          <c:showBubbleSize val="0"/>
        </c:dLbls>
        <c:gapWidth val="150"/>
        <c:axId val="94362240"/>
        <c:axId val="94454144"/>
      </c:barChart>
      <c:catAx>
        <c:axId val="94362240"/>
        <c:scaling>
          <c:orientation val="minMax"/>
        </c:scaling>
        <c:delete val="0"/>
        <c:axPos val="b"/>
        <c:numFmt formatCode="General" sourceLinked="1"/>
        <c:majorTickMark val="out"/>
        <c:minorTickMark val="out"/>
        <c:tickLblPos val="nextTo"/>
        <c:spPr>
          <a:ln>
            <a:solidFill>
              <a:srgbClr val="908E46"/>
            </a:solidFill>
          </a:ln>
        </c:spPr>
        <c:txPr>
          <a:bodyPr rot="-5400000" vert="horz"/>
          <a:lstStyle/>
          <a:p>
            <a:pPr>
              <a:defRPr/>
            </a:pPr>
            <a:endParaRPr lang="et-EE"/>
          </a:p>
        </c:txPr>
        <c:crossAx val="94454144"/>
        <c:crosses val="autoZero"/>
        <c:auto val="1"/>
        <c:lblAlgn val="ctr"/>
        <c:lblOffset val="1"/>
        <c:tickMarkSkip val="2"/>
        <c:noMultiLvlLbl val="0"/>
      </c:catAx>
      <c:valAx>
        <c:axId val="94454144"/>
        <c:scaling>
          <c:orientation val="minMax"/>
        </c:scaling>
        <c:delete val="0"/>
        <c:axPos val="l"/>
        <c:majorGridlines>
          <c:spPr>
            <a:ln>
              <a:solidFill>
                <a:srgbClr val="908E46"/>
              </a:solidFill>
            </a:ln>
          </c:spPr>
        </c:majorGridlines>
        <c:title>
          <c:tx>
            <c:rich>
              <a:bodyPr rot="0" vert="horz"/>
              <a:lstStyle/>
              <a:p>
                <a:pPr>
                  <a:defRPr b="0"/>
                </a:pPr>
                <a:r>
                  <a:rPr lang="et-EE" b="0"/>
                  <a:t>€ / ha</a:t>
                </a:r>
              </a:p>
            </c:rich>
          </c:tx>
          <c:layout>
            <c:manualLayout>
              <c:xMode val="edge"/>
              <c:yMode val="edge"/>
              <c:x val="0.10253482737734707"/>
              <c:y val="0.10244927717368663"/>
            </c:manualLayout>
          </c:layout>
          <c:overlay val="0"/>
        </c:title>
        <c:numFmt formatCode="#,##0" sourceLinked="0"/>
        <c:majorTickMark val="out"/>
        <c:minorTickMark val="none"/>
        <c:tickLblPos val="nextTo"/>
        <c:spPr>
          <a:ln>
            <a:solidFill>
              <a:srgbClr val="908E46"/>
            </a:solidFill>
          </a:ln>
        </c:spPr>
        <c:crossAx val="94362240"/>
        <c:crosses val="autoZero"/>
        <c:crossBetween val="between"/>
      </c:valAx>
      <c:spPr>
        <a:ln>
          <a:solidFill>
            <a:srgbClr val="908E46"/>
          </a:solidFill>
        </a:ln>
      </c:spPr>
    </c:plotArea>
    <c:legend>
      <c:legendPos val="b"/>
      <c:layout>
        <c:manualLayout>
          <c:xMode val="edge"/>
          <c:yMode val="edge"/>
          <c:x val="0.22491547861134725"/>
          <c:y val="0.89442168334535876"/>
          <c:w val="0.4832709454825273"/>
          <c:h val="9.6057972833077182E-2"/>
        </c:manualLayout>
      </c:layout>
      <c:overlay val="0"/>
    </c:legend>
    <c:plotVisOnly val="1"/>
    <c:dispBlanksAs val="gap"/>
    <c:showDLblsOverMax val="0"/>
  </c:chart>
  <c:spPr>
    <a:solidFill>
      <a:schemeClr val="bg1"/>
    </a:solidFill>
    <a:ln>
      <a:noFill/>
    </a:ln>
  </c:spPr>
  <c:txPr>
    <a:bodyPr/>
    <a:lstStyle/>
    <a:p>
      <a:pPr>
        <a:defRPr sz="1000">
          <a:solidFill>
            <a:sysClr val="windowText" lastClr="000000"/>
          </a:solidFill>
        </a:defRPr>
      </a:pPr>
      <a:endParaRPr lang="et-EE"/>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820387550566076E-2"/>
          <c:y val="6.2672987214447473E-2"/>
          <c:w val="0.83035922489886782"/>
          <c:h val="0.6881903098268517"/>
        </c:manualLayout>
      </c:layout>
      <c:barChart>
        <c:barDir val="col"/>
        <c:grouping val="clustered"/>
        <c:varyColors val="0"/>
        <c:ser>
          <c:idx val="0"/>
          <c:order val="0"/>
          <c:tx>
            <c:strRef>
              <c:f>'Kadrile, teravili'!$B$155</c:f>
              <c:strCache>
                <c:ptCount val="1"/>
                <c:pt idx="0">
                  <c:v>3,0 t/ha</c:v>
                </c:pt>
              </c:strCache>
            </c:strRef>
          </c:tx>
          <c:invertIfNegative val="0"/>
          <c:cat>
            <c:strRef>
              <c:f>'Kadrile, teravili'!$A$156:$A$161</c:f>
              <c:strCache>
                <c:ptCount val="6"/>
                <c:pt idx="0">
                  <c:v>oder</c:v>
                </c:pt>
                <c:pt idx="1">
                  <c:v>kaer</c:v>
                </c:pt>
                <c:pt idx="2">
                  <c:v>suvinisu</c:v>
                </c:pt>
                <c:pt idx="3">
                  <c:v>rukis</c:v>
                </c:pt>
                <c:pt idx="4">
                  <c:v>talinisu</c:v>
                </c:pt>
                <c:pt idx="5">
                  <c:v>tritik</c:v>
                </c:pt>
              </c:strCache>
            </c:strRef>
          </c:cat>
          <c:val>
            <c:numRef>
              <c:f>'Kadrile, teravili'!$B$156:$B$161</c:f>
              <c:numCache>
                <c:formatCode>0.000</c:formatCode>
                <c:ptCount val="6"/>
                <c:pt idx="0">
                  <c:v>0.19462000000000002</c:v>
                </c:pt>
                <c:pt idx="1">
                  <c:v>0.19136333333333336</c:v>
                </c:pt>
                <c:pt idx="2">
                  <c:v>0.22617333333333334</c:v>
                </c:pt>
                <c:pt idx="3">
                  <c:v>0.19627666666666665</c:v>
                </c:pt>
                <c:pt idx="4">
                  <c:v>0.20173000000000002</c:v>
                </c:pt>
                <c:pt idx="5">
                  <c:v>0.20894666666666664</c:v>
                </c:pt>
              </c:numCache>
            </c:numRef>
          </c:val>
        </c:ser>
        <c:ser>
          <c:idx val="1"/>
          <c:order val="1"/>
          <c:tx>
            <c:strRef>
              <c:f>'Kadrile, teravili'!$C$155</c:f>
              <c:strCache>
                <c:ptCount val="1"/>
                <c:pt idx="0">
                  <c:v>4,5 t/ha</c:v>
                </c:pt>
              </c:strCache>
            </c:strRef>
          </c:tx>
          <c:invertIfNegative val="0"/>
          <c:cat>
            <c:strRef>
              <c:f>'Kadrile, teravili'!$A$156:$A$161</c:f>
              <c:strCache>
                <c:ptCount val="6"/>
                <c:pt idx="0">
                  <c:v>oder</c:v>
                </c:pt>
                <c:pt idx="1">
                  <c:v>kaer</c:v>
                </c:pt>
                <c:pt idx="2">
                  <c:v>suvinisu</c:v>
                </c:pt>
                <c:pt idx="3">
                  <c:v>rukis</c:v>
                </c:pt>
                <c:pt idx="4">
                  <c:v>talinisu</c:v>
                </c:pt>
                <c:pt idx="5">
                  <c:v>tritik</c:v>
                </c:pt>
              </c:strCache>
            </c:strRef>
          </c:cat>
          <c:val>
            <c:numRef>
              <c:f>'Kadrile, teravili'!$C$156:$C$161</c:f>
              <c:numCache>
                <c:formatCode>0.000</c:formatCode>
                <c:ptCount val="6"/>
                <c:pt idx="0">
                  <c:v>0.17270444444444447</c:v>
                </c:pt>
                <c:pt idx="1">
                  <c:v>0.15783555555555556</c:v>
                </c:pt>
                <c:pt idx="2">
                  <c:v>0.18037777777777778</c:v>
                </c:pt>
                <c:pt idx="3">
                  <c:v>0.17275777777777779</c:v>
                </c:pt>
                <c:pt idx="4">
                  <c:v>0.17043111111111112</c:v>
                </c:pt>
                <c:pt idx="5">
                  <c:v>0.16830444444444442</c:v>
                </c:pt>
              </c:numCache>
            </c:numRef>
          </c:val>
        </c:ser>
        <c:ser>
          <c:idx val="2"/>
          <c:order val="2"/>
          <c:tx>
            <c:strRef>
              <c:f>'Kadrile, teravili'!$D$155</c:f>
              <c:strCache>
                <c:ptCount val="1"/>
                <c:pt idx="0">
                  <c:v>6,0 t/ha</c:v>
                </c:pt>
              </c:strCache>
            </c:strRef>
          </c:tx>
          <c:invertIfNegative val="0"/>
          <c:cat>
            <c:strRef>
              <c:f>'Kadrile, teravili'!$A$156:$A$161</c:f>
              <c:strCache>
                <c:ptCount val="6"/>
                <c:pt idx="0">
                  <c:v>oder</c:v>
                </c:pt>
                <c:pt idx="1">
                  <c:v>kaer</c:v>
                </c:pt>
                <c:pt idx="2">
                  <c:v>suvinisu</c:v>
                </c:pt>
                <c:pt idx="3">
                  <c:v>rukis</c:v>
                </c:pt>
                <c:pt idx="4">
                  <c:v>talinisu</c:v>
                </c:pt>
                <c:pt idx="5">
                  <c:v>tritik</c:v>
                </c:pt>
              </c:strCache>
            </c:strRef>
          </c:cat>
          <c:val>
            <c:numRef>
              <c:f>'Kadrile, teravili'!$D$156:$D$161</c:f>
              <c:numCache>
                <c:formatCode>0.000</c:formatCode>
                <c:ptCount val="6"/>
                <c:pt idx="0">
                  <c:v>0.14693166666666668</c:v>
                </c:pt>
                <c:pt idx="1">
                  <c:v>0.14693166666666668</c:v>
                </c:pt>
                <c:pt idx="2">
                  <c:v>0.15724166666666667</c:v>
                </c:pt>
                <c:pt idx="3">
                  <c:v>0.14658666666666667</c:v>
                </c:pt>
                <c:pt idx="4">
                  <c:v>0.15639666666666666</c:v>
                </c:pt>
                <c:pt idx="5">
                  <c:v>0.14960166666666666</c:v>
                </c:pt>
              </c:numCache>
            </c:numRef>
          </c:val>
        </c:ser>
        <c:dLbls>
          <c:showLegendKey val="0"/>
          <c:showVal val="0"/>
          <c:showCatName val="0"/>
          <c:showSerName val="0"/>
          <c:showPercent val="0"/>
          <c:showBubbleSize val="0"/>
        </c:dLbls>
        <c:gapWidth val="150"/>
        <c:axId val="94501888"/>
        <c:axId val="94544640"/>
      </c:barChart>
      <c:lineChart>
        <c:grouping val="standard"/>
        <c:varyColors val="0"/>
        <c:ser>
          <c:idx val="3"/>
          <c:order val="3"/>
          <c:tx>
            <c:strRef>
              <c:f>'Kadrile, teravili'!$F$155</c:f>
              <c:strCache>
                <c:ptCount val="1"/>
                <c:pt idx="0">
                  <c:v>hind 2012</c:v>
                </c:pt>
              </c:strCache>
            </c:strRef>
          </c:tx>
          <c:cat>
            <c:strRef>
              <c:f>'Kadrile, teravili'!$A$156:$A$161</c:f>
              <c:strCache>
                <c:ptCount val="6"/>
                <c:pt idx="0">
                  <c:v>oder</c:v>
                </c:pt>
                <c:pt idx="1">
                  <c:v>kaer</c:v>
                </c:pt>
                <c:pt idx="2">
                  <c:v>suvinisu</c:v>
                </c:pt>
                <c:pt idx="3">
                  <c:v>rukis</c:v>
                </c:pt>
                <c:pt idx="4">
                  <c:v>talinisu</c:v>
                </c:pt>
                <c:pt idx="5">
                  <c:v>tritik</c:v>
                </c:pt>
              </c:strCache>
            </c:strRef>
          </c:cat>
          <c:val>
            <c:numRef>
              <c:f>'Kadrile, teravili'!$F$156:$F$161</c:f>
              <c:numCache>
                <c:formatCode>General</c:formatCode>
                <c:ptCount val="6"/>
                <c:pt idx="0" formatCode="0.000">
                  <c:v>0.2</c:v>
                </c:pt>
                <c:pt idx="1">
                  <c:v>0.16500000000000001</c:v>
                </c:pt>
                <c:pt idx="2">
                  <c:v>0.20100000000000001</c:v>
                </c:pt>
                <c:pt idx="3">
                  <c:v>0.16400000000000001</c:v>
                </c:pt>
                <c:pt idx="4">
                  <c:v>0.20100000000000001</c:v>
                </c:pt>
                <c:pt idx="5">
                  <c:v>0.187</c:v>
                </c:pt>
              </c:numCache>
            </c:numRef>
          </c:val>
          <c:smooth val="0"/>
        </c:ser>
        <c:dLbls>
          <c:showLegendKey val="0"/>
          <c:showVal val="0"/>
          <c:showCatName val="0"/>
          <c:showSerName val="0"/>
          <c:showPercent val="0"/>
          <c:showBubbleSize val="0"/>
        </c:dLbls>
        <c:marker val="1"/>
        <c:smooth val="0"/>
        <c:axId val="94546176"/>
        <c:axId val="94547968"/>
      </c:lineChart>
      <c:catAx>
        <c:axId val="94501888"/>
        <c:scaling>
          <c:orientation val="minMax"/>
        </c:scaling>
        <c:delete val="0"/>
        <c:axPos val="b"/>
        <c:numFmt formatCode="General" sourceLinked="1"/>
        <c:majorTickMark val="out"/>
        <c:minorTickMark val="none"/>
        <c:tickLblPos val="nextTo"/>
        <c:crossAx val="94544640"/>
        <c:crosses val="autoZero"/>
        <c:auto val="1"/>
        <c:lblAlgn val="ctr"/>
        <c:lblOffset val="100"/>
        <c:noMultiLvlLbl val="0"/>
      </c:catAx>
      <c:valAx>
        <c:axId val="94544640"/>
        <c:scaling>
          <c:orientation val="minMax"/>
        </c:scaling>
        <c:delete val="0"/>
        <c:axPos val="l"/>
        <c:majorGridlines/>
        <c:numFmt formatCode="0.000" sourceLinked="1"/>
        <c:majorTickMark val="out"/>
        <c:minorTickMark val="none"/>
        <c:tickLblPos val="nextTo"/>
        <c:crossAx val="94501888"/>
        <c:crosses val="autoZero"/>
        <c:crossBetween val="between"/>
      </c:valAx>
      <c:catAx>
        <c:axId val="94546176"/>
        <c:scaling>
          <c:orientation val="minMax"/>
        </c:scaling>
        <c:delete val="1"/>
        <c:axPos val="b"/>
        <c:majorTickMark val="out"/>
        <c:minorTickMark val="none"/>
        <c:tickLblPos val="nextTo"/>
        <c:crossAx val="94547968"/>
        <c:crosses val="autoZero"/>
        <c:auto val="1"/>
        <c:lblAlgn val="ctr"/>
        <c:lblOffset val="100"/>
        <c:noMultiLvlLbl val="0"/>
      </c:catAx>
      <c:valAx>
        <c:axId val="94547968"/>
        <c:scaling>
          <c:orientation val="minMax"/>
        </c:scaling>
        <c:delete val="0"/>
        <c:axPos val="r"/>
        <c:numFmt formatCode="#,##0.000" sourceLinked="0"/>
        <c:majorTickMark val="out"/>
        <c:minorTickMark val="none"/>
        <c:tickLblPos val="nextTo"/>
        <c:crossAx val="94546176"/>
        <c:crosses val="max"/>
        <c:crossBetween val="between"/>
      </c:valAx>
    </c:plotArea>
    <c:legend>
      <c:legendPos val="b"/>
      <c:overlay val="0"/>
    </c:legend>
    <c:plotVisOnly val="1"/>
    <c:dispBlanksAs val="gap"/>
    <c:showDLblsOverMax val="0"/>
  </c:chart>
  <c:spPr>
    <a:ln>
      <a:solidFill>
        <a:schemeClr val="bg1"/>
      </a:solid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873420546841095E-2"/>
          <c:y val="5.1400554097404488E-2"/>
          <c:w val="0.90343356686713372"/>
          <c:h val="0.81873067949839606"/>
        </c:manualLayout>
      </c:layout>
      <c:barChart>
        <c:barDir val="col"/>
        <c:grouping val="stacked"/>
        <c:varyColors val="0"/>
        <c:ser>
          <c:idx val="0"/>
          <c:order val="0"/>
          <c:tx>
            <c:strRef>
              <c:f>'Kasvupind ja saak'!$C$8</c:f>
              <c:strCache>
                <c:ptCount val="1"/>
                <c:pt idx="0">
                  <c:v>Nisu</c:v>
                </c:pt>
              </c:strCache>
            </c:strRef>
          </c:tx>
          <c:invertIfNegative val="0"/>
          <c:cat>
            <c:strRef>
              <c:f>'Kasvupind ja saak'!$E$7:$N$7</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'Kasvupind ja saak'!$E$8:$N$8</c:f>
              <c:numCache>
                <c:formatCode>General</c:formatCode>
                <c:ptCount val="10"/>
                <c:pt idx="0">
                  <c:v>196.6</c:v>
                </c:pt>
                <c:pt idx="1">
                  <c:v>263.39999999999998</c:v>
                </c:pt>
                <c:pt idx="2">
                  <c:v>219.6</c:v>
                </c:pt>
                <c:pt idx="3">
                  <c:v>345.8</c:v>
                </c:pt>
                <c:pt idx="4">
                  <c:v>342.5</c:v>
                </c:pt>
                <c:pt idx="5">
                  <c:v>342.5</c:v>
                </c:pt>
                <c:pt idx="6">
                  <c:v>327.60000000000002</c:v>
                </c:pt>
                <c:pt idx="7">
                  <c:v>360.2</c:v>
                </c:pt>
                <c:pt idx="8">
                  <c:v>484.7</c:v>
                </c:pt>
                <c:pt idx="9">
                  <c:v>406.3</c:v>
                </c:pt>
              </c:numCache>
            </c:numRef>
          </c:val>
        </c:ser>
        <c:ser>
          <c:idx val="1"/>
          <c:order val="1"/>
          <c:tx>
            <c:strRef>
              <c:f>'Kasvupind ja saak'!$C$9</c:f>
              <c:strCache>
                <c:ptCount val="1"/>
                <c:pt idx="0">
                  <c:v>Oder</c:v>
                </c:pt>
              </c:strCache>
            </c:strRef>
          </c:tx>
          <c:spPr>
            <a:solidFill>
              <a:srgbClr val="00B050"/>
            </a:solidFill>
          </c:spPr>
          <c:invertIfNegative val="0"/>
          <c:cat>
            <c:strRef>
              <c:f>'Kasvupind ja saak'!$E$7:$N$7</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'Kasvupind ja saak'!$E$9:$N$9</c:f>
              <c:numCache>
                <c:formatCode>General</c:formatCode>
                <c:ptCount val="10"/>
                <c:pt idx="0">
                  <c:v>293.5</c:v>
                </c:pt>
                <c:pt idx="1">
                  <c:v>366.7</c:v>
                </c:pt>
                <c:pt idx="2">
                  <c:v>302.7</c:v>
                </c:pt>
                <c:pt idx="3">
                  <c:v>362.7</c:v>
                </c:pt>
                <c:pt idx="4">
                  <c:v>349.1</c:v>
                </c:pt>
                <c:pt idx="5">
                  <c:v>377</c:v>
                </c:pt>
                <c:pt idx="6">
                  <c:v>254.8</c:v>
                </c:pt>
                <c:pt idx="7">
                  <c:v>295</c:v>
                </c:pt>
                <c:pt idx="8">
                  <c:v>341.3</c:v>
                </c:pt>
                <c:pt idx="9">
                  <c:v>439</c:v>
                </c:pt>
              </c:numCache>
            </c:numRef>
          </c:val>
        </c:ser>
        <c:ser>
          <c:idx val="2"/>
          <c:order val="2"/>
          <c:tx>
            <c:strRef>
              <c:f>'Kasvupind ja saak'!$C$10</c:f>
              <c:strCache>
                <c:ptCount val="1"/>
                <c:pt idx="0">
                  <c:v>Rukis</c:v>
                </c:pt>
              </c:strCache>
            </c:strRef>
          </c:tx>
          <c:spPr>
            <a:solidFill>
              <a:srgbClr val="FFC000"/>
            </a:solidFill>
          </c:spPr>
          <c:invertIfNegative val="0"/>
          <c:cat>
            <c:strRef>
              <c:f>'Kasvupind ja saak'!$E$7:$N$7</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'Kasvupind ja saak'!$E$10:$N$10</c:f>
              <c:numCache>
                <c:formatCode>General</c:formatCode>
                <c:ptCount val="10"/>
                <c:pt idx="0">
                  <c:v>18.100000000000001</c:v>
                </c:pt>
                <c:pt idx="1">
                  <c:v>20.399999999999999</c:v>
                </c:pt>
                <c:pt idx="2">
                  <c:v>17.8</c:v>
                </c:pt>
                <c:pt idx="3">
                  <c:v>61</c:v>
                </c:pt>
                <c:pt idx="4">
                  <c:v>65.599999999999994</c:v>
                </c:pt>
                <c:pt idx="5">
                  <c:v>39.1</c:v>
                </c:pt>
                <c:pt idx="6">
                  <c:v>25</c:v>
                </c:pt>
                <c:pt idx="7">
                  <c:v>31</c:v>
                </c:pt>
                <c:pt idx="8">
                  <c:v>57.1</c:v>
                </c:pt>
                <c:pt idx="9">
                  <c:v>21.7</c:v>
                </c:pt>
              </c:numCache>
            </c:numRef>
          </c:val>
        </c:ser>
        <c:ser>
          <c:idx val="3"/>
          <c:order val="3"/>
          <c:tx>
            <c:strRef>
              <c:f>'Kasvupind ja saak'!$C$11</c:f>
              <c:strCache>
                <c:ptCount val="1"/>
                <c:pt idx="0">
                  <c:v>Kaer</c:v>
                </c:pt>
              </c:strCache>
            </c:strRef>
          </c:tx>
          <c:spPr>
            <a:solidFill>
              <a:srgbClr val="0070C0"/>
            </a:solidFill>
          </c:spPr>
          <c:invertIfNegative val="0"/>
          <c:cat>
            <c:strRef>
              <c:f>'Kasvupind ja saak'!$E$7:$N$7</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'Kasvupind ja saak'!$E$11:$N$11</c:f>
              <c:numCache>
                <c:formatCode>General</c:formatCode>
                <c:ptCount val="10"/>
                <c:pt idx="0">
                  <c:v>72.7</c:v>
                </c:pt>
                <c:pt idx="1">
                  <c:v>84.2</c:v>
                </c:pt>
                <c:pt idx="2">
                  <c:v>63.6</c:v>
                </c:pt>
                <c:pt idx="3">
                  <c:v>85.2</c:v>
                </c:pt>
                <c:pt idx="4">
                  <c:v>77.5</c:v>
                </c:pt>
                <c:pt idx="5">
                  <c:v>86.5</c:v>
                </c:pt>
                <c:pt idx="6">
                  <c:v>54.5</c:v>
                </c:pt>
                <c:pt idx="7">
                  <c:v>62.8</c:v>
                </c:pt>
                <c:pt idx="8">
                  <c:v>78.400000000000006</c:v>
                </c:pt>
                <c:pt idx="9">
                  <c:v>84.8</c:v>
                </c:pt>
              </c:numCache>
            </c:numRef>
          </c:val>
        </c:ser>
        <c:dLbls>
          <c:showLegendKey val="0"/>
          <c:showVal val="0"/>
          <c:showCatName val="0"/>
          <c:showSerName val="0"/>
          <c:showPercent val="0"/>
          <c:showBubbleSize val="0"/>
        </c:dLbls>
        <c:gapWidth val="150"/>
        <c:overlap val="100"/>
        <c:axId val="78969472"/>
        <c:axId val="78987648"/>
      </c:barChart>
      <c:catAx>
        <c:axId val="78969472"/>
        <c:scaling>
          <c:orientation val="minMax"/>
        </c:scaling>
        <c:delete val="0"/>
        <c:axPos val="b"/>
        <c:majorTickMark val="out"/>
        <c:minorTickMark val="none"/>
        <c:tickLblPos val="nextTo"/>
        <c:crossAx val="78987648"/>
        <c:crosses val="autoZero"/>
        <c:auto val="1"/>
        <c:lblAlgn val="ctr"/>
        <c:lblOffset val="100"/>
        <c:noMultiLvlLbl val="0"/>
      </c:catAx>
      <c:valAx>
        <c:axId val="78987648"/>
        <c:scaling>
          <c:orientation val="minMax"/>
          <c:max val="1000"/>
        </c:scaling>
        <c:delete val="0"/>
        <c:axPos val="l"/>
        <c:majorGridlines/>
        <c:numFmt formatCode="General" sourceLinked="1"/>
        <c:majorTickMark val="out"/>
        <c:minorTickMark val="none"/>
        <c:tickLblPos val="nextTo"/>
        <c:crossAx val="78969472"/>
        <c:crosses val="autoZero"/>
        <c:crossBetween val="between"/>
      </c:valAx>
    </c:plotArea>
    <c:legend>
      <c:legendPos val="r"/>
      <c:layout>
        <c:manualLayout>
          <c:xMode val="edge"/>
          <c:yMode val="edge"/>
          <c:x val="0.27105664916885391"/>
          <c:y val="0.73534339457567799"/>
          <c:w val="0.53172112860892384"/>
          <c:h val="7.0979877515310583E-2"/>
        </c:manualLayout>
      </c:layout>
      <c:overlay val="0"/>
      <c:spPr>
        <a:solidFill>
          <a:schemeClr val="bg1"/>
        </a:solidFill>
      </c:spPr>
    </c:legend>
    <c:plotVisOnly val="1"/>
    <c:dispBlanksAs val="gap"/>
    <c:showDLblsOverMax val="0"/>
  </c:chart>
  <c:spPr>
    <a:ln>
      <a:solidFill>
        <a:schemeClr val="bg1"/>
      </a:solidFill>
    </a:ln>
  </c:spPr>
  <c:txPr>
    <a:bodyPr/>
    <a:lstStyle/>
    <a:p>
      <a:pPr>
        <a:defRPr sz="1000"/>
      </a:pPr>
      <a:endParaRPr lang="et-EE"/>
    </a:p>
  </c:txPr>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1"/>
          <c:tx>
            <c:strRef>
              <c:f>'Kadrile, teravili'!$C$194</c:f>
              <c:strCache>
                <c:ptCount val="1"/>
                <c:pt idx="0">
                  <c:v>tootmiskulu €/kg, 2012</c:v>
                </c:pt>
              </c:strCache>
            </c:strRef>
          </c:tx>
          <c:spPr>
            <a:solidFill>
              <a:schemeClr val="accent6">
                <a:lumMod val="75000"/>
              </a:schemeClr>
            </a:solidFill>
          </c:spPr>
          <c:invertIfNegative val="0"/>
          <c:dLbls>
            <c:txPr>
              <a:bodyPr rot="0" vert="horz"/>
              <a:lstStyle/>
              <a:p>
                <a:pPr>
                  <a:defRPr/>
                </a:pPr>
                <a:endParaRPr lang="et-EE"/>
              </a:p>
            </c:txPr>
            <c:dLblPos val="inBase"/>
            <c:showLegendKey val="0"/>
            <c:showVal val="1"/>
            <c:showCatName val="0"/>
            <c:showSerName val="0"/>
            <c:showPercent val="0"/>
            <c:showBubbleSize val="0"/>
            <c:showLeaderLines val="0"/>
          </c:dLbls>
          <c:cat>
            <c:strRef>
              <c:f>'Kadrile, teravili'!$A$195:$A$198</c:f>
              <c:strCache>
                <c:ptCount val="4"/>
                <c:pt idx="0">
                  <c:v>oder</c:v>
                </c:pt>
                <c:pt idx="1">
                  <c:v>kaer</c:v>
                </c:pt>
                <c:pt idx="2">
                  <c:v>suvinisu</c:v>
                </c:pt>
                <c:pt idx="3">
                  <c:v>rukis</c:v>
                </c:pt>
              </c:strCache>
            </c:strRef>
          </c:cat>
          <c:val>
            <c:numRef>
              <c:f>'Kadrile, teravili'!$C$195:$C$198</c:f>
              <c:numCache>
                <c:formatCode>0.000</c:formatCode>
                <c:ptCount val="4"/>
                <c:pt idx="0">
                  <c:v>0.17270444444444447</c:v>
                </c:pt>
                <c:pt idx="1">
                  <c:v>0.15783555555555556</c:v>
                </c:pt>
                <c:pt idx="2">
                  <c:v>0.18037777777777778</c:v>
                </c:pt>
                <c:pt idx="3">
                  <c:v>0.17275777777777779</c:v>
                </c:pt>
              </c:numCache>
            </c:numRef>
          </c:val>
        </c:ser>
        <c:ser>
          <c:idx val="0"/>
          <c:order val="2"/>
          <c:tx>
            <c:strRef>
              <c:f>'Kadrile, teravili'!$B$194</c:f>
              <c:strCache>
                <c:ptCount val="1"/>
                <c:pt idx="0">
                  <c:v>tootmiskulu €/kg, 2005</c:v>
                </c:pt>
              </c:strCache>
            </c:strRef>
          </c:tx>
          <c:spPr>
            <a:solidFill>
              <a:schemeClr val="tx2">
                <a:lumMod val="60000"/>
                <a:lumOff val="40000"/>
              </a:schemeClr>
            </a:solidFill>
          </c:spPr>
          <c:invertIfNegative val="0"/>
          <c:dLbls>
            <c:txPr>
              <a:bodyPr rot="0" vert="horz"/>
              <a:lstStyle/>
              <a:p>
                <a:pPr>
                  <a:defRPr/>
                </a:pPr>
                <a:endParaRPr lang="et-EE"/>
              </a:p>
            </c:txPr>
            <c:dLblPos val="inBase"/>
            <c:showLegendKey val="0"/>
            <c:showVal val="1"/>
            <c:showCatName val="0"/>
            <c:showSerName val="0"/>
            <c:showPercent val="0"/>
            <c:showBubbleSize val="0"/>
            <c:showLeaderLines val="0"/>
          </c:dLbls>
          <c:cat>
            <c:strRef>
              <c:f>'Kadrile, teravili'!$A$195:$A$198</c:f>
              <c:strCache>
                <c:ptCount val="4"/>
                <c:pt idx="0">
                  <c:v>oder</c:v>
                </c:pt>
                <c:pt idx="1">
                  <c:v>kaer</c:v>
                </c:pt>
                <c:pt idx="2">
                  <c:v>suvinisu</c:v>
                </c:pt>
                <c:pt idx="3">
                  <c:v>rukis</c:v>
                </c:pt>
              </c:strCache>
            </c:strRef>
          </c:cat>
          <c:val>
            <c:numRef>
              <c:f>'Kadrile, teravili'!$B$195:$B$198</c:f>
              <c:numCache>
                <c:formatCode>0.000</c:formatCode>
                <c:ptCount val="4"/>
                <c:pt idx="0">
                  <c:v>0.11646122622309142</c:v>
                </c:pt>
                <c:pt idx="1">
                  <c:v>0.10471568548083575</c:v>
                </c:pt>
                <c:pt idx="2">
                  <c:v>0.11151872540289194</c:v>
                </c:pt>
                <c:pt idx="3">
                  <c:v>0.10579508221168391</c:v>
                </c:pt>
              </c:numCache>
            </c:numRef>
          </c:val>
        </c:ser>
        <c:dLbls>
          <c:showLegendKey val="0"/>
          <c:showVal val="0"/>
          <c:showCatName val="0"/>
          <c:showSerName val="0"/>
          <c:showPercent val="0"/>
          <c:showBubbleSize val="0"/>
        </c:dLbls>
        <c:gapWidth val="75"/>
        <c:axId val="95122560"/>
        <c:axId val="95124096"/>
      </c:barChart>
      <c:lineChart>
        <c:grouping val="standard"/>
        <c:varyColors val="0"/>
        <c:ser>
          <c:idx val="5"/>
          <c:order val="0"/>
          <c:tx>
            <c:strRef>
              <c:f>'Kadrile, teravili'!$E$194</c:f>
              <c:strCache>
                <c:ptCount val="1"/>
                <c:pt idx="0">
                  <c:v>SA kokkuostuhind €/kg, 2012</c:v>
                </c:pt>
              </c:strCache>
            </c:strRef>
          </c:tx>
          <c:spPr>
            <a:ln w="28575">
              <a:noFill/>
            </a:ln>
          </c:spPr>
          <c:marker>
            <c:spPr>
              <a:solidFill>
                <a:schemeClr val="accent6">
                  <a:lumMod val="75000"/>
                </a:schemeClr>
              </a:solidFill>
            </c:spPr>
          </c:marker>
          <c:dLbls>
            <c:dLbl>
              <c:idx val="0"/>
              <c:layout>
                <c:manualLayout>
                  <c:x val="-4.5584045584045581E-3"/>
                  <c:y val="-4.1666666666666671E-2"/>
                </c:manualLayout>
              </c:layout>
              <c:dLblPos val="r"/>
              <c:showLegendKey val="0"/>
              <c:showVal val="1"/>
              <c:showCatName val="0"/>
              <c:showSerName val="0"/>
              <c:showPercent val="0"/>
              <c:showBubbleSize val="0"/>
            </c:dLbl>
            <c:txPr>
              <a:bodyPr/>
              <a:lstStyle/>
              <a:p>
                <a:pPr>
                  <a:defRPr>
                    <a:solidFill>
                      <a:schemeClr val="accent6">
                        <a:lumMod val="75000"/>
                      </a:schemeClr>
                    </a:solidFill>
                  </a:defRPr>
                </a:pPr>
                <a:endParaRPr lang="et-EE"/>
              </a:p>
            </c:txPr>
            <c:showLegendKey val="0"/>
            <c:showVal val="1"/>
            <c:showCatName val="0"/>
            <c:showSerName val="0"/>
            <c:showPercent val="0"/>
            <c:showBubbleSize val="0"/>
            <c:showLeaderLines val="0"/>
          </c:dLbls>
          <c:val>
            <c:numRef>
              <c:f>'Kadrile, teravili'!$E$195:$E$198</c:f>
              <c:numCache>
                <c:formatCode>0.000</c:formatCode>
                <c:ptCount val="4"/>
                <c:pt idx="0">
                  <c:v>0.20184191965765255</c:v>
                </c:pt>
                <c:pt idx="1">
                  <c:v>0.18324000000000001</c:v>
                </c:pt>
                <c:pt idx="2">
                  <c:v>0.21249000000000001</c:v>
                </c:pt>
                <c:pt idx="3">
                  <c:v>0.18622299066453071</c:v>
                </c:pt>
              </c:numCache>
            </c:numRef>
          </c:val>
          <c:smooth val="0"/>
        </c:ser>
        <c:ser>
          <c:idx val="4"/>
          <c:order val="3"/>
          <c:tx>
            <c:strRef>
              <c:f>'Kadrile, teravili'!$D$194</c:f>
              <c:strCache>
                <c:ptCount val="1"/>
                <c:pt idx="0">
                  <c:v>SA kokkuostuhind €/kg, 2005</c:v>
                </c:pt>
              </c:strCache>
            </c:strRef>
          </c:tx>
          <c:spPr>
            <a:ln w="28575">
              <a:noFill/>
            </a:ln>
          </c:spPr>
          <c:marker>
            <c:symbol val="triangle"/>
            <c:size val="7"/>
            <c:spPr>
              <a:solidFill>
                <a:schemeClr val="tx2">
                  <a:lumMod val="50000"/>
                </a:schemeClr>
              </a:solidFill>
            </c:spPr>
          </c:marker>
          <c:dLbls>
            <c:dLbl>
              <c:idx val="0"/>
              <c:layout>
                <c:manualLayout>
                  <c:x val="-7.2916666666666671E-2"/>
                  <c:y val="1.9723865877712032E-2"/>
                </c:manualLayout>
              </c:layout>
              <c:dLblPos val="r"/>
              <c:showLegendKey val="0"/>
              <c:showVal val="1"/>
              <c:showCatName val="0"/>
              <c:showSerName val="0"/>
              <c:showPercent val="0"/>
              <c:showBubbleSize val="0"/>
            </c:dLbl>
            <c:dLbl>
              <c:idx val="1"/>
              <c:layout>
                <c:manualLayout>
                  <c:x val="-7.4652777777777776E-2"/>
                  <c:y val="1.1834319526627219E-2"/>
                </c:manualLayout>
              </c:layout>
              <c:dLblPos val="r"/>
              <c:showLegendKey val="0"/>
              <c:showVal val="1"/>
              <c:showCatName val="0"/>
              <c:showSerName val="0"/>
              <c:showPercent val="0"/>
              <c:showBubbleSize val="0"/>
            </c:dLbl>
            <c:dLbl>
              <c:idx val="2"/>
              <c:layout>
                <c:manualLayout>
                  <c:x val="-6.7708333333333329E-2"/>
                  <c:y val="3.1558185404339252E-2"/>
                </c:manualLayout>
              </c:layout>
              <c:dLblPos val="r"/>
              <c:showLegendKey val="0"/>
              <c:showVal val="1"/>
              <c:showCatName val="0"/>
              <c:showSerName val="0"/>
              <c:showPercent val="0"/>
              <c:showBubbleSize val="0"/>
            </c:dLbl>
            <c:dLbl>
              <c:idx val="3"/>
              <c:layout>
                <c:manualLayout>
                  <c:x val="-7.4652777777777776E-2"/>
                  <c:y val="3.5502958579881658E-2"/>
                </c:manualLayout>
              </c:layout>
              <c:dLblPos val="r"/>
              <c:showLegendKey val="0"/>
              <c:showVal val="1"/>
              <c:showCatName val="0"/>
              <c:showSerName val="0"/>
              <c:showPercent val="0"/>
              <c:showBubbleSize val="0"/>
            </c:dLbl>
            <c:txPr>
              <a:bodyPr/>
              <a:lstStyle/>
              <a:p>
                <a:pPr>
                  <a:defRPr>
                    <a:solidFill>
                      <a:schemeClr val="tx2">
                        <a:lumMod val="75000"/>
                      </a:schemeClr>
                    </a:solidFill>
                  </a:defRPr>
                </a:pPr>
                <a:endParaRPr lang="et-EE"/>
              </a:p>
            </c:txPr>
            <c:showLegendKey val="0"/>
            <c:showVal val="1"/>
            <c:showCatName val="0"/>
            <c:showSerName val="0"/>
            <c:showPercent val="0"/>
            <c:showBubbleSize val="0"/>
            <c:showLeaderLines val="0"/>
          </c:dLbls>
          <c:val>
            <c:numRef>
              <c:f>'Kadrile, teravili'!$D$195:$D$198</c:f>
              <c:numCache>
                <c:formatCode>0.000</c:formatCode>
                <c:ptCount val="4"/>
                <c:pt idx="0">
                  <c:v>9.1393657407999179E-2</c:v>
                </c:pt>
                <c:pt idx="1">
                  <c:v>8.238211496427339E-2</c:v>
                </c:pt>
                <c:pt idx="2">
                  <c:v>9.76569989646313E-2</c:v>
                </c:pt>
                <c:pt idx="3">
                  <c:v>9.3311006864111048E-2</c:v>
                </c:pt>
              </c:numCache>
            </c:numRef>
          </c:val>
          <c:smooth val="0"/>
        </c:ser>
        <c:dLbls>
          <c:showLegendKey val="0"/>
          <c:showVal val="0"/>
          <c:showCatName val="0"/>
          <c:showSerName val="0"/>
          <c:showPercent val="0"/>
          <c:showBubbleSize val="0"/>
        </c:dLbls>
        <c:marker val="1"/>
        <c:smooth val="0"/>
        <c:axId val="95122560"/>
        <c:axId val="95124096"/>
      </c:lineChart>
      <c:catAx>
        <c:axId val="95122560"/>
        <c:scaling>
          <c:orientation val="minMax"/>
        </c:scaling>
        <c:delete val="0"/>
        <c:axPos val="b"/>
        <c:numFmt formatCode="General" sourceLinked="1"/>
        <c:majorTickMark val="none"/>
        <c:minorTickMark val="none"/>
        <c:tickLblPos val="nextTo"/>
        <c:crossAx val="95124096"/>
        <c:crosses val="autoZero"/>
        <c:auto val="1"/>
        <c:lblAlgn val="ctr"/>
        <c:lblOffset val="100"/>
        <c:noMultiLvlLbl val="0"/>
      </c:catAx>
      <c:valAx>
        <c:axId val="95124096"/>
        <c:scaling>
          <c:orientation val="minMax"/>
          <c:max val="0.22000000000000003"/>
        </c:scaling>
        <c:delete val="0"/>
        <c:axPos val="l"/>
        <c:numFmt formatCode="0.000" sourceLinked="1"/>
        <c:majorTickMark val="none"/>
        <c:minorTickMark val="none"/>
        <c:tickLblPos val="nextTo"/>
        <c:crossAx val="95122560"/>
        <c:crosses val="autoZero"/>
        <c:crossBetween val="between"/>
        <c:majorUnit val="2.0000000000000004E-2"/>
      </c:valAx>
    </c:plotArea>
    <c:legend>
      <c:legendPos val="b"/>
      <c:layout>
        <c:manualLayout>
          <c:xMode val="edge"/>
          <c:yMode val="edge"/>
          <c:x val="3.0719550614113017E-3"/>
          <c:y val="0.85385147611265577"/>
          <c:w val="0.98622599213724893"/>
          <c:h val="0.12458518156928497"/>
        </c:manualLayout>
      </c:layout>
      <c:overlay val="0"/>
    </c:legend>
    <c:plotVisOnly val="1"/>
    <c:dispBlanksAs val="gap"/>
    <c:showDLblsOverMax val="0"/>
  </c:chart>
  <c:spPr>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358073876817541E-2"/>
          <c:y val="4.9672798293252766E-2"/>
          <c:w val="0.90737474041320221"/>
          <c:h val="0.82576796772129479"/>
        </c:manualLayout>
      </c:layout>
      <c:lineChart>
        <c:grouping val="standard"/>
        <c:varyColors val="0"/>
        <c:ser>
          <c:idx val="1"/>
          <c:order val="0"/>
          <c:tx>
            <c:strRef>
              <c:f>'joonis 6'!$F$10:$F$11</c:f>
              <c:strCache>
                <c:ptCount val="1"/>
                <c:pt idx="0">
                  <c:v>Eesti 2004=100</c:v>
                </c:pt>
              </c:strCache>
            </c:strRef>
          </c:tx>
          <c:cat>
            <c:strRef>
              <c:f>'joonis 6'!$B$34:$B$42</c:f>
              <c:strCache>
                <c:ptCount val="9"/>
                <c:pt idx="0">
                  <c:v>2005</c:v>
                </c:pt>
                <c:pt idx="1">
                  <c:v>2006</c:v>
                </c:pt>
                <c:pt idx="2">
                  <c:v>2007</c:v>
                </c:pt>
                <c:pt idx="3">
                  <c:v>2008</c:v>
                </c:pt>
                <c:pt idx="4">
                  <c:v>2009</c:v>
                </c:pt>
                <c:pt idx="5">
                  <c:v>2010</c:v>
                </c:pt>
                <c:pt idx="6">
                  <c:v>2011</c:v>
                </c:pt>
                <c:pt idx="7">
                  <c:v>2012</c:v>
                </c:pt>
                <c:pt idx="8">
                  <c:v>2013*</c:v>
                </c:pt>
              </c:strCache>
            </c:strRef>
          </c:cat>
          <c:val>
            <c:numRef>
              <c:f>'joonis 6'!$F$34:$F$42</c:f>
              <c:numCache>
                <c:formatCode>#,##0.00</c:formatCode>
                <c:ptCount val="9"/>
                <c:pt idx="0">
                  <c:v>110.02310122106454</c:v>
                </c:pt>
                <c:pt idx="1">
                  <c:v>118.20281929187684</c:v>
                </c:pt>
                <c:pt idx="2">
                  <c:v>162.89661024939889</c:v>
                </c:pt>
                <c:pt idx="3">
                  <c:v>127.62246004431661</c:v>
                </c:pt>
                <c:pt idx="4">
                  <c:v>101.27292442600537</c:v>
                </c:pt>
                <c:pt idx="5">
                  <c:v>146.66918108528591</c:v>
                </c:pt>
                <c:pt idx="6">
                  <c:v>182.01876384894629</c:v>
                </c:pt>
                <c:pt idx="7">
                  <c:v>209.05190702937153</c:v>
                </c:pt>
                <c:pt idx="8">
                  <c:v>183.26340106548489</c:v>
                </c:pt>
              </c:numCache>
            </c:numRef>
          </c:val>
          <c:smooth val="0"/>
        </c:ser>
        <c:ser>
          <c:idx val="2"/>
          <c:order val="1"/>
          <c:tx>
            <c:strRef>
              <c:f>'joonis 6'!$H$10:$H$11</c:f>
              <c:strCache>
                <c:ptCount val="1"/>
                <c:pt idx="0">
                  <c:v>Läti 2004=100</c:v>
                </c:pt>
              </c:strCache>
            </c:strRef>
          </c:tx>
          <c:spPr>
            <a:ln>
              <a:prstDash val="sysDash"/>
            </a:ln>
          </c:spPr>
          <c:cat>
            <c:strRef>
              <c:f>'joonis 6'!$B$34:$B$42</c:f>
              <c:strCache>
                <c:ptCount val="9"/>
                <c:pt idx="0">
                  <c:v>2005</c:v>
                </c:pt>
                <c:pt idx="1">
                  <c:v>2006</c:v>
                </c:pt>
                <c:pt idx="2">
                  <c:v>2007</c:v>
                </c:pt>
                <c:pt idx="3">
                  <c:v>2008</c:v>
                </c:pt>
                <c:pt idx="4">
                  <c:v>2009</c:v>
                </c:pt>
                <c:pt idx="5">
                  <c:v>2010</c:v>
                </c:pt>
                <c:pt idx="6">
                  <c:v>2011</c:v>
                </c:pt>
                <c:pt idx="7">
                  <c:v>2012</c:v>
                </c:pt>
                <c:pt idx="8">
                  <c:v>2013*</c:v>
                </c:pt>
              </c:strCache>
            </c:strRef>
          </c:cat>
          <c:val>
            <c:numRef>
              <c:f>'joonis 6'!$H$34:$H$42</c:f>
              <c:numCache>
                <c:formatCode>#,##0.00</c:formatCode>
                <c:ptCount val="9"/>
                <c:pt idx="0">
                  <c:v>108.64977507277058</c:v>
                </c:pt>
                <c:pt idx="1">
                  <c:v>139.81542736173591</c:v>
                </c:pt>
                <c:pt idx="2">
                  <c:v>152.85789891505689</c:v>
                </c:pt>
                <c:pt idx="3">
                  <c:v>133.53731145805767</c:v>
                </c:pt>
                <c:pt idx="4">
                  <c:v>109.83064302725589</c:v>
                </c:pt>
                <c:pt idx="5">
                  <c:v>128.86014818735114</c:v>
                </c:pt>
                <c:pt idx="6">
                  <c:v>135.16472611802064</c:v>
                </c:pt>
                <c:pt idx="7">
                  <c:v>155.37179147922734</c:v>
                </c:pt>
                <c:pt idx="8">
                  <c:v>137.12291611537444</c:v>
                </c:pt>
              </c:numCache>
            </c:numRef>
          </c:val>
          <c:smooth val="0"/>
        </c:ser>
        <c:ser>
          <c:idx val="3"/>
          <c:order val="2"/>
          <c:tx>
            <c:strRef>
              <c:f>'joonis 6'!$J$10:$J$11</c:f>
              <c:strCache>
                <c:ptCount val="1"/>
                <c:pt idx="0">
                  <c:v>Leedu 2004=100</c:v>
                </c:pt>
              </c:strCache>
            </c:strRef>
          </c:tx>
          <c:spPr>
            <a:ln>
              <a:prstDash val="sysDash"/>
            </a:ln>
          </c:spPr>
          <c:cat>
            <c:strRef>
              <c:f>'joonis 6'!$B$34:$B$42</c:f>
              <c:strCache>
                <c:ptCount val="9"/>
                <c:pt idx="0">
                  <c:v>2005</c:v>
                </c:pt>
                <c:pt idx="1">
                  <c:v>2006</c:v>
                </c:pt>
                <c:pt idx="2">
                  <c:v>2007</c:v>
                </c:pt>
                <c:pt idx="3">
                  <c:v>2008</c:v>
                </c:pt>
                <c:pt idx="4">
                  <c:v>2009</c:v>
                </c:pt>
                <c:pt idx="5">
                  <c:v>2010</c:v>
                </c:pt>
                <c:pt idx="6">
                  <c:v>2011</c:v>
                </c:pt>
                <c:pt idx="7">
                  <c:v>2012</c:v>
                </c:pt>
                <c:pt idx="8">
                  <c:v>2013*</c:v>
                </c:pt>
              </c:strCache>
            </c:strRef>
          </c:cat>
          <c:val>
            <c:numRef>
              <c:f>'joonis 6'!$J$34:$J$42</c:f>
              <c:numCache>
                <c:formatCode>#,##0.00</c:formatCode>
                <c:ptCount val="9"/>
                <c:pt idx="0">
                  <c:v>120.93308778391652</c:v>
                </c:pt>
                <c:pt idx="1">
                  <c:v>109.49048496009821</c:v>
                </c:pt>
                <c:pt idx="2">
                  <c:v>169.77532228360957</c:v>
                </c:pt>
                <c:pt idx="3">
                  <c:v>164.55494168201349</c:v>
                </c:pt>
                <c:pt idx="4">
                  <c:v>132.94536525475752</c:v>
                </c:pt>
                <c:pt idx="5">
                  <c:v>150.5659914057704</c:v>
                </c:pt>
                <c:pt idx="6">
                  <c:v>201.62062615101291</c:v>
                </c:pt>
                <c:pt idx="7">
                  <c:v>263.39349294045428</c:v>
                </c:pt>
                <c:pt idx="8">
                  <c:v>243.85758133824433</c:v>
                </c:pt>
              </c:numCache>
            </c:numRef>
          </c:val>
          <c:smooth val="0"/>
        </c:ser>
        <c:ser>
          <c:idx val="4"/>
          <c:order val="3"/>
          <c:tx>
            <c:strRef>
              <c:f>'joonis 6'!$L$10:$L$11</c:f>
              <c:strCache>
                <c:ptCount val="1"/>
                <c:pt idx="0">
                  <c:v>Soome 2004=100</c:v>
                </c:pt>
              </c:strCache>
            </c:strRef>
          </c:tx>
          <c:spPr>
            <a:ln>
              <a:prstDash val="sysDot"/>
            </a:ln>
          </c:spPr>
          <c:cat>
            <c:strRef>
              <c:f>'joonis 6'!$B$34:$B$42</c:f>
              <c:strCache>
                <c:ptCount val="9"/>
                <c:pt idx="0">
                  <c:v>2005</c:v>
                </c:pt>
                <c:pt idx="1">
                  <c:v>2006</c:v>
                </c:pt>
                <c:pt idx="2">
                  <c:v>2007</c:v>
                </c:pt>
                <c:pt idx="3">
                  <c:v>2008</c:v>
                </c:pt>
                <c:pt idx="4">
                  <c:v>2009</c:v>
                </c:pt>
                <c:pt idx="5">
                  <c:v>2010</c:v>
                </c:pt>
                <c:pt idx="6">
                  <c:v>2011</c:v>
                </c:pt>
                <c:pt idx="7">
                  <c:v>2012</c:v>
                </c:pt>
                <c:pt idx="8">
                  <c:v>2013*</c:v>
                </c:pt>
              </c:strCache>
            </c:strRef>
          </c:cat>
          <c:val>
            <c:numRef>
              <c:f>'joonis 6'!$L$34:$L$42</c:f>
              <c:numCache>
                <c:formatCode>#,##0.00</c:formatCode>
                <c:ptCount val="9"/>
                <c:pt idx="0">
                  <c:v>103.79971853936745</c:v>
                </c:pt>
                <c:pt idx="1">
                  <c:v>100.13902104117642</c:v>
                </c:pt>
                <c:pt idx="2">
                  <c:v>114.39437534541601</c:v>
                </c:pt>
                <c:pt idx="3">
                  <c:v>98.320922096938688</c:v>
                </c:pt>
                <c:pt idx="4">
                  <c:v>114.99831921282183</c:v>
                </c:pt>
                <c:pt idx="5">
                  <c:v>118.55361141339958</c:v>
                </c:pt>
                <c:pt idx="6">
                  <c:v>121.21780153037098</c:v>
                </c:pt>
                <c:pt idx="7">
                  <c:v>128.99899152769311</c:v>
                </c:pt>
                <c:pt idx="8">
                  <c:v>125.73427609350874</c:v>
                </c:pt>
              </c:numCache>
            </c:numRef>
          </c:val>
          <c:smooth val="0"/>
        </c:ser>
        <c:ser>
          <c:idx val="5"/>
          <c:order val="4"/>
          <c:tx>
            <c:strRef>
              <c:f>'joonis 6'!$N$10:$N$11</c:f>
              <c:strCache>
                <c:ptCount val="1"/>
                <c:pt idx="0">
                  <c:v>Rootsi 2004=100</c:v>
                </c:pt>
              </c:strCache>
            </c:strRef>
          </c:tx>
          <c:spPr>
            <a:ln>
              <a:prstDash val="sysDot"/>
            </a:ln>
          </c:spPr>
          <c:cat>
            <c:strRef>
              <c:f>'joonis 6'!$B$34:$B$42</c:f>
              <c:strCache>
                <c:ptCount val="9"/>
                <c:pt idx="0">
                  <c:v>2005</c:v>
                </c:pt>
                <c:pt idx="1">
                  <c:v>2006</c:v>
                </c:pt>
                <c:pt idx="2">
                  <c:v>2007</c:v>
                </c:pt>
                <c:pt idx="3">
                  <c:v>2008</c:v>
                </c:pt>
                <c:pt idx="4">
                  <c:v>2009</c:v>
                </c:pt>
                <c:pt idx="5">
                  <c:v>2010</c:v>
                </c:pt>
                <c:pt idx="6">
                  <c:v>2011</c:v>
                </c:pt>
                <c:pt idx="7">
                  <c:v>2012</c:v>
                </c:pt>
                <c:pt idx="8">
                  <c:v>2013*</c:v>
                </c:pt>
              </c:strCache>
            </c:strRef>
          </c:cat>
          <c:val>
            <c:numRef>
              <c:f>'joonis 6'!$N$34:$N$42</c:f>
              <c:numCache>
                <c:formatCode>0.00</c:formatCode>
                <c:ptCount val="9"/>
                <c:pt idx="0">
                  <c:v>106.37123213664586</c:v>
                </c:pt>
                <c:pt idx="1">
                  <c:v>119.53183395868949</c:v>
                </c:pt>
                <c:pt idx="2">
                  <c:v>137.81443573632913</c:v>
                </c:pt>
                <c:pt idx="3">
                  <c:v>115.42816544925734</c:v>
                </c:pt>
                <c:pt idx="4">
                  <c:v>78.907365881456158</c:v>
                </c:pt>
                <c:pt idx="5">
                  <c:v>111.24530982882264</c:v>
                </c:pt>
                <c:pt idx="6">
                  <c:v>115.68348837725628</c:v>
                </c:pt>
                <c:pt idx="7">
                  <c:v>132.73017917008946</c:v>
                </c:pt>
                <c:pt idx="8">
                  <c:v>130.918496480984</c:v>
                </c:pt>
              </c:numCache>
            </c:numRef>
          </c:val>
          <c:smooth val="0"/>
        </c:ser>
        <c:ser>
          <c:idx val="0"/>
          <c:order val="5"/>
          <c:tx>
            <c:strRef>
              <c:f>'joonis 6'!$D$10:$D$11</c:f>
              <c:strCache>
                <c:ptCount val="1"/>
                <c:pt idx="0">
                  <c:v>EL27 2004=100</c:v>
                </c:pt>
              </c:strCache>
            </c:strRef>
          </c:tx>
          <c:cat>
            <c:strRef>
              <c:f>'joonis 6'!$B$34:$B$42</c:f>
              <c:strCache>
                <c:ptCount val="9"/>
                <c:pt idx="0">
                  <c:v>2005</c:v>
                </c:pt>
                <c:pt idx="1">
                  <c:v>2006</c:v>
                </c:pt>
                <c:pt idx="2">
                  <c:v>2007</c:v>
                </c:pt>
                <c:pt idx="3">
                  <c:v>2008</c:v>
                </c:pt>
                <c:pt idx="4">
                  <c:v>2009</c:v>
                </c:pt>
                <c:pt idx="5">
                  <c:v>2010</c:v>
                </c:pt>
                <c:pt idx="6">
                  <c:v>2011</c:v>
                </c:pt>
                <c:pt idx="7">
                  <c:v>2012</c:v>
                </c:pt>
                <c:pt idx="8">
                  <c:v>2013*</c:v>
                </c:pt>
              </c:strCache>
            </c:strRef>
          </c:cat>
          <c:val>
            <c:numRef>
              <c:f>'joonis 6'!$D$34:$D$42</c:f>
              <c:numCache>
                <c:formatCode>#,##0.00</c:formatCode>
                <c:ptCount val="9"/>
                <c:pt idx="0">
                  <c:v>93.368107447391722</c:v>
                </c:pt>
                <c:pt idx="1">
                  <c:v>97.980950028217876</c:v>
                </c:pt>
                <c:pt idx="2">
                  <c:v>107.26173254373172</c:v>
                </c:pt>
                <c:pt idx="3">
                  <c:v>103.77969043795856</c:v>
                </c:pt>
                <c:pt idx="4">
                  <c:v>88.889408118788381</c:v>
                </c:pt>
                <c:pt idx="5">
                  <c:v>99.466185971102647</c:v>
                </c:pt>
                <c:pt idx="6">
                  <c:v>106.97163589120437</c:v>
                </c:pt>
                <c:pt idx="7">
                  <c:v>109.76479284322087</c:v>
                </c:pt>
                <c:pt idx="8">
                  <c:v>108.3829102349036</c:v>
                </c:pt>
              </c:numCache>
            </c:numRef>
          </c:val>
          <c:smooth val="0"/>
        </c:ser>
        <c:dLbls>
          <c:showLegendKey val="0"/>
          <c:showVal val="0"/>
          <c:showCatName val="0"/>
          <c:showSerName val="0"/>
          <c:showPercent val="0"/>
          <c:showBubbleSize val="0"/>
        </c:dLbls>
        <c:marker val="1"/>
        <c:smooth val="0"/>
        <c:axId val="99363072"/>
        <c:axId val="99381248"/>
      </c:lineChart>
      <c:catAx>
        <c:axId val="99363072"/>
        <c:scaling>
          <c:orientation val="minMax"/>
        </c:scaling>
        <c:delete val="0"/>
        <c:axPos val="b"/>
        <c:numFmt formatCode="General" sourceLinked="1"/>
        <c:majorTickMark val="none"/>
        <c:minorTickMark val="none"/>
        <c:tickLblPos val="low"/>
        <c:spPr>
          <a:ln w="19050"/>
        </c:spPr>
        <c:txPr>
          <a:bodyPr rot="0" vert="horz"/>
          <a:lstStyle/>
          <a:p>
            <a:pPr>
              <a:defRPr sz="1000" b="0" i="0" u="none" strike="noStrike" baseline="0">
                <a:solidFill>
                  <a:srgbClr val="000000"/>
                </a:solidFill>
                <a:latin typeface="Calibri"/>
                <a:ea typeface="Calibri"/>
                <a:cs typeface="Calibri"/>
              </a:defRPr>
            </a:pPr>
            <a:endParaRPr lang="et-EE"/>
          </a:p>
        </c:txPr>
        <c:crossAx val="99381248"/>
        <c:crossesAt val="100"/>
        <c:auto val="1"/>
        <c:lblAlgn val="ctr"/>
        <c:lblOffset val="100"/>
        <c:noMultiLvlLbl val="0"/>
      </c:catAx>
      <c:valAx>
        <c:axId val="99381248"/>
        <c:scaling>
          <c:orientation val="minMax"/>
          <c:max val="270"/>
          <c:min val="60"/>
        </c:scaling>
        <c:delete val="0"/>
        <c:axPos val="l"/>
        <c:majorGridlines>
          <c:spPr>
            <a:ln>
              <a:solidFill>
                <a:schemeClr val="bg1">
                  <a:lumMod val="75000"/>
                </a:schemeClr>
              </a:solidFill>
            </a:ln>
          </c:spPr>
        </c:majorGridlines>
        <c:numFmt formatCode="#,##0" sourceLinked="0"/>
        <c:majorTickMark val="none"/>
        <c:minorTickMark val="none"/>
        <c:tickLblPos val="nextTo"/>
        <c:spPr>
          <a:ln w="9525">
            <a:noFill/>
          </a:ln>
        </c:spPr>
        <c:txPr>
          <a:bodyPr rot="0" vert="horz"/>
          <a:lstStyle/>
          <a:p>
            <a:pPr>
              <a:defRPr sz="1000" b="0" i="0" u="none" strike="noStrike" baseline="0">
                <a:solidFill>
                  <a:srgbClr val="000000"/>
                </a:solidFill>
                <a:latin typeface="Calibri"/>
                <a:ea typeface="Calibri"/>
                <a:cs typeface="Calibri"/>
              </a:defRPr>
            </a:pPr>
            <a:endParaRPr lang="et-EE"/>
          </a:p>
        </c:txPr>
        <c:crossAx val="99363072"/>
        <c:crosses val="autoZero"/>
        <c:crossBetween val="between"/>
        <c:majorUnit val="20"/>
      </c:valAx>
    </c:plotArea>
    <c:legend>
      <c:legendPos val="b"/>
      <c:layout>
        <c:manualLayout>
          <c:xMode val="edge"/>
          <c:yMode val="edge"/>
          <c:x val="7.631972327962315E-2"/>
          <c:y val="0.10281144937678316"/>
          <c:w val="0.60468598140094798"/>
          <c:h val="0.22517438808521029"/>
        </c:manualLayout>
      </c:layout>
      <c:overlay val="0"/>
      <c:spPr>
        <a:solidFill>
          <a:schemeClr val="bg1"/>
        </a:solidFill>
      </c:spPr>
      <c:txPr>
        <a:bodyPr/>
        <a:lstStyle/>
        <a:p>
          <a:pPr>
            <a:defRPr sz="845" b="0" i="0" u="none" strike="noStrike" baseline="0">
              <a:solidFill>
                <a:srgbClr val="000000"/>
              </a:solidFill>
              <a:latin typeface="Calibri"/>
              <a:ea typeface="Calibri"/>
              <a:cs typeface="Calibri"/>
            </a:defRPr>
          </a:pPr>
          <a:endParaRPr lang="et-EE"/>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t-EE"/>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4631514352161313E-2"/>
          <c:y val="3.5756907198194431E-2"/>
          <c:w val="0.91616865506387191"/>
          <c:h val="0.72902198036056298"/>
        </c:manualLayout>
      </c:layout>
      <c:barChart>
        <c:barDir val="col"/>
        <c:grouping val="stacked"/>
        <c:varyColors val="0"/>
        <c:ser>
          <c:idx val="0"/>
          <c:order val="0"/>
          <c:tx>
            <c:strRef>
              <c:f>LV_EX!$A$4</c:f>
              <c:strCache>
                <c:ptCount val="1"/>
                <c:pt idx="0">
                  <c:v>Õli tööstus + Jahu ja tangainete tootmine (mln €)</c:v>
                </c:pt>
              </c:strCache>
            </c:strRef>
          </c:tx>
          <c:invertIfNegative val="0"/>
          <c:dLbls>
            <c:showLegendKey val="0"/>
            <c:showVal val="1"/>
            <c:showCatName val="0"/>
            <c:showSerName val="0"/>
            <c:showPercent val="0"/>
            <c:showBubbleSize val="0"/>
            <c:showLeaderLines val="0"/>
          </c:dLbls>
          <c:cat>
            <c:strRef>
              <c:f>LV_EX!$B$3:$F$3</c:f>
              <c:strCache>
                <c:ptCount val="5"/>
                <c:pt idx="0">
                  <c:v>2008</c:v>
                </c:pt>
                <c:pt idx="1">
                  <c:v>2009</c:v>
                </c:pt>
                <c:pt idx="2">
                  <c:v>2010</c:v>
                </c:pt>
                <c:pt idx="3">
                  <c:v>2011</c:v>
                </c:pt>
                <c:pt idx="4">
                  <c:v>2012</c:v>
                </c:pt>
              </c:strCache>
            </c:strRef>
          </c:cat>
          <c:val>
            <c:numRef>
              <c:f>LV_EX!$B$4:$F$4</c:f>
              <c:numCache>
                <c:formatCode>0.0</c:formatCode>
                <c:ptCount val="5"/>
                <c:pt idx="0">
                  <c:v>8.8710000000000289</c:v>
                </c:pt>
                <c:pt idx="1">
                  <c:v>8.2068000000000172</c:v>
                </c:pt>
                <c:pt idx="2">
                  <c:v>8.2133999999999947</c:v>
                </c:pt>
                <c:pt idx="3">
                  <c:v>8.834899999999994</c:v>
                </c:pt>
                <c:pt idx="4">
                  <c:v>7.4413999999999998</c:v>
                </c:pt>
              </c:numCache>
            </c:numRef>
          </c:val>
        </c:ser>
        <c:ser>
          <c:idx val="1"/>
          <c:order val="1"/>
          <c:tx>
            <c:strRef>
              <c:f>LV_EX!$A$5</c:f>
              <c:strCache>
                <c:ptCount val="1"/>
                <c:pt idx="0">
                  <c:v>Pagaritoodete tootmine (mln €)</c:v>
                </c:pt>
              </c:strCache>
            </c:strRef>
          </c:tx>
          <c:invertIfNegative val="0"/>
          <c:dLbls>
            <c:showLegendKey val="0"/>
            <c:showVal val="1"/>
            <c:showCatName val="0"/>
            <c:showSerName val="0"/>
            <c:showPercent val="0"/>
            <c:showBubbleSize val="0"/>
            <c:showLeaderLines val="0"/>
          </c:dLbls>
          <c:cat>
            <c:strRef>
              <c:f>LV_EX!$B$3:$F$3</c:f>
              <c:strCache>
                <c:ptCount val="5"/>
                <c:pt idx="0">
                  <c:v>2008</c:v>
                </c:pt>
                <c:pt idx="1">
                  <c:v>2009</c:v>
                </c:pt>
                <c:pt idx="2">
                  <c:v>2010</c:v>
                </c:pt>
                <c:pt idx="3">
                  <c:v>2011</c:v>
                </c:pt>
                <c:pt idx="4">
                  <c:v>2012</c:v>
                </c:pt>
              </c:strCache>
            </c:strRef>
          </c:cat>
          <c:val>
            <c:numRef>
              <c:f>LV_EX!$B$5:$F$5</c:f>
              <c:numCache>
                <c:formatCode>0.0</c:formatCode>
                <c:ptCount val="5"/>
                <c:pt idx="0">
                  <c:v>49.1477</c:v>
                </c:pt>
                <c:pt idx="1">
                  <c:v>45.490900000000003</c:v>
                </c:pt>
                <c:pt idx="2">
                  <c:v>38.8962</c:v>
                </c:pt>
                <c:pt idx="3">
                  <c:v>38.423900000000003</c:v>
                </c:pt>
                <c:pt idx="4">
                  <c:v>43.0015</c:v>
                </c:pt>
              </c:numCache>
            </c:numRef>
          </c:val>
        </c:ser>
        <c:ser>
          <c:idx val="2"/>
          <c:order val="2"/>
          <c:tx>
            <c:strRef>
              <c:f>LV_EX!$A$6</c:f>
              <c:strCache>
                <c:ptCount val="1"/>
                <c:pt idx="0">
                  <c:v>Loomasööda tootmine (mln €)</c:v>
                </c:pt>
              </c:strCache>
            </c:strRef>
          </c:tx>
          <c:invertIfNegative val="0"/>
          <c:dLbls>
            <c:showLegendKey val="0"/>
            <c:showVal val="1"/>
            <c:showCatName val="0"/>
            <c:showSerName val="0"/>
            <c:showPercent val="0"/>
            <c:showBubbleSize val="0"/>
            <c:showLeaderLines val="0"/>
          </c:dLbls>
          <c:cat>
            <c:strRef>
              <c:f>LV_EX!$B$3:$F$3</c:f>
              <c:strCache>
                <c:ptCount val="5"/>
                <c:pt idx="0">
                  <c:v>2008</c:v>
                </c:pt>
                <c:pt idx="1">
                  <c:v>2009</c:v>
                </c:pt>
                <c:pt idx="2">
                  <c:v>2010</c:v>
                </c:pt>
                <c:pt idx="3">
                  <c:v>2011</c:v>
                </c:pt>
                <c:pt idx="4">
                  <c:v>2012</c:v>
                </c:pt>
              </c:strCache>
            </c:strRef>
          </c:cat>
          <c:val>
            <c:numRef>
              <c:f>LV_EX!$B$6:$F$6</c:f>
              <c:numCache>
                <c:formatCode>0.0</c:formatCode>
                <c:ptCount val="5"/>
                <c:pt idx="0">
                  <c:v>7.7898999999999994</c:v>
                </c:pt>
                <c:pt idx="1">
                  <c:v>4.3903999999999996</c:v>
                </c:pt>
                <c:pt idx="2">
                  <c:v>5.0922000000000001</c:v>
                </c:pt>
                <c:pt idx="3">
                  <c:v>5.5522</c:v>
                </c:pt>
                <c:pt idx="4">
                  <c:v>6.5831</c:v>
                </c:pt>
              </c:numCache>
            </c:numRef>
          </c:val>
        </c:ser>
        <c:dLbls>
          <c:showLegendKey val="0"/>
          <c:showVal val="0"/>
          <c:showCatName val="0"/>
          <c:showSerName val="0"/>
          <c:showPercent val="0"/>
          <c:showBubbleSize val="0"/>
        </c:dLbls>
        <c:gapWidth val="51"/>
        <c:overlap val="100"/>
        <c:axId val="112788608"/>
        <c:axId val="112790144"/>
      </c:barChart>
      <c:lineChart>
        <c:grouping val="standard"/>
        <c:varyColors val="0"/>
        <c:ser>
          <c:idx val="3"/>
          <c:order val="3"/>
          <c:tx>
            <c:strRef>
              <c:f>LV_EX!$A$10</c:f>
              <c:strCache>
                <c:ptCount val="1"/>
                <c:pt idx="0">
                  <c:v>Teraviljatööstus kokku </c:v>
                </c:pt>
              </c:strCache>
            </c:strRef>
          </c:tx>
          <c:spPr>
            <a:ln>
              <a:noFill/>
            </a:ln>
          </c:spPr>
          <c:marker>
            <c:spPr>
              <a:noFill/>
              <a:ln>
                <a:noFill/>
              </a:ln>
            </c:spPr>
          </c:marker>
          <c:dLbls>
            <c:dLblPos val="t"/>
            <c:showLegendKey val="0"/>
            <c:showVal val="1"/>
            <c:showCatName val="0"/>
            <c:showSerName val="0"/>
            <c:showPercent val="0"/>
            <c:showBubbleSize val="0"/>
            <c:showLeaderLines val="0"/>
          </c:dLbls>
          <c:cat>
            <c:strRef>
              <c:f>LV_EX!$B$3:$E$3</c:f>
              <c:strCache>
                <c:ptCount val="4"/>
                <c:pt idx="0">
                  <c:v>2008</c:v>
                </c:pt>
                <c:pt idx="1">
                  <c:v>2009</c:v>
                </c:pt>
                <c:pt idx="2">
                  <c:v>2010</c:v>
                </c:pt>
                <c:pt idx="3">
                  <c:v>2011</c:v>
                </c:pt>
              </c:strCache>
            </c:strRef>
          </c:cat>
          <c:val>
            <c:numRef>
              <c:f>LV_EX!$B$10:$F$10</c:f>
              <c:numCache>
                <c:formatCode>0.0</c:formatCode>
                <c:ptCount val="5"/>
                <c:pt idx="0">
                  <c:v>65.808600000000027</c:v>
                </c:pt>
                <c:pt idx="1">
                  <c:v>58.088100000000018</c:v>
                </c:pt>
                <c:pt idx="2">
                  <c:v>52.201799999999992</c:v>
                </c:pt>
                <c:pt idx="3">
                  <c:v>52.810999999999993</c:v>
                </c:pt>
                <c:pt idx="4">
                  <c:v>57.026000000000003</c:v>
                </c:pt>
              </c:numCache>
            </c:numRef>
          </c:val>
          <c:smooth val="0"/>
        </c:ser>
        <c:ser>
          <c:idx val="4"/>
          <c:order val="4"/>
          <c:tx>
            <c:strRef>
              <c:f>LV_EX!$A$11</c:f>
              <c:strCache>
                <c:ptCount val="1"/>
                <c:pt idx="0">
                  <c:v>Lisandväärtuse osatähtsus toiduainetööstuses (%)</c:v>
                </c:pt>
              </c:strCache>
            </c:strRef>
          </c:tx>
          <c:marker>
            <c:symbol val="circle"/>
            <c:size val="20"/>
          </c:marker>
          <c:dLbls>
            <c:dLblPos val="ctr"/>
            <c:showLegendKey val="0"/>
            <c:showVal val="1"/>
            <c:showCatName val="0"/>
            <c:showSerName val="0"/>
            <c:showPercent val="0"/>
            <c:showBubbleSize val="0"/>
            <c:showLeaderLines val="0"/>
          </c:dLbls>
          <c:cat>
            <c:strRef>
              <c:f>LV_EX!$B$3:$E$3</c:f>
              <c:strCache>
                <c:ptCount val="4"/>
                <c:pt idx="0">
                  <c:v>2008</c:v>
                </c:pt>
                <c:pt idx="1">
                  <c:v>2009</c:v>
                </c:pt>
                <c:pt idx="2">
                  <c:v>2010</c:v>
                </c:pt>
                <c:pt idx="3">
                  <c:v>2011</c:v>
                </c:pt>
              </c:strCache>
            </c:strRef>
          </c:cat>
          <c:val>
            <c:numRef>
              <c:f>LV_EX!$B$11:$F$11</c:f>
              <c:numCache>
                <c:formatCode>0.0</c:formatCode>
                <c:ptCount val="5"/>
                <c:pt idx="0">
                  <c:v>22.119192076045131</c:v>
                </c:pt>
                <c:pt idx="1">
                  <c:v>20.691177020608155</c:v>
                </c:pt>
                <c:pt idx="2">
                  <c:v>19.677651971636507</c:v>
                </c:pt>
                <c:pt idx="3">
                  <c:v>19.267512728320806</c:v>
                </c:pt>
                <c:pt idx="4">
                  <c:v>18.591346707131681</c:v>
                </c:pt>
              </c:numCache>
            </c:numRef>
          </c:val>
          <c:smooth val="0"/>
        </c:ser>
        <c:dLbls>
          <c:showLegendKey val="0"/>
          <c:showVal val="0"/>
          <c:showCatName val="0"/>
          <c:showSerName val="0"/>
          <c:showPercent val="0"/>
          <c:showBubbleSize val="0"/>
        </c:dLbls>
        <c:marker val="1"/>
        <c:smooth val="0"/>
        <c:axId val="112788608"/>
        <c:axId val="112790144"/>
      </c:lineChart>
      <c:catAx>
        <c:axId val="112788608"/>
        <c:scaling>
          <c:orientation val="minMax"/>
        </c:scaling>
        <c:delete val="0"/>
        <c:axPos val="b"/>
        <c:majorTickMark val="out"/>
        <c:minorTickMark val="none"/>
        <c:tickLblPos val="nextTo"/>
        <c:crossAx val="112790144"/>
        <c:crosses val="autoZero"/>
        <c:auto val="1"/>
        <c:lblAlgn val="ctr"/>
        <c:lblOffset val="100"/>
        <c:noMultiLvlLbl val="0"/>
      </c:catAx>
      <c:valAx>
        <c:axId val="112790144"/>
        <c:scaling>
          <c:orientation val="minMax"/>
        </c:scaling>
        <c:delete val="0"/>
        <c:axPos val="l"/>
        <c:majorGridlines/>
        <c:numFmt formatCode="General" sourceLinked="0"/>
        <c:majorTickMark val="out"/>
        <c:minorTickMark val="none"/>
        <c:tickLblPos val="nextTo"/>
        <c:crossAx val="112788608"/>
        <c:crosses val="autoZero"/>
        <c:crossBetween val="between"/>
      </c:valAx>
      <c:spPr>
        <a:ln>
          <a:solidFill>
            <a:schemeClr val="bg1">
              <a:lumMod val="75000"/>
            </a:schemeClr>
          </a:solidFill>
        </a:ln>
      </c:spPr>
    </c:plotArea>
    <c:legend>
      <c:legendPos val="r"/>
      <c:legendEntry>
        <c:idx val="3"/>
        <c:delete val="1"/>
      </c:legendEntry>
      <c:layout>
        <c:manualLayout>
          <c:xMode val="edge"/>
          <c:yMode val="edge"/>
          <c:x val="0"/>
          <c:y val="0.85702587176602929"/>
          <c:w val="0.99774007968192746"/>
          <c:h val="0.12899212598425194"/>
        </c:manualLayout>
      </c:layout>
      <c:overlay val="0"/>
    </c:legend>
    <c:plotVisOnly val="1"/>
    <c:dispBlanksAs val="gap"/>
    <c:showDLblsOverMax val="0"/>
  </c:chart>
  <c:spPr>
    <a:ln>
      <a:solidFill>
        <a:schemeClr val="bg1"/>
      </a:solidFill>
    </a:ln>
  </c:spPr>
  <c:txPr>
    <a:bodyPr/>
    <a:lstStyle/>
    <a:p>
      <a:pPr>
        <a:defRPr sz="1000"/>
      </a:pPr>
      <a:endParaRPr lang="et-EE"/>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940376799572798E-2"/>
          <c:y val="0.11566144637824331"/>
          <c:w val="0.872470144303506"/>
          <c:h val="0.69000629533854385"/>
        </c:manualLayout>
      </c:layout>
      <c:barChart>
        <c:barDir val="col"/>
        <c:grouping val="stacked"/>
        <c:varyColors val="0"/>
        <c:ser>
          <c:idx val="0"/>
          <c:order val="0"/>
          <c:tx>
            <c:strRef>
              <c:f>Loomasööt!$A$5</c:f>
              <c:strCache>
                <c:ptCount val="1"/>
                <c:pt idx="0">
                  <c:v>Jahu ja tangainete tootmine</c:v>
                </c:pt>
              </c:strCache>
            </c:strRef>
          </c:tx>
          <c:invertIfNegative val="0"/>
          <c:dLbls>
            <c:showLegendKey val="0"/>
            <c:showVal val="1"/>
            <c:showCatName val="0"/>
            <c:showSerName val="0"/>
            <c:showPercent val="0"/>
            <c:showBubbleSize val="0"/>
            <c:showLeaderLines val="0"/>
          </c:dLbls>
          <c:cat>
            <c:numRef>
              <c:f>Loomasööt!$B$3:$F$3</c:f>
              <c:numCache>
                <c:formatCode>General</c:formatCode>
                <c:ptCount val="5"/>
                <c:pt idx="0">
                  <c:v>2008</c:v>
                </c:pt>
                <c:pt idx="1">
                  <c:v>2009</c:v>
                </c:pt>
                <c:pt idx="2">
                  <c:v>2010</c:v>
                </c:pt>
                <c:pt idx="3">
                  <c:v>2011</c:v>
                </c:pt>
                <c:pt idx="4">
                  <c:v>2012</c:v>
                </c:pt>
              </c:numCache>
            </c:numRef>
          </c:cat>
          <c:val>
            <c:numRef>
              <c:f>Loomasööt!$B$5:$F$5</c:f>
              <c:numCache>
                <c:formatCode>0</c:formatCode>
                <c:ptCount val="5"/>
                <c:pt idx="0">
                  <c:v>37.386158015159843</c:v>
                </c:pt>
                <c:pt idx="1">
                  <c:v>32.40957096110337</c:v>
                </c:pt>
                <c:pt idx="2">
                  <c:v>37.415468000000004</c:v>
                </c:pt>
                <c:pt idx="3">
                  <c:v>52.977792000000001</c:v>
                </c:pt>
                <c:pt idx="4">
                  <c:v>78.710706000000002</c:v>
                </c:pt>
              </c:numCache>
            </c:numRef>
          </c:val>
        </c:ser>
        <c:ser>
          <c:idx val="1"/>
          <c:order val="1"/>
          <c:tx>
            <c:strRef>
              <c:f>Loomasööt!$A$6</c:f>
              <c:strCache>
                <c:ptCount val="1"/>
                <c:pt idx="0">
                  <c:v>Pagaritoodete tootmine</c:v>
                </c:pt>
              </c:strCache>
            </c:strRef>
          </c:tx>
          <c:invertIfNegative val="0"/>
          <c:dLbls>
            <c:showLegendKey val="0"/>
            <c:showVal val="1"/>
            <c:showCatName val="0"/>
            <c:showSerName val="0"/>
            <c:showPercent val="0"/>
            <c:showBubbleSize val="0"/>
            <c:showLeaderLines val="0"/>
          </c:dLbls>
          <c:cat>
            <c:numRef>
              <c:f>Loomasööt!$B$3:$F$3</c:f>
              <c:numCache>
                <c:formatCode>General</c:formatCode>
                <c:ptCount val="5"/>
                <c:pt idx="0">
                  <c:v>2008</c:v>
                </c:pt>
                <c:pt idx="1">
                  <c:v>2009</c:v>
                </c:pt>
                <c:pt idx="2">
                  <c:v>2010</c:v>
                </c:pt>
                <c:pt idx="3">
                  <c:v>2011</c:v>
                </c:pt>
                <c:pt idx="4">
                  <c:v>2012</c:v>
                </c:pt>
              </c:numCache>
            </c:numRef>
          </c:cat>
          <c:val>
            <c:numRef>
              <c:f>Loomasööt!$B$6:$F$6</c:f>
              <c:numCache>
                <c:formatCode>0</c:formatCode>
                <c:ptCount val="5"/>
                <c:pt idx="0">
                  <c:v>144.00550000000001</c:v>
                </c:pt>
                <c:pt idx="1">
                  <c:v>128.73220000000001</c:v>
                </c:pt>
                <c:pt idx="2">
                  <c:v>125.8562</c:v>
                </c:pt>
                <c:pt idx="3">
                  <c:v>142.79379999999998</c:v>
                </c:pt>
                <c:pt idx="4">
                  <c:v>152.1526351</c:v>
                </c:pt>
              </c:numCache>
            </c:numRef>
          </c:val>
        </c:ser>
        <c:ser>
          <c:idx val="2"/>
          <c:order val="2"/>
          <c:tx>
            <c:strRef>
              <c:f>Loomasööt!$A$7</c:f>
              <c:strCache>
                <c:ptCount val="1"/>
                <c:pt idx="0">
                  <c:v>Loomasööda tootmine</c:v>
                </c:pt>
              </c:strCache>
            </c:strRef>
          </c:tx>
          <c:invertIfNegative val="0"/>
          <c:dLbls>
            <c:showLegendKey val="0"/>
            <c:showVal val="1"/>
            <c:showCatName val="0"/>
            <c:showSerName val="0"/>
            <c:showPercent val="0"/>
            <c:showBubbleSize val="0"/>
            <c:showLeaderLines val="0"/>
          </c:dLbls>
          <c:cat>
            <c:numRef>
              <c:f>Loomasööt!$B$3:$F$3</c:f>
              <c:numCache>
                <c:formatCode>General</c:formatCode>
                <c:ptCount val="5"/>
                <c:pt idx="0">
                  <c:v>2008</c:v>
                </c:pt>
                <c:pt idx="1">
                  <c:v>2009</c:v>
                </c:pt>
                <c:pt idx="2">
                  <c:v>2010</c:v>
                </c:pt>
                <c:pt idx="3">
                  <c:v>2011</c:v>
                </c:pt>
                <c:pt idx="4">
                  <c:v>2012</c:v>
                </c:pt>
              </c:numCache>
            </c:numRef>
          </c:cat>
          <c:val>
            <c:numRef>
              <c:f>Loomasööt!$B$7:$F$7</c:f>
              <c:numCache>
                <c:formatCode>0</c:formatCode>
                <c:ptCount val="5"/>
                <c:pt idx="0">
                  <c:v>66.974999999999994</c:v>
                </c:pt>
                <c:pt idx="1">
                  <c:v>42.986899999999999</c:v>
                </c:pt>
                <c:pt idx="2">
                  <c:v>61.694900000000004</c:v>
                </c:pt>
                <c:pt idx="3">
                  <c:v>71.686800000000005</c:v>
                </c:pt>
                <c:pt idx="4">
                  <c:v>86.266006300000015</c:v>
                </c:pt>
              </c:numCache>
            </c:numRef>
          </c:val>
        </c:ser>
        <c:ser>
          <c:idx val="3"/>
          <c:order val="3"/>
          <c:tx>
            <c:strRef>
              <c:f>Loomasööt!$A$8</c:f>
              <c:strCache>
                <c:ptCount val="1"/>
                <c:pt idx="0">
                  <c:v>Õlitööstus</c:v>
                </c:pt>
              </c:strCache>
            </c:strRef>
          </c:tx>
          <c:invertIfNegative val="0"/>
          <c:dLbls>
            <c:showLegendKey val="0"/>
            <c:showVal val="1"/>
            <c:showCatName val="0"/>
            <c:showSerName val="0"/>
            <c:showPercent val="0"/>
            <c:showBubbleSize val="0"/>
            <c:showLeaderLines val="0"/>
          </c:dLbls>
          <c:cat>
            <c:numRef>
              <c:f>Loomasööt!$B$3:$F$3</c:f>
              <c:numCache>
                <c:formatCode>General</c:formatCode>
                <c:ptCount val="5"/>
                <c:pt idx="0">
                  <c:v>2008</c:v>
                </c:pt>
                <c:pt idx="1">
                  <c:v>2009</c:v>
                </c:pt>
                <c:pt idx="2">
                  <c:v>2010</c:v>
                </c:pt>
                <c:pt idx="3">
                  <c:v>2011</c:v>
                </c:pt>
                <c:pt idx="4">
                  <c:v>2012</c:v>
                </c:pt>
              </c:numCache>
            </c:numRef>
          </c:cat>
          <c:val>
            <c:numRef>
              <c:f>Loomasööt!$B$8:$F$8</c:f>
              <c:numCache>
                <c:formatCode>0</c:formatCode>
                <c:ptCount val="5"/>
                <c:pt idx="0">
                  <c:v>34.969285467769353</c:v>
                </c:pt>
                <c:pt idx="1">
                  <c:v>32.227896156353459</c:v>
                </c:pt>
                <c:pt idx="2">
                  <c:v>29.458284866999861</c:v>
                </c:pt>
                <c:pt idx="3">
                  <c:v>23.184221999999998</c:v>
                </c:pt>
                <c:pt idx="4">
                  <c:v>10.991925999999999</c:v>
                </c:pt>
              </c:numCache>
            </c:numRef>
          </c:val>
        </c:ser>
        <c:dLbls>
          <c:showLegendKey val="0"/>
          <c:showVal val="0"/>
          <c:showCatName val="0"/>
          <c:showSerName val="0"/>
          <c:showPercent val="0"/>
          <c:showBubbleSize val="0"/>
        </c:dLbls>
        <c:gapWidth val="74"/>
        <c:overlap val="100"/>
        <c:axId val="112808320"/>
        <c:axId val="112809856"/>
      </c:barChart>
      <c:lineChart>
        <c:grouping val="standard"/>
        <c:varyColors val="0"/>
        <c:ser>
          <c:idx val="4"/>
          <c:order val="4"/>
          <c:tx>
            <c:strRef>
              <c:f>Loomasööt!$A$10</c:f>
              <c:strCache>
                <c:ptCount val="1"/>
                <c:pt idx="0">
                  <c:v>KOKKU teraviljatööstus</c:v>
                </c:pt>
              </c:strCache>
            </c:strRef>
          </c:tx>
          <c:spPr>
            <a:ln>
              <a:noFill/>
            </a:ln>
          </c:spPr>
          <c:marker>
            <c:spPr>
              <a:noFill/>
              <a:ln>
                <a:noFill/>
              </a:ln>
            </c:spPr>
          </c:marker>
          <c:dLbls>
            <c:dLbl>
              <c:idx val="0"/>
              <c:layout>
                <c:manualLayout>
                  <c:x val="-3.447726943403439E-2"/>
                  <c:y val="-2.5487270071855896E-2"/>
                </c:manualLayout>
              </c:layout>
              <c:dLblPos val="r"/>
              <c:showLegendKey val="0"/>
              <c:showVal val="1"/>
              <c:showCatName val="0"/>
              <c:showSerName val="0"/>
              <c:showPercent val="0"/>
              <c:showBubbleSize val="0"/>
            </c:dLbl>
            <c:dLblPos val="t"/>
            <c:showLegendKey val="0"/>
            <c:showVal val="1"/>
            <c:showCatName val="0"/>
            <c:showSerName val="0"/>
            <c:showPercent val="0"/>
            <c:showBubbleSize val="0"/>
            <c:showLeaderLines val="0"/>
          </c:dLbls>
          <c:cat>
            <c:numRef>
              <c:f>Loomasööt!$B$3:$F$3</c:f>
              <c:numCache>
                <c:formatCode>General</c:formatCode>
                <c:ptCount val="5"/>
                <c:pt idx="0">
                  <c:v>2008</c:v>
                </c:pt>
                <c:pt idx="1">
                  <c:v>2009</c:v>
                </c:pt>
                <c:pt idx="2">
                  <c:v>2010</c:v>
                </c:pt>
                <c:pt idx="3">
                  <c:v>2011</c:v>
                </c:pt>
                <c:pt idx="4">
                  <c:v>2012</c:v>
                </c:pt>
              </c:numCache>
            </c:numRef>
          </c:cat>
          <c:val>
            <c:numRef>
              <c:f>Loomasööt!$B$10:$F$10</c:f>
              <c:numCache>
                <c:formatCode>0</c:formatCode>
                <c:ptCount val="5"/>
                <c:pt idx="0">
                  <c:v>283.33594348292922</c:v>
                </c:pt>
                <c:pt idx="1">
                  <c:v>236.35656711745682</c:v>
                </c:pt>
                <c:pt idx="2">
                  <c:v>254.42485286699986</c:v>
                </c:pt>
                <c:pt idx="3">
                  <c:v>290.64261399999998</c:v>
                </c:pt>
                <c:pt idx="4">
                  <c:v>328.12127340000001</c:v>
                </c:pt>
              </c:numCache>
            </c:numRef>
          </c:val>
          <c:smooth val="0"/>
        </c:ser>
        <c:dLbls>
          <c:showLegendKey val="0"/>
          <c:showVal val="0"/>
          <c:showCatName val="0"/>
          <c:showSerName val="0"/>
          <c:showPercent val="0"/>
          <c:showBubbleSize val="0"/>
        </c:dLbls>
        <c:marker val="1"/>
        <c:smooth val="0"/>
        <c:axId val="112808320"/>
        <c:axId val="112809856"/>
      </c:lineChart>
      <c:catAx>
        <c:axId val="112808320"/>
        <c:scaling>
          <c:orientation val="minMax"/>
        </c:scaling>
        <c:delete val="0"/>
        <c:axPos val="b"/>
        <c:numFmt formatCode="General" sourceLinked="1"/>
        <c:majorTickMark val="out"/>
        <c:minorTickMark val="none"/>
        <c:tickLblPos val="nextTo"/>
        <c:crossAx val="112809856"/>
        <c:crosses val="autoZero"/>
        <c:auto val="1"/>
        <c:lblAlgn val="ctr"/>
        <c:lblOffset val="100"/>
        <c:noMultiLvlLbl val="0"/>
      </c:catAx>
      <c:valAx>
        <c:axId val="112809856"/>
        <c:scaling>
          <c:orientation val="minMax"/>
        </c:scaling>
        <c:delete val="0"/>
        <c:axPos val="l"/>
        <c:majorGridlines/>
        <c:numFmt formatCode="General" sourceLinked="0"/>
        <c:majorTickMark val="out"/>
        <c:minorTickMark val="none"/>
        <c:tickLblPos val="nextTo"/>
        <c:crossAx val="112808320"/>
        <c:crosses val="autoZero"/>
        <c:crossBetween val="between"/>
      </c:valAx>
      <c:spPr>
        <a:ln>
          <a:solidFill>
            <a:schemeClr val="bg1">
              <a:lumMod val="75000"/>
            </a:schemeClr>
          </a:solidFill>
        </a:ln>
      </c:spPr>
    </c:plotArea>
    <c:legend>
      <c:legendPos val="r"/>
      <c:legendEntry>
        <c:idx val="4"/>
        <c:delete val="1"/>
      </c:legendEntry>
      <c:layout>
        <c:manualLayout>
          <c:xMode val="edge"/>
          <c:yMode val="edge"/>
          <c:x val="3.0835518352261733E-2"/>
          <c:y val="0.89198715430032338"/>
          <c:w val="0.93533887082269285"/>
          <c:h val="8.2534825312141666E-2"/>
        </c:manualLayout>
      </c:layout>
      <c:overlay val="0"/>
      <c:spPr>
        <a:solidFill>
          <a:schemeClr val="bg1"/>
        </a:solidFill>
        <a:ln>
          <a:prstDash val="lgDashDot"/>
        </a:ln>
      </c:spPr>
    </c:legend>
    <c:plotVisOnly val="1"/>
    <c:dispBlanksAs val="gap"/>
    <c:showDLblsOverMax val="0"/>
  </c:chart>
  <c:spPr>
    <a:ln>
      <a:solidFill>
        <a:schemeClr val="bg1"/>
      </a:solidFill>
    </a:ln>
  </c:spPr>
  <c:txPr>
    <a:bodyPr/>
    <a:lstStyle/>
    <a:p>
      <a:pPr>
        <a:defRPr sz="1000"/>
      </a:pPr>
      <a:endParaRPr lang="et-EE"/>
    </a:p>
  </c:txPr>
  <c:externalData r:id="rId2">
    <c:autoUpdate val="0"/>
  </c:externalData>
  <c:userShapes r:id="rId3"/>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842676381870178E-2"/>
          <c:y val="5.7672496338975018E-2"/>
          <c:w val="0.93426677635444821"/>
          <c:h val="0.64421441701809745"/>
        </c:manualLayout>
      </c:layout>
      <c:barChart>
        <c:barDir val="col"/>
        <c:grouping val="clustered"/>
        <c:varyColors val="0"/>
        <c:ser>
          <c:idx val="0"/>
          <c:order val="0"/>
          <c:tx>
            <c:strRef>
              <c:f>'Maj näit'!$H$100</c:f>
              <c:strCache>
                <c:ptCount val="1"/>
                <c:pt idx="0">
                  <c:v>2011</c:v>
                </c:pt>
              </c:strCache>
            </c:strRef>
          </c:tx>
          <c:invertIfNegative val="0"/>
          <c:dPt>
            <c:idx val="11"/>
            <c:invertIfNegative val="0"/>
            <c:bubble3D val="0"/>
            <c:spPr>
              <a:solidFill>
                <a:schemeClr val="tx2">
                  <a:lumMod val="75000"/>
                </a:schemeClr>
              </a:solidFill>
            </c:spPr>
          </c:dPt>
          <c:dPt>
            <c:idx val="18"/>
            <c:invertIfNegative val="0"/>
            <c:bubble3D val="0"/>
            <c:spPr>
              <a:solidFill>
                <a:schemeClr val="accent2">
                  <a:lumMod val="75000"/>
                </a:schemeClr>
              </a:solidFill>
            </c:spPr>
          </c:dPt>
          <c:dLbls>
            <c:showLegendKey val="0"/>
            <c:showVal val="1"/>
            <c:showCatName val="0"/>
            <c:showSerName val="0"/>
            <c:showPercent val="0"/>
            <c:showBubbleSize val="0"/>
            <c:showLeaderLines val="0"/>
          </c:dLbls>
          <c:cat>
            <c:strRef>
              <c:f>'Maj näit'!$A$105:$A$130</c:f>
              <c:strCache>
                <c:ptCount val="26"/>
                <c:pt idx="0">
                  <c:v>Iirimaa</c:v>
                </c:pt>
                <c:pt idx="1">
                  <c:v>Rootsi</c:v>
                </c:pt>
                <c:pt idx="2">
                  <c:v>Itaalia</c:v>
                </c:pt>
                <c:pt idx="3">
                  <c:v>Belgia</c:v>
                </c:pt>
                <c:pt idx="4">
                  <c:v>Luksemburg</c:v>
                </c:pt>
                <c:pt idx="5">
                  <c:v>Soome</c:v>
                </c:pt>
                <c:pt idx="6">
                  <c:v>Ühendkuningriik</c:v>
                </c:pt>
                <c:pt idx="7">
                  <c:v>Prantsusmaa</c:v>
                </c:pt>
                <c:pt idx="8">
                  <c:v>Holland</c:v>
                </c:pt>
                <c:pt idx="9">
                  <c:v>Austria</c:v>
                </c:pt>
                <c:pt idx="10">
                  <c:v>Hispaania</c:v>
                </c:pt>
                <c:pt idx="11">
                  <c:v>EL 28</c:v>
                </c:pt>
                <c:pt idx="12">
                  <c:v>Saksamaa</c:v>
                </c:pt>
                <c:pt idx="13">
                  <c:v>Sloveenia</c:v>
                </c:pt>
                <c:pt idx="14">
                  <c:v>Küpros</c:v>
                </c:pt>
                <c:pt idx="15">
                  <c:v>Slovakkia</c:v>
                </c:pt>
                <c:pt idx="16">
                  <c:v>Tšehhi</c:v>
                </c:pt>
                <c:pt idx="17">
                  <c:v>Portugal</c:v>
                </c:pt>
                <c:pt idx="18">
                  <c:v>Eesti</c:v>
                </c:pt>
                <c:pt idx="19">
                  <c:v>Poola</c:v>
                </c:pt>
                <c:pt idx="20">
                  <c:v>Horvaatia</c:v>
                </c:pt>
                <c:pt idx="21">
                  <c:v>Ungari</c:v>
                </c:pt>
                <c:pt idx="22">
                  <c:v>Läti</c:v>
                </c:pt>
                <c:pt idx="23">
                  <c:v>Leedu</c:v>
                </c:pt>
                <c:pt idx="24">
                  <c:v>Rumeenia</c:v>
                </c:pt>
                <c:pt idx="25">
                  <c:v>Bulgaaria</c:v>
                </c:pt>
              </c:strCache>
            </c:strRef>
          </c:cat>
          <c:val>
            <c:numRef>
              <c:f>'Maj näit'!$H$105:$H$130</c:f>
              <c:numCache>
                <c:formatCode>#,##0</c:formatCode>
                <c:ptCount val="26"/>
                <c:pt idx="0">
                  <c:v>55.6</c:v>
                </c:pt>
                <c:pt idx="1">
                  <c:v>47.8</c:v>
                </c:pt>
                <c:pt idx="2">
                  <c:v>45.6</c:v>
                </c:pt>
                <c:pt idx="3">
                  <c:v>45.5</c:v>
                </c:pt>
                <c:pt idx="4">
                  <c:v>42.2</c:v>
                </c:pt>
                <c:pt idx="5">
                  <c:v>41.8</c:v>
                </c:pt>
                <c:pt idx="6">
                  <c:v>40.200000000000003</c:v>
                </c:pt>
                <c:pt idx="7">
                  <c:v>39.9</c:v>
                </c:pt>
                <c:pt idx="8">
                  <c:v>39.299999999999997</c:v>
                </c:pt>
                <c:pt idx="9">
                  <c:v>36.6</c:v>
                </c:pt>
                <c:pt idx="10">
                  <c:v>34.9</c:v>
                </c:pt>
                <c:pt idx="11">
                  <c:v>28.9</c:v>
                </c:pt>
                <c:pt idx="12">
                  <c:v>25.6</c:v>
                </c:pt>
                <c:pt idx="13">
                  <c:v>23.4</c:v>
                </c:pt>
                <c:pt idx="14">
                  <c:v>20.5</c:v>
                </c:pt>
                <c:pt idx="15">
                  <c:v>16.600000000000001</c:v>
                </c:pt>
                <c:pt idx="16">
                  <c:v>14.6</c:v>
                </c:pt>
                <c:pt idx="17">
                  <c:v>14.2</c:v>
                </c:pt>
                <c:pt idx="18">
                  <c:v>13.4</c:v>
                </c:pt>
                <c:pt idx="19">
                  <c:v>11.9</c:v>
                </c:pt>
                <c:pt idx="20">
                  <c:v>10.4</c:v>
                </c:pt>
                <c:pt idx="21">
                  <c:v>9.6</c:v>
                </c:pt>
                <c:pt idx="22">
                  <c:v>8.8000000000000007</c:v>
                </c:pt>
                <c:pt idx="23">
                  <c:v>7.1</c:v>
                </c:pt>
                <c:pt idx="24">
                  <c:v>4.8</c:v>
                </c:pt>
                <c:pt idx="25" formatCode="#,##0.0">
                  <c:v>4.5999999999999996</c:v>
                </c:pt>
              </c:numCache>
            </c:numRef>
          </c:val>
        </c:ser>
        <c:dLbls>
          <c:showLegendKey val="0"/>
          <c:showVal val="0"/>
          <c:showCatName val="0"/>
          <c:showSerName val="0"/>
          <c:showPercent val="0"/>
          <c:showBubbleSize val="0"/>
        </c:dLbls>
        <c:gapWidth val="51"/>
        <c:axId val="113098112"/>
        <c:axId val="114226304"/>
      </c:barChart>
      <c:catAx>
        <c:axId val="113098112"/>
        <c:scaling>
          <c:orientation val="minMax"/>
        </c:scaling>
        <c:delete val="0"/>
        <c:axPos val="b"/>
        <c:majorTickMark val="out"/>
        <c:minorTickMark val="none"/>
        <c:tickLblPos val="nextTo"/>
        <c:crossAx val="114226304"/>
        <c:crosses val="autoZero"/>
        <c:auto val="1"/>
        <c:lblAlgn val="ctr"/>
        <c:lblOffset val="100"/>
        <c:noMultiLvlLbl val="0"/>
      </c:catAx>
      <c:valAx>
        <c:axId val="114226304"/>
        <c:scaling>
          <c:orientation val="minMax"/>
        </c:scaling>
        <c:delete val="0"/>
        <c:axPos val="l"/>
        <c:majorGridlines/>
        <c:numFmt formatCode="#,##0" sourceLinked="1"/>
        <c:majorTickMark val="out"/>
        <c:minorTickMark val="none"/>
        <c:tickLblPos val="nextTo"/>
        <c:crossAx val="113098112"/>
        <c:crosses val="autoZero"/>
        <c:crossBetween val="between"/>
      </c:valAx>
    </c:plotArea>
    <c:plotVisOnly val="1"/>
    <c:dispBlanksAs val="gap"/>
    <c:showDLblsOverMax val="0"/>
  </c:chart>
  <c:spPr>
    <a:ln>
      <a:solidFill>
        <a:schemeClr val="bg1"/>
      </a:solidFill>
    </a:ln>
  </c:spPr>
  <c:txPr>
    <a:bodyPr/>
    <a:lstStyle/>
    <a:p>
      <a:pPr>
        <a:defRPr sz="1000"/>
      </a:pPr>
      <a:endParaRPr lang="et-EE"/>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4757545403442928E-2"/>
          <c:y val="6.3319564562626399E-2"/>
          <c:w val="0.94877925283494158"/>
          <c:h val="0.83443053224904273"/>
        </c:manualLayout>
      </c:layout>
      <c:barChart>
        <c:barDir val="col"/>
        <c:grouping val="clustered"/>
        <c:varyColors val="0"/>
        <c:ser>
          <c:idx val="0"/>
          <c:order val="0"/>
          <c:tx>
            <c:strRef>
              <c:f>'Nisu-Oder'!$B$5</c:f>
              <c:strCache>
                <c:ptCount val="1"/>
                <c:pt idx="0">
                  <c:v>Nisu EL</c:v>
                </c:pt>
              </c:strCache>
            </c:strRef>
          </c:tx>
          <c:spPr>
            <a:solidFill>
              <a:srgbClr val="0070C0"/>
            </a:solidFill>
          </c:spPr>
          <c:invertIfNegative val="0"/>
          <c:dLbls>
            <c:showLegendKey val="0"/>
            <c:showVal val="1"/>
            <c:showCatName val="0"/>
            <c:showSerName val="0"/>
            <c:showPercent val="0"/>
            <c:showBubbleSize val="0"/>
            <c:showLeaderLines val="0"/>
          </c:dLbls>
          <c:cat>
            <c:numRef>
              <c:f>'Nisu-Oder'!$C$4:$L$4</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'Nisu-Oder'!$C$5:$L$5</c:f>
              <c:numCache>
                <c:formatCode>0.0</c:formatCode>
                <c:ptCount val="10"/>
                <c:pt idx="0">
                  <c:v>5.9</c:v>
                </c:pt>
                <c:pt idx="1">
                  <c:v>5.4</c:v>
                </c:pt>
                <c:pt idx="2">
                  <c:v>5.4</c:v>
                </c:pt>
                <c:pt idx="3">
                  <c:v>4.8436000000000003</c:v>
                </c:pt>
                <c:pt idx="4">
                  <c:v>5.6748000000000003</c:v>
                </c:pt>
                <c:pt idx="5">
                  <c:v>5.4016000000000002</c:v>
                </c:pt>
                <c:pt idx="6">
                  <c:v>5.2573999999999996</c:v>
                </c:pt>
                <c:pt idx="7">
                  <c:v>5.2</c:v>
                </c:pt>
                <c:pt idx="8">
                  <c:v>5.4</c:v>
                </c:pt>
                <c:pt idx="9">
                  <c:v>5.6</c:v>
                </c:pt>
              </c:numCache>
            </c:numRef>
          </c:val>
        </c:ser>
        <c:ser>
          <c:idx val="2"/>
          <c:order val="2"/>
          <c:tx>
            <c:strRef>
              <c:f>'Nisu-Oder'!$B$7</c:f>
              <c:strCache>
                <c:ptCount val="1"/>
                <c:pt idx="0">
                  <c:v>Oder EL</c:v>
                </c:pt>
              </c:strCache>
            </c:strRef>
          </c:tx>
          <c:spPr>
            <a:solidFill>
              <a:srgbClr val="FF0000"/>
            </a:solidFill>
          </c:spPr>
          <c:invertIfNegative val="0"/>
          <c:dLbls>
            <c:showLegendKey val="0"/>
            <c:showVal val="1"/>
            <c:showCatName val="0"/>
            <c:showSerName val="0"/>
            <c:showPercent val="0"/>
            <c:showBubbleSize val="0"/>
            <c:showLeaderLines val="0"/>
          </c:dLbls>
          <c:cat>
            <c:numRef>
              <c:f>'Nisu-Oder'!$C$4:$L$4</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'Nisu-Oder'!$C$7:$L$7</c:f>
              <c:numCache>
                <c:formatCode>0.0</c:formatCode>
                <c:ptCount val="10"/>
                <c:pt idx="0">
                  <c:v>4.6916000000000002</c:v>
                </c:pt>
                <c:pt idx="1">
                  <c:v>3.9643000000000002</c:v>
                </c:pt>
                <c:pt idx="2">
                  <c:v>4.0723000000000003</c:v>
                </c:pt>
                <c:pt idx="3">
                  <c:v>4.2321999999999997</c:v>
                </c:pt>
                <c:pt idx="4">
                  <c:v>4.5247000000000002</c:v>
                </c:pt>
                <c:pt idx="5">
                  <c:v>4.4714999999999998</c:v>
                </c:pt>
                <c:pt idx="6">
                  <c:v>4.2506000000000004</c:v>
                </c:pt>
                <c:pt idx="7">
                  <c:v>4.3620999999999999</c:v>
                </c:pt>
                <c:pt idx="8">
                  <c:v>4.9000000000000004</c:v>
                </c:pt>
                <c:pt idx="9">
                  <c:v>4.9000000000000004</c:v>
                </c:pt>
              </c:numCache>
            </c:numRef>
          </c:val>
        </c:ser>
        <c:dLbls>
          <c:showLegendKey val="0"/>
          <c:showVal val="0"/>
          <c:showCatName val="0"/>
          <c:showSerName val="0"/>
          <c:showPercent val="0"/>
          <c:showBubbleSize val="0"/>
        </c:dLbls>
        <c:gapWidth val="150"/>
        <c:axId val="79004416"/>
        <c:axId val="79005952"/>
      </c:barChart>
      <c:lineChart>
        <c:grouping val="standard"/>
        <c:varyColors val="0"/>
        <c:ser>
          <c:idx val="1"/>
          <c:order val="1"/>
          <c:tx>
            <c:strRef>
              <c:f>'Nisu-Oder'!$B$6</c:f>
              <c:strCache>
                <c:ptCount val="1"/>
                <c:pt idx="0">
                  <c:v>Nisu Eesti</c:v>
                </c:pt>
              </c:strCache>
            </c:strRef>
          </c:tx>
          <c:spPr>
            <a:ln w="63500">
              <a:solidFill>
                <a:srgbClr val="FFFF00"/>
              </a:solidFill>
            </a:ln>
          </c:spPr>
          <c:marker>
            <c:symbol val="none"/>
          </c:marker>
          <c:dLbls>
            <c:showLegendKey val="0"/>
            <c:showVal val="1"/>
            <c:showCatName val="0"/>
            <c:showSerName val="0"/>
            <c:showPercent val="0"/>
            <c:showBubbleSize val="0"/>
            <c:showLeaderLines val="0"/>
          </c:dLbls>
          <c:cat>
            <c:numRef>
              <c:f>'Nisu-Oder'!$C$4:$L$4</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'Nisu-Oder'!$C$6:$L$6</c:f>
              <c:numCache>
                <c:formatCode>0.0</c:formatCode>
                <c:ptCount val="10"/>
                <c:pt idx="0">
                  <c:v>2.5076530612244894</c:v>
                </c:pt>
                <c:pt idx="1">
                  <c:v>3.084309133489461</c:v>
                </c:pt>
                <c:pt idx="2">
                  <c:v>2.4158415841584158</c:v>
                </c:pt>
                <c:pt idx="3">
                  <c:v>3.4753768844221105</c:v>
                </c:pt>
                <c:pt idx="4">
                  <c:v>3.1830855018587361</c:v>
                </c:pt>
                <c:pt idx="5">
                  <c:v>3.0149647887323945</c:v>
                </c:pt>
                <c:pt idx="6">
                  <c:v>2.7437185929648242</c:v>
                </c:pt>
                <c:pt idx="7">
                  <c:v>2.8052959501557635</c:v>
                </c:pt>
                <c:pt idx="8">
                  <c:v>3.8994368463395013</c:v>
                </c:pt>
                <c:pt idx="9">
                  <c:v>3.26</c:v>
                </c:pt>
              </c:numCache>
            </c:numRef>
          </c:val>
          <c:smooth val="1"/>
        </c:ser>
        <c:ser>
          <c:idx val="3"/>
          <c:order val="3"/>
          <c:tx>
            <c:strRef>
              <c:f>'Nisu-Oder'!$B$8</c:f>
              <c:strCache>
                <c:ptCount val="1"/>
                <c:pt idx="0">
                  <c:v>Oder Eesti</c:v>
                </c:pt>
              </c:strCache>
            </c:strRef>
          </c:tx>
          <c:spPr>
            <a:ln w="63500">
              <a:solidFill>
                <a:srgbClr val="00B050"/>
              </a:solidFill>
            </a:ln>
          </c:spPr>
          <c:marker>
            <c:symbol val="none"/>
          </c:marker>
          <c:dLbls>
            <c:dLbl>
              <c:idx val="9"/>
              <c:delete val="1"/>
            </c:dLbl>
            <c:showLegendKey val="0"/>
            <c:showVal val="1"/>
            <c:showCatName val="0"/>
            <c:showSerName val="0"/>
            <c:showPercent val="0"/>
            <c:showBubbleSize val="0"/>
            <c:showLeaderLines val="0"/>
          </c:dLbls>
          <c:cat>
            <c:numRef>
              <c:f>'Nisu-Oder'!$C$4:$L$4</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'Nisu-Oder'!$C$8:$L$8</c:f>
              <c:numCache>
                <c:formatCode>0.0</c:formatCode>
                <c:ptCount val="10"/>
                <c:pt idx="0">
                  <c:v>2.307389937106918</c:v>
                </c:pt>
                <c:pt idx="1">
                  <c:v>2.5429958391123444</c:v>
                </c:pt>
                <c:pt idx="2">
                  <c:v>2.1316901408450701</c:v>
                </c:pt>
                <c:pt idx="3">
                  <c:v>2.6649522409992654</c:v>
                </c:pt>
                <c:pt idx="4">
                  <c:v>2.5575091575091573</c:v>
                </c:pt>
                <c:pt idx="5">
                  <c:v>2.6794598436389476</c:v>
                </c:pt>
                <c:pt idx="6">
                  <c:v>2.4312977099236641</c:v>
                </c:pt>
                <c:pt idx="7">
                  <c:v>2.4936601859678782</c:v>
                </c:pt>
                <c:pt idx="8">
                  <c:v>3.1311926605504588</c:v>
                </c:pt>
                <c:pt idx="9">
                  <c:v>3.3</c:v>
                </c:pt>
              </c:numCache>
            </c:numRef>
          </c:val>
          <c:smooth val="1"/>
        </c:ser>
        <c:dLbls>
          <c:showLegendKey val="0"/>
          <c:showVal val="0"/>
          <c:showCatName val="0"/>
          <c:showSerName val="0"/>
          <c:showPercent val="0"/>
          <c:showBubbleSize val="0"/>
        </c:dLbls>
        <c:marker val="1"/>
        <c:smooth val="0"/>
        <c:axId val="79004416"/>
        <c:axId val="79005952"/>
      </c:lineChart>
      <c:catAx>
        <c:axId val="79004416"/>
        <c:scaling>
          <c:orientation val="minMax"/>
        </c:scaling>
        <c:delete val="0"/>
        <c:axPos val="b"/>
        <c:numFmt formatCode="General" sourceLinked="1"/>
        <c:majorTickMark val="out"/>
        <c:minorTickMark val="none"/>
        <c:tickLblPos val="nextTo"/>
        <c:crossAx val="79005952"/>
        <c:crosses val="autoZero"/>
        <c:auto val="1"/>
        <c:lblAlgn val="ctr"/>
        <c:lblOffset val="100"/>
        <c:noMultiLvlLbl val="0"/>
      </c:catAx>
      <c:valAx>
        <c:axId val="79005952"/>
        <c:scaling>
          <c:orientation val="minMax"/>
          <c:max val="6.5"/>
          <c:min val="0"/>
        </c:scaling>
        <c:delete val="0"/>
        <c:axPos val="l"/>
        <c:majorGridlines/>
        <c:numFmt formatCode="0.0" sourceLinked="1"/>
        <c:majorTickMark val="out"/>
        <c:minorTickMark val="none"/>
        <c:tickLblPos val="nextTo"/>
        <c:crossAx val="79004416"/>
        <c:crosses val="autoZero"/>
        <c:crossBetween val="between"/>
      </c:valAx>
    </c:plotArea>
    <c:legend>
      <c:legendPos val="r"/>
      <c:layout>
        <c:manualLayout>
          <c:xMode val="edge"/>
          <c:yMode val="edge"/>
          <c:x val="0.17335429689646284"/>
          <c:y val="0.73891669640521274"/>
          <c:w val="0.69996830106381625"/>
          <c:h val="9.9486105553387438E-2"/>
        </c:manualLayout>
      </c:layout>
      <c:overlay val="1"/>
      <c:spPr>
        <a:solidFill>
          <a:schemeClr val="bg1"/>
        </a:solidFill>
        <a:effectLst/>
      </c:spPr>
    </c:legend>
    <c:plotVisOnly val="1"/>
    <c:dispBlanksAs val="gap"/>
    <c:showDLblsOverMax val="0"/>
  </c:chart>
  <c:spPr>
    <a:ln>
      <a:solidFill>
        <a:schemeClr val="bg1"/>
      </a:solidFill>
    </a:ln>
  </c:spPr>
  <c:txPr>
    <a:bodyPr/>
    <a:lstStyle/>
    <a:p>
      <a:pPr>
        <a:defRPr sz="1000"/>
      </a:pPr>
      <a:endParaRPr lang="et-EE"/>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536232421496762E-2"/>
          <c:y val="2.5347953001201951E-2"/>
          <c:w val="0.84181147686209556"/>
          <c:h val="0.69025979299757345"/>
        </c:manualLayout>
      </c:layout>
      <c:barChart>
        <c:barDir val="col"/>
        <c:grouping val="clustered"/>
        <c:varyColors val="0"/>
        <c:ser>
          <c:idx val="0"/>
          <c:order val="0"/>
          <c:tx>
            <c:strRef>
              <c:f>'2013 EL'!$D$13</c:f>
              <c:strCache>
                <c:ptCount val="1"/>
                <c:pt idx="0">
                  <c:v>Toodangu osakaal</c:v>
                </c:pt>
              </c:strCache>
            </c:strRef>
          </c:tx>
          <c:spPr>
            <a:solidFill>
              <a:srgbClr val="0070C0"/>
            </a:solidFill>
          </c:spPr>
          <c:invertIfNegative val="0"/>
          <c:dPt>
            <c:idx val="21"/>
            <c:invertIfNegative val="0"/>
            <c:bubble3D val="0"/>
            <c:spPr>
              <a:solidFill>
                <a:srgbClr val="FF0000"/>
              </a:solidFill>
            </c:spPr>
          </c:dPt>
          <c:dLbls>
            <c:showLegendKey val="0"/>
            <c:showVal val="1"/>
            <c:showCatName val="0"/>
            <c:showSerName val="0"/>
            <c:showPercent val="0"/>
            <c:showBubbleSize val="0"/>
            <c:showLeaderLines val="0"/>
          </c:dLbls>
          <c:cat>
            <c:strRef>
              <c:f>'2013 EL'!$A$14:$A$38</c:f>
              <c:strCache>
                <c:ptCount val="25"/>
                <c:pt idx="0">
                  <c:v>Prantsusmaa</c:v>
                </c:pt>
                <c:pt idx="1">
                  <c:v>Saksamaa</c:v>
                </c:pt>
                <c:pt idx="2">
                  <c:v>Poola</c:v>
                </c:pt>
                <c:pt idx="3">
                  <c:v>Hispaania</c:v>
                </c:pt>
                <c:pt idx="4">
                  <c:v>Rumeenia</c:v>
                </c:pt>
                <c:pt idx="5">
                  <c:v>Itallia</c:v>
                </c:pt>
                <c:pt idx="6">
                  <c:v>Ungari</c:v>
                </c:pt>
                <c:pt idx="7">
                  <c:v>Taani</c:v>
                </c:pt>
                <c:pt idx="8">
                  <c:v>Bulgaaria</c:v>
                </c:pt>
                <c:pt idx="9">
                  <c:v>Tšehhi</c:v>
                </c:pt>
                <c:pt idx="10">
                  <c:v>Rootsi</c:v>
                </c:pt>
                <c:pt idx="11">
                  <c:v>Austria</c:v>
                </c:pt>
                <c:pt idx="12">
                  <c:v>Leedu</c:v>
                </c:pt>
                <c:pt idx="13">
                  <c:v>Slovakkia</c:v>
                </c:pt>
                <c:pt idx="14">
                  <c:v>Soome</c:v>
                </c:pt>
                <c:pt idx="15">
                  <c:v>Horvaatia</c:v>
                </c:pt>
                <c:pt idx="16">
                  <c:v>Belgia</c:v>
                </c:pt>
                <c:pt idx="17">
                  <c:v>Iirimaa</c:v>
                </c:pt>
                <c:pt idx="18">
                  <c:v>Läti</c:v>
                </c:pt>
                <c:pt idx="19">
                  <c:v>Holland</c:v>
                </c:pt>
                <c:pt idx="20">
                  <c:v>Portugal</c:v>
                </c:pt>
                <c:pt idx="21">
                  <c:v>Eesti</c:v>
                </c:pt>
                <c:pt idx="22">
                  <c:v>Sloveenia</c:v>
                </c:pt>
                <c:pt idx="23">
                  <c:v>Luksemburg</c:v>
                </c:pt>
                <c:pt idx="24">
                  <c:v>Küpros</c:v>
                </c:pt>
              </c:strCache>
            </c:strRef>
          </c:cat>
          <c:val>
            <c:numRef>
              <c:f>'2013 EL'!$D$14:$D$38</c:f>
              <c:numCache>
                <c:formatCode>0.0</c:formatCode>
                <c:ptCount val="25"/>
                <c:pt idx="0">
                  <c:v>24.043895372946935</c:v>
                </c:pt>
                <c:pt idx="1">
                  <c:v>16.906017542705644</c:v>
                </c:pt>
                <c:pt idx="2">
                  <c:v>10.144397001667327</c:v>
                </c:pt>
                <c:pt idx="3">
                  <c:v>8.685984424914416</c:v>
                </c:pt>
                <c:pt idx="4">
                  <c:v>7.6155547802013945</c:v>
                </c:pt>
                <c:pt idx="5">
                  <c:v>5.3382776460628998</c:v>
                </c:pt>
                <c:pt idx="6">
                  <c:v>4.8658915349438452</c:v>
                </c:pt>
                <c:pt idx="7">
                  <c:v>3.2592282239082988</c:v>
                </c:pt>
                <c:pt idx="8">
                  <c:v>2.9628697509873843</c:v>
                </c:pt>
                <c:pt idx="9">
                  <c:v>2.735220685177929</c:v>
                </c:pt>
                <c:pt idx="10">
                  <c:v>1.7853721175652986</c:v>
                </c:pt>
                <c:pt idx="11">
                  <c:v>1.6409107678580108</c:v>
                </c:pt>
                <c:pt idx="12">
                  <c:v>1.5941511921546869</c:v>
                </c:pt>
                <c:pt idx="13">
                  <c:v>1.5939366986881576</c:v>
                </c:pt>
                <c:pt idx="14">
                  <c:v>1.4829363297593954</c:v>
                </c:pt>
                <c:pt idx="15">
                  <c:v>1.1156520172395548</c:v>
                </c:pt>
                <c:pt idx="16">
                  <c:v>1.1080374991777748</c:v>
                </c:pt>
                <c:pt idx="17">
                  <c:v>0.83859795630625078</c:v>
                </c:pt>
                <c:pt idx="18">
                  <c:v>0.69663903037513464</c:v>
                </c:pt>
                <c:pt idx="19">
                  <c:v>0.64716253742910979</c:v>
                </c:pt>
                <c:pt idx="20">
                  <c:v>0.37632878702514716</c:v>
                </c:pt>
                <c:pt idx="21">
                  <c:v>0.31323195895453021</c:v>
                </c:pt>
                <c:pt idx="22">
                  <c:v>0.16719765715936288</c:v>
                </c:pt>
                <c:pt idx="23">
                  <c:v>6.1952862915795583E-2</c:v>
                </c:pt>
                <c:pt idx="24">
                  <c:v>2.0555623875696743E-2</c:v>
                </c:pt>
              </c:numCache>
            </c:numRef>
          </c:val>
        </c:ser>
        <c:dLbls>
          <c:showLegendKey val="0"/>
          <c:showVal val="0"/>
          <c:showCatName val="0"/>
          <c:showSerName val="0"/>
          <c:showPercent val="0"/>
          <c:showBubbleSize val="0"/>
        </c:dLbls>
        <c:gapWidth val="150"/>
        <c:axId val="79024896"/>
        <c:axId val="79026816"/>
      </c:barChart>
      <c:lineChart>
        <c:grouping val="standard"/>
        <c:varyColors val="0"/>
        <c:ser>
          <c:idx val="1"/>
          <c:order val="1"/>
          <c:tx>
            <c:strRef>
              <c:f>'2013 EL'!$E$13</c:f>
              <c:strCache>
                <c:ptCount val="1"/>
                <c:pt idx="0">
                  <c:v>Toodang elaniku kohta</c:v>
                </c:pt>
              </c:strCache>
            </c:strRef>
          </c:tx>
          <c:spPr>
            <a:ln>
              <a:solidFill>
                <a:srgbClr val="FF0000"/>
              </a:solidFill>
            </a:ln>
          </c:spPr>
          <c:marker>
            <c:spPr>
              <a:solidFill>
                <a:srgbClr val="FF0000"/>
              </a:solidFill>
              <a:ln>
                <a:solidFill>
                  <a:srgbClr val="FF0000"/>
                </a:solidFill>
              </a:ln>
            </c:spPr>
          </c:marker>
          <c:cat>
            <c:strRef>
              <c:f>'2013 EL'!$A$14:$A$38</c:f>
              <c:strCache>
                <c:ptCount val="25"/>
                <c:pt idx="0">
                  <c:v>Prantsusmaa</c:v>
                </c:pt>
                <c:pt idx="1">
                  <c:v>Saksamaa</c:v>
                </c:pt>
                <c:pt idx="2">
                  <c:v>Poola</c:v>
                </c:pt>
                <c:pt idx="3">
                  <c:v>Hispaania</c:v>
                </c:pt>
                <c:pt idx="4">
                  <c:v>Rumeenia</c:v>
                </c:pt>
                <c:pt idx="5">
                  <c:v>Itallia</c:v>
                </c:pt>
                <c:pt idx="6">
                  <c:v>Ungari</c:v>
                </c:pt>
                <c:pt idx="7">
                  <c:v>Taani</c:v>
                </c:pt>
                <c:pt idx="8">
                  <c:v>Bulgaaria</c:v>
                </c:pt>
                <c:pt idx="9">
                  <c:v>Tšehhi</c:v>
                </c:pt>
                <c:pt idx="10">
                  <c:v>Rootsi</c:v>
                </c:pt>
                <c:pt idx="11">
                  <c:v>Austria</c:v>
                </c:pt>
                <c:pt idx="12">
                  <c:v>Leedu</c:v>
                </c:pt>
                <c:pt idx="13">
                  <c:v>Slovakkia</c:v>
                </c:pt>
                <c:pt idx="14">
                  <c:v>Soome</c:v>
                </c:pt>
                <c:pt idx="15">
                  <c:v>Horvaatia</c:v>
                </c:pt>
                <c:pt idx="16">
                  <c:v>Belgia</c:v>
                </c:pt>
                <c:pt idx="17">
                  <c:v>Iirimaa</c:v>
                </c:pt>
                <c:pt idx="18">
                  <c:v>Läti</c:v>
                </c:pt>
                <c:pt idx="19">
                  <c:v>Holland</c:v>
                </c:pt>
                <c:pt idx="20">
                  <c:v>Portugal</c:v>
                </c:pt>
                <c:pt idx="21">
                  <c:v>Eesti</c:v>
                </c:pt>
                <c:pt idx="22">
                  <c:v>Sloveenia</c:v>
                </c:pt>
                <c:pt idx="23">
                  <c:v>Luksemburg</c:v>
                </c:pt>
                <c:pt idx="24">
                  <c:v>Küpros</c:v>
                </c:pt>
              </c:strCache>
            </c:strRef>
          </c:cat>
          <c:val>
            <c:numRef>
              <c:f>'2013 EL'!$E$14:$E$38</c:f>
              <c:numCache>
                <c:formatCode>0.0</c:formatCode>
                <c:ptCount val="25"/>
                <c:pt idx="0">
                  <c:v>1025.6009642381634</c:v>
                </c:pt>
                <c:pt idx="1">
                  <c:v>576.57482004089263</c:v>
                </c:pt>
                <c:pt idx="2">
                  <c:v>736.42280148398402</c:v>
                </c:pt>
                <c:pt idx="3">
                  <c:v>519.97211943445336</c:v>
                </c:pt>
                <c:pt idx="4">
                  <c:v>1064.0769859292229</c:v>
                </c:pt>
                <c:pt idx="5">
                  <c:v>250.19088894476351</c:v>
                </c:pt>
                <c:pt idx="6">
                  <c:v>1373.6580360201106</c:v>
                </c:pt>
                <c:pt idx="7">
                  <c:v>1627.2720587552842</c:v>
                </c:pt>
                <c:pt idx="8">
                  <c:v>1137.7501320602832</c:v>
                </c:pt>
                <c:pt idx="9">
                  <c:v>727.56837713511391</c:v>
                </c:pt>
                <c:pt idx="10">
                  <c:v>522.63038106433385</c:v>
                </c:pt>
                <c:pt idx="11">
                  <c:v>543.08755705844635</c:v>
                </c:pt>
                <c:pt idx="12">
                  <c:v>1500.4853789067954</c:v>
                </c:pt>
                <c:pt idx="13">
                  <c:v>824.03162838422747</c:v>
                </c:pt>
                <c:pt idx="14">
                  <c:v>764.40928642479719</c:v>
                </c:pt>
                <c:pt idx="15">
                  <c:v>732.21433364460108</c:v>
                </c:pt>
                <c:pt idx="16">
                  <c:v>277.6921173425917</c:v>
                </c:pt>
                <c:pt idx="17">
                  <c:v>510.94653619066685</c:v>
                </c:pt>
                <c:pt idx="18">
                  <c:v>962.87969562585693</c:v>
                </c:pt>
                <c:pt idx="19">
                  <c:v>107.88711871427017</c:v>
                </c:pt>
                <c:pt idx="20">
                  <c:v>100.3786583930318</c:v>
                </c:pt>
                <c:pt idx="21">
                  <c:v>663.70039100906399</c:v>
                </c:pt>
                <c:pt idx="22">
                  <c:v>227.16885052173063</c:v>
                </c:pt>
                <c:pt idx="23">
                  <c:v>322.69537221691536</c:v>
                </c:pt>
                <c:pt idx="24">
                  <c:v>66.406583837445922</c:v>
                </c:pt>
              </c:numCache>
            </c:numRef>
          </c:val>
          <c:smooth val="0"/>
        </c:ser>
        <c:dLbls>
          <c:showLegendKey val="0"/>
          <c:showVal val="0"/>
          <c:showCatName val="0"/>
          <c:showSerName val="0"/>
          <c:showPercent val="0"/>
          <c:showBubbleSize val="0"/>
        </c:dLbls>
        <c:marker val="1"/>
        <c:smooth val="0"/>
        <c:axId val="79050624"/>
        <c:axId val="79049088"/>
      </c:lineChart>
      <c:catAx>
        <c:axId val="79024896"/>
        <c:scaling>
          <c:orientation val="minMax"/>
        </c:scaling>
        <c:delete val="0"/>
        <c:axPos val="b"/>
        <c:majorTickMark val="out"/>
        <c:minorTickMark val="none"/>
        <c:tickLblPos val="nextTo"/>
        <c:txPr>
          <a:bodyPr rot="-3420000"/>
          <a:lstStyle/>
          <a:p>
            <a:pPr>
              <a:defRPr/>
            </a:pPr>
            <a:endParaRPr lang="et-EE"/>
          </a:p>
        </c:txPr>
        <c:crossAx val="79026816"/>
        <c:crosses val="autoZero"/>
        <c:auto val="1"/>
        <c:lblAlgn val="ctr"/>
        <c:lblOffset val="100"/>
        <c:noMultiLvlLbl val="0"/>
      </c:catAx>
      <c:valAx>
        <c:axId val="79026816"/>
        <c:scaling>
          <c:orientation val="minMax"/>
          <c:max val="25"/>
        </c:scaling>
        <c:delete val="0"/>
        <c:axPos val="l"/>
        <c:majorGridlines/>
        <c:numFmt formatCode="0" sourceLinked="0"/>
        <c:majorTickMark val="out"/>
        <c:minorTickMark val="none"/>
        <c:tickLblPos val="nextTo"/>
        <c:crossAx val="79024896"/>
        <c:crosses val="autoZero"/>
        <c:crossBetween val="between"/>
      </c:valAx>
      <c:valAx>
        <c:axId val="79049088"/>
        <c:scaling>
          <c:orientation val="minMax"/>
        </c:scaling>
        <c:delete val="0"/>
        <c:axPos val="r"/>
        <c:numFmt formatCode="0" sourceLinked="0"/>
        <c:majorTickMark val="out"/>
        <c:minorTickMark val="none"/>
        <c:tickLblPos val="nextTo"/>
        <c:crossAx val="79050624"/>
        <c:crosses val="max"/>
        <c:crossBetween val="between"/>
      </c:valAx>
      <c:catAx>
        <c:axId val="79050624"/>
        <c:scaling>
          <c:orientation val="minMax"/>
        </c:scaling>
        <c:delete val="1"/>
        <c:axPos val="b"/>
        <c:majorTickMark val="out"/>
        <c:minorTickMark val="none"/>
        <c:tickLblPos val="nextTo"/>
        <c:crossAx val="79049088"/>
        <c:crossesAt val="0"/>
        <c:auto val="1"/>
        <c:lblAlgn val="ctr"/>
        <c:lblOffset val="100"/>
        <c:noMultiLvlLbl val="0"/>
      </c:catAx>
    </c:plotArea>
    <c:legend>
      <c:legendPos val="r"/>
      <c:layout>
        <c:manualLayout>
          <c:xMode val="edge"/>
          <c:yMode val="edge"/>
          <c:x val="0.57089225830242285"/>
          <c:y val="0.1770520273750828"/>
          <c:w val="0.28749576466040466"/>
          <c:h val="0.10379637913180877"/>
        </c:manualLayout>
      </c:layout>
      <c:overlay val="0"/>
    </c:legend>
    <c:plotVisOnly val="1"/>
    <c:dispBlanksAs val="gap"/>
    <c:showDLblsOverMax val="0"/>
  </c:chart>
  <c:spPr>
    <a:ln>
      <a:solidFill>
        <a:schemeClr val="bg1"/>
      </a:solidFill>
    </a:ln>
  </c:spPr>
  <c:txPr>
    <a:bodyPr/>
    <a:lstStyle/>
    <a:p>
      <a:pPr>
        <a:defRPr sz="1000"/>
      </a:pPr>
      <a:endParaRPr lang="et-EE"/>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2233914685897904E-2"/>
          <c:y val="5.1400554097404488E-2"/>
          <c:w val="0.90378050874481808"/>
          <c:h val="0.81249389084985069"/>
        </c:manualLayout>
      </c:layout>
      <c:barChart>
        <c:barDir val="col"/>
        <c:grouping val="clustered"/>
        <c:varyColors val="0"/>
        <c:ser>
          <c:idx val="0"/>
          <c:order val="0"/>
          <c:tx>
            <c:strRef>
              <c:f>Teraviljad!$B$3</c:f>
              <c:strCache>
                <c:ptCount val="1"/>
                <c:pt idx="0">
                  <c:v>Suvinisu</c:v>
                </c:pt>
              </c:strCache>
            </c:strRef>
          </c:tx>
          <c:spPr>
            <a:solidFill>
              <a:srgbClr val="FFC000"/>
            </a:solidFill>
          </c:spPr>
          <c:invertIfNegative val="0"/>
          <c:cat>
            <c:strRef>
              <c:f>Teraviljad!$A$4:$A$8</c:f>
              <c:strCache>
                <c:ptCount val="5"/>
                <c:pt idx="0">
                  <c:v>&lt;10 ha</c:v>
                </c:pt>
                <c:pt idx="1">
                  <c:v>10-&lt;30 ha</c:v>
                </c:pt>
                <c:pt idx="2">
                  <c:v>30-&lt;50 ha</c:v>
                </c:pt>
                <c:pt idx="3">
                  <c:v>50-&lt;100 ha</c:v>
                </c:pt>
                <c:pt idx="4">
                  <c:v>&gt;=100 ha</c:v>
                </c:pt>
              </c:strCache>
            </c:strRef>
          </c:cat>
          <c:val>
            <c:numRef>
              <c:f>Teraviljad!$B$4:$B$8</c:f>
              <c:numCache>
                <c:formatCode>0.00</c:formatCode>
                <c:ptCount val="5"/>
                <c:pt idx="0">
                  <c:v>2.3603763419665986</c:v>
                </c:pt>
                <c:pt idx="1">
                  <c:v>2.7256392380866719</c:v>
                </c:pt>
                <c:pt idx="2">
                  <c:v>3.042938158250069</c:v>
                </c:pt>
                <c:pt idx="3">
                  <c:v>3.0882930498699794</c:v>
                </c:pt>
                <c:pt idx="4">
                  <c:v>3.3475177445341275</c:v>
                </c:pt>
              </c:numCache>
            </c:numRef>
          </c:val>
        </c:ser>
        <c:ser>
          <c:idx val="1"/>
          <c:order val="1"/>
          <c:tx>
            <c:strRef>
              <c:f>Teraviljad!$C$3</c:f>
              <c:strCache>
                <c:ptCount val="1"/>
                <c:pt idx="0">
                  <c:v>Talinisu</c:v>
                </c:pt>
              </c:strCache>
            </c:strRef>
          </c:tx>
          <c:spPr>
            <a:solidFill>
              <a:schemeClr val="accent2"/>
            </a:solidFill>
          </c:spPr>
          <c:invertIfNegative val="0"/>
          <c:cat>
            <c:strRef>
              <c:f>Teraviljad!$A$4:$A$8</c:f>
              <c:strCache>
                <c:ptCount val="5"/>
                <c:pt idx="0">
                  <c:v>&lt;10 ha</c:v>
                </c:pt>
                <c:pt idx="1">
                  <c:v>10-&lt;30 ha</c:v>
                </c:pt>
                <c:pt idx="2">
                  <c:v>30-&lt;50 ha</c:v>
                </c:pt>
                <c:pt idx="3">
                  <c:v>50-&lt;100 ha</c:v>
                </c:pt>
                <c:pt idx="4">
                  <c:v>&gt;=100 ha</c:v>
                </c:pt>
              </c:strCache>
            </c:strRef>
          </c:cat>
          <c:val>
            <c:numRef>
              <c:f>Teraviljad!$C$4:$C$8</c:f>
              <c:numCache>
                <c:formatCode>0.00</c:formatCode>
                <c:ptCount val="5"/>
                <c:pt idx="0">
                  <c:v>2.9905469764756814</c:v>
                </c:pt>
                <c:pt idx="1">
                  <c:v>3.4981732944206989</c:v>
                </c:pt>
                <c:pt idx="2">
                  <c:v>4.3378089392165124</c:v>
                </c:pt>
                <c:pt idx="3">
                  <c:v>4.3023734904720827</c:v>
                </c:pt>
                <c:pt idx="4">
                  <c:v>5.0416356123168713</c:v>
                </c:pt>
              </c:numCache>
            </c:numRef>
          </c:val>
        </c:ser>
        <c:ser>
          <c:idx val="2"/>
          <c:order val="2"/>
          <c:tx>
            <c:strRef>
              <c:f>Teraviljad!$D$3</c:f>
              <c:strCache>
                <c:ptCount val="1"/>
                <c:pt idx="0">
                  <c:v>Rukis</c:v>
                </c:pt>
              </c:strCache>
            </c:strRef>
          </c:tx>
          <c:invertIfNegative val="0"/>
          <c:cat>
            <c:strRef>
              <c:f>Teraviljad!$A$4:$A$8</c:f>
              <c:strCache>
                <c:ptCount val="5"/>
                <c:pt idx="0">
                  <c:v>&lt;10 ha</c:v>
                </c:pt>
                <c:pt idx="1">
                  <c:v>10-&lt;30 ha</c:v>
                </c:pt>
                <c:pt idx="2">
                  <c:v>30-&lt;50 ha</c:v>
                </c:pt>
                <c:pt idx="3">
                  <c:v>50-&lt;100 ha</c:v>
                </c:pt>
                <c:pt idx="4">
                  <c:v>&gt;=100 ha</c:v>
                </c:pt>
              </c:strCache>
            </c:strRef>
          </c:cat>
          <c:val>
            <c:numRef>
              <c:f>Teraviljad!$D$4:$D$8</c:f>
              <c:numCache>
                <c:formatCode>0.00</c:formatCode>
                <c:ptCount val="5"/>
                <c:pt idx="0">
                  <c:v>2.5455134854771786</c:v>
                </c:pt>
                <c:pt idx="1">
                  <c:v>2.9107879949934738</c:v>
                </c:pt>
                <c:pt idx="2">
                  <c:v>3.4643847705496729</c:v>
                </c:pt>
                <c:pt idx="3">
                  <c:v>3.5826074360212457</c:v>
                </c:pt>
                <c:pt idx="4">
                  <c:v>3.5586436076852874</c:v>
                </c:pt>
              </c:numCache>
            </c:numRef>
          </c:val>
        </c:ser>
        <c:ser>
          <c:idx val="3"/>
          <c:order val="3"/>
          <c:tx>
            <c:strRef>
              <c:f>Teraviljad!$E$3</c:f>
              <c:strCache>
                <c:ptCount val="1"/>
                <c:pt idx="0">
                  <c:v>Suvioder</c:v>
                </c:pt>
              </c:strCache>
            </c:strRef>
          </c:tx>
          <c:spPr>
            <a:solidFill>
              <a:schemeClr val="tx1">
                <a:lumMod val="75000"/>
                <a:lumOff val="25000"/>
              </a:schemeClr>
            </a:solidFill>
          </c:spPr>
          <c:invertIfNegative val="0"/>
          <c:cat>
            <c:strRef>
              <c:f>Teraviljad!$A$4:$A$8</c:f>
              <c:strCache>
                <c:ptCount val="5"/>
                <c:pt idx="0">
                  <c:v>&lt;10 ha</c:v>
                </c:pt>
                <c:pt idx="1">
                  <c:v>10-&lt;30 ha</c:v>
                </c:pt>
                <c:pt idx="2">
                  <c:v>30-&lt;50 ha</c:v>
                </c:pt>
                <c:pt idx="3">
                  <c:v>50-&lt;100 ha</c:v>
                </c:pt>
                <c:pt idx="4">
                  <c:v>&gt;=100 ha</c:v>
                </c:pt>
              </c:strCache>
            </c:strRef>
          </c:cat>
          <c:val>
            <c:numRef>
              <c:f>Teraviljad!$E$4:$E$8</c:f>
              <c:numCache>
                <c:formatCode>0.00</c:formatCode>
                <c:ptCount val="5"/>
                <c:pt idx="0">
                  <c:v>2.1671317956715641</c:v>
                </c:pt>
                <c:pt idx="1">
                  <c:v>2.4447316405656037</c:v>
                </c:pt>
                <c:pt idx="2">
                  <c:v>2.9169639786543651</c:v>
                </c:pt>
                <c:pt idx="3">
                  <c:v>3.0492347906402095</c:v>
                </c:pt>
                <c:pt idx="4">
                  <c:v>3.3271304267000135</c:v>
                </c:pt>
              </c:numCache>
            </c:numRef>
          </c:val>
        </c:ser>
        <c:ser>
          <c:idx val="4"/>
          <c:order val="4"/>
          <c:tx>
            <c:strRef>
              <c:f>Teraviljad!$F$3</c:f>
              <c:strCache>
                <c:ptCount val="1"/>
                <c:pt idx="0">
                  <c:v>Kaer</c:v>
                </c:pt>
              </c:strCache>
            </c:strRef>
          </c:tx>
          <c:invertIfNegative val="0"/>
          <c:cat>
            <c:strRef>
              <c:f>Teraviljad!$A$4:$A$8</c:f>
              <c:strCache>
                <c:ptCount val="5"/>
                <c:pt idx="0">
                  <c:v>&lt;10 ha</c:v>
                </c:pt>
                <c:pt idx="1">
                  <c:v>10-&lt;30 ha</c:v>
                </c:pt>
                <c:pt idx="2">
                  <c:v>30-&lt;50 ha</c:v>
                </c:pt>
                <c:pt idx="3">
                  <c:v>50-&lt;100 ha</c:v>
                </c:pt>
                <c:pt idx="4">
                  <c:v>&gt;=100 ha</c:v>
                </c:pt>
              </c:strCache>
            </c:strRef>
          </c:cat>
          <c:val>
            <c:numRef>
              <c:f>Teraviljad!$F$4:$F$8</c:f>
              <c:numCache>
                <c:formatCode>0.00</c:formatCode>
                <c:ptCount val="5"/>
                <c:pt idx="0">
                  <c:v>2.0752354850726413</c:v>
                </c:pt>
                <c:pt idx="1">
                  <c:v>2.3517819792478392</c:v>
                </c:pt>
                <c:pt idx="2">
                  <c:v>2.2771044808764898</c:v>
                </c:pt>
                <c:pt idx="3">
                  <c:v>2.6314867625776794</c:v>
                </c:pt>
                <c:pt idx="4">
                  <c:v>2.7124345851528382</c:v>
                </c:pt>
              </c:numCache>
            </c:numRef>
          </c:val>
        </c:ser>
        <c:dLbls>
          <c:showLegendKey val="0"/>
          <c:showVal val="0"/>
          <c:showCatName val="0"/>
          <c:showSerName val="0"/>
          <c:showPercent val="0"/>
          <c:showBubbleSize val="0"/>
        </c:dLbls>
        <c:gapWidth val="150"/>
        <c:axId val="79070720"/>
        <c:axId val="79072256"/>
      </c:barChart>
      <c:catAx>
        <c:axId val="79070720"/>
        <c:scaling>
          <c:orientation val="minMax"/>
        </c:scaling>
        <c:delete val="0"/>
        <c:axPos val="b"/>
        <c:majorTickMark val="out"/>
        <c:minorTickMark val="none"/>
        <c:tickLblPos val="nextTo"/>
        <c:crossAx val="79072256"/>
        <c:crosses val="autoZero"/>
        <c:auto val="1"/>
        <c:lblAlgn val="ctr"/>
        <c:lblOffset val="100"/>
        <c:noMultiLvlLbl val="0"/>
      </c:catAx>
      <c:valAx>
        <c:axId val="79072256"/>
        <c:scaling>
          <c:orientation val="minMax"/>
        </c:scaling>
        <c:delete val="0"/>
        <c:axPos val="l"/>
        <c:majorGridlines/>
        <c:numFmt formatCode="0.00" sourceLinked="1"/>
        <c:majorTickMark val="out"/>
        <c:minorTickMark val="none"/>
        <c:tickLblPos val="nextTo"/>
        <c:crossAx val="79070720"/>
        <c:crosses val="autoZero"/>
        <c:crossBetween val="between"/>
      </c:valAx>
    </c:plotArea>
    <c:legend>
      <c:legendPos val="r"/>
      <c:layout>
        <c:manualLayout>
          <c:xMode val="edge"/>
          <c:yMode val="edge"/>
          <c:x val="0.18534235168655866"/>
          <c:y val="8.4711593411343947E-2"/>
          <c:w val="0.70176334208223967"/>
          <c:h val="9.2067602500765941E-2"/>
        </c:manualLayout>
      </c:layout>
      <c:overlay val="0"/>
    </c:legend>
    <c:plotVisOnly val="1"/>
    <c:dispBlanksAs val="gap"/>
    <c:showDLblsOverMax val="0"/>
  </c:chart>
  <c:spPr>
    <a:solidFill>
      <a:schemeClr val="bg1"/>
    </a:solidFill>
    <a:ln>
      <a:solidFill>
        <a:schemeClr val="bg1"/>
      </a:solidFill>
    </a:ln>
  </c:spPr>
  <c:txPr>
    <a:bodyPr/>
    <a:lstStyle/>
    <a:p>
      <a:pPr>
        <a:defRPr sz="1000">
          <a:solidFill>
            <a:schemeClr val="tx1"/>
          </a:solidFill>
        </a:defRPr>
      </a:pPr>
      <a:endParaRPr lang="et-EE"/>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3075474344332916E-2"/>
          <c:y val="4.061277763552306E-2"/>
          <c:w val="0.88384316082627079"/>
          <c:h val="0.86774881382128266"/>
        </c:manualLayout>
      </c:layout>
      <c:barChart>
        <c:barDir val="col"/>
        <c:grouping val="stacked"/>
        <c:varyColors val="0"/>
        <c:ser>
          <c:idx val="2"/>
          <c:order val="2"/>
          <c:tx>
            <c:strRef>
              <c:f>Kõik!$B$12</c:f>
              <c:strCache>
                <c:ptCount val="1"/>
                <c:pt idx="0">
                  <c:v>TN saak</c:v>
                </c:pt>
              </c:strCache>
            </c:strRef>
          </c:tx>
          <c:spPr>
            <a:solidFill>
              <a:srgbClr val="92D050"/>
            </a:solidFill>
          </c:spPr>
          <c:invertIfNegative val="0"/>
          <c:cat>
            <c:numRef>
              <c:f>Kõik!$C$9:$L$9</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Kõik!$C$12:$L$12</c:f>
              <c:numCache>
                <c:formatCode>General</c:formatCode>
                <c:ptCount val="10"/>
                <c:pt idx="0">
                  <c:v>66.400000000000006</c:v>
                </c:pt>
                <c:pt idx="1">
                  <c:v>71.400000000000006</c:v>
                </c:pt>
                <c:pt idx="2">
                  <c:v>65.099999999999994</c:v>
                </c:pt>
                <c:pt idx="3">
                  <c:v>151.4</c:v>
                </c:pt>
                <c:pt idx="4">
                  <c:v>163.80000000000001</c:v>
                </c:pt>
                <c:pt idx="5">
                  <c:v>144.6</c:v>
                </c:pt>
                <c:pt idx="6">
                  <c:v>148.5</c:v>
                </c:pt>
                <c:pt idx="7">
                  <c:v>159</c:v>
                </c:pt>
                <c:pt idx="8">
                  <c:v>296.2</c:v>
                </c:pt>
                <c:pt idx="9">
                  <c:v>138.9</c:v>
                </c:pt>
              </c:numCache>
            </c:numRef>
          </c:val>
        </c:ser>
        <c:ser>
          <c:idx val="3"/>
          <c:order val="3"/>
          <c:tx>
            <c:strRef>
              <c:f>Kõik!$B$13</c:f>
              <c:strCache>
                <c:ptCount val="1"/>
                <c:pt idx="0">
                  <c:v>SN saak</c:v>
                </c:pt>
              </c:strCache>
            </c:strRef>
          </c:tx>
          <c:invertIfNegative val="0"/>
          <c:cat>
            <c:numRef>
              <c:f>Kõik!$C$9:$L$9</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Kõik!$C$13:$L$13</c:f>
              <c:numCache>
                <c:formatCode>General</c:formatCode>
                <c:ptCount val="10"/>
                <c:pt idx="0">
                  <c:v>130.19999999999999</c:v>
                </c:pt>
                <c:pt idx="1">
                  <c:v>192</c:v>
                </c:pt>
                <c:pt idx="2">
                  <c:v>154.5</c:v>
                </c:pt>
                <c:pt idx="3">
                  <c:v>194.4</c:v>
                </c:pt>
                <c:pt idx="4">
                  <c:v>178.7</c:v>
                </c:pt>
                <c:pt idx="5">
                  <c:v>197.9</c:v>
                </c:pt>
                <c:pt idx="6">
                  <c:v>179.1</c:v>
                </c:pt>
                <c:pt idx="7">
                  <c:v>201.2</c:v>
                </c:pt>
                <c:pt idx="8">
                  <c:v>188.5</c:v>
                </c:pt>
                <c:pt idx="9">
                  <c:v>267.39999999999998</c:v>
                </c:pt>
              </c:numCache>
            </c:numRef>
          </c:val>
        </c:ser>
        <c:dLbls>
          <c:showLegendKey val="0"/>
          <c:showVal val="0"/>
          <c:showCatName val="0"/>
          <c:showSerName val="0"/>
          <c:showPercent val="0"/>
          <c:showBubbleSize val="0"/>
        </c:dLbls>
        <c:gapWidth val="48"/>
        <c:overlap val="100"/>
        <c:axId val="80156160"/>
        <c:axId val="80157696"/>
      </c:barChart>
      <c:lineChart>
        <c:grouping val="standard"/>
        <c:varyColors val="0"/>
        <c:ser>
          <c:idx val="0"/>
          <c:order val="0"/>
          <c:tx>
            <c:strRef>
              <c:f>Kõik!$B$10</c:f>
              <c:strCache>
                <c:ptCount val="1"/>
                <c:pt idx="0">
                  <c:v>TN kasvupind</c:v>
                </c:pt>
              </c:strCache>
            </c:strRef>
          </c:tx>
          <c:spPr>
            <a:ln w="50800"/>
          </c:spPr>
          <c:marker>
            <c:symbol val="circle"/>
            <c:size val="15"/>
          </c:marker>
          <c:dLbls>
            <c:dLbl>
              <c:idx val="0"/>
              <c:layout>
                <c:manualLayout>
                  <c:x val="-4.0712468193384227E-2"/>
                  <c:y val="0"/>
                </c:manualLayout>
              </c:layout>
              <c:showLegendKey val="0"/>
              <c:showVal val="1"/>
              <c:showCatName val="0"/>
              <c:showSerName val="0"/>
              <c:showPercent val="0"/>
              <c:showBubbleSize val="0"/>
            </c:dLbl>
            <c:dLbl>
              <c:idx val="1"/>
              <c:layout>
                <c:manualLayout>
                  <c:x val="-4.0712468193384227E-2"/>
                  <c:y val="-3.6579784398174699E-3"/>
                </c:manualLayout>
              </c:layout>
              <c:showLegendKey val="0"/>
              <c:showVal val="1"/>
              <c:showCatName val="0"/>
              <c:showSerName val="0"/>
              <c:showPercent val="0"/>
              <c:showBubbleSize val="0"/>
            </c:dLbl>
            <c:dLbl>
              <c:idx val="2"/>
              <c:layout>
                <c:manualLayout>
                  <c:x val="-4.4783715012722644E-2"/>
                  <c:y val="0"/>
                </c:manualLayout>
              </c:layout>
              <c:showLegendKey val="0"/>
              <c:showVal val="1"/>
              <c:showCatName val="0"/>
              <c:showSerName val="0"/>
              <c:showPercent val="0"/>
              <c:showBubbleSize val="0"/>
            </c:dLbl>
            <c:dLbl>
              <c:idx val="3"/>
              <c:layout>
                <c:manualLayout>
                  <c:x val="-4.4783715012722644E-2"/>
                  <c:y val="0"/>
                </c:manualLayout>
              </c:layout>
              <c:showLegendKey val="0"/>
              <c:showVal val="1"/>
              <c:showCatName val="0"/>
              <c:showSerName val="0"/>
              <c:showPercent val="0"/>
              <c:showBubbleSize val="0"/>
            </c:dLbl>
            <c:dLbl>
              <c:idx val="4"/>
              <c:layout>
                <c:manualLayout>
                  <c:x val="-4.4783715012722644E-2"/>
                  <c:y val="3.6579784398174699E-3"/>
                </c:manualLayout>
              </c:layout>
              <c:showLegendKey val="0"/>
              <c:showVal val="1"/>
              <c:showCatName val="0"/>
              <c:showSerName val="0"/>
              <c:showPercent val="0"/>
              <c:showBubbleSize val="0"/>
            </c:dLbl>
            <c:dLbl>
              <c:idx val="5"/>
              <c:layout>
                <c:manualLayout>
                  <c:x val="-4.0712468193384227E-2"/>
                  <c:y val="3.6579784398174699E-3"/>
                </c:manualLayout>
              </c:layout>
              <c:showLegendKey val="0"/>
              <c:showVal val="1"/>
              <c:showCatName val="0"/>
              <c:showSerName val="0"/>
              <c:showPercent val="0"/>
              <c:showBubbleSize val="0"/>
            </c:dLbl>
            <c:dLbl>
              <c:idx val="6"/>
              <c:layout>
                <c:manualLayout>
                  <c:x val="-4.2748091603053512E-2"/>
                  <c:y val="1.4631913759269879E-2"/>
                </c:manualLayout>
              </c:layout>
              <c:showLegendKey val="0"/>
              <c:showVal val="1"/>
              <c:showCatName val="0"/>
              <c:showSerName val="0"/>
              <c:showPercent val="0"/>
              <c:showBubbleSize val="0"/>
            </c:dLbl>
            <c:dLbl>
              <c:idx val="7"/>
              <c:layout>
                <c:manualLayout>
                  <c:x val="-4.4783715012722644E-2"/>
                  <c:y val="1.097393531945241E-2"/>
                </c:manualLayout>
              </c:layout>
              <c:showLegendKey val="0"/>
              <c:showVal val="1"/>
              <c:showCatName val="0"/>
              <c:showSerName val="0"/>
              <c:showPercent val="0"/>
              <c:showBubbleSize val="0"/>
            </c:dLbl>
            <c:dLbl>
              <c:idx val="8"/>
              <c:layout>
                <c:manualLayout>
                  <c:x val="-4.4783715012722644E-2"/>
                  <c:y val="-2.9263827518539759E-2"/>
                </c:manualLayout>
              </c:layout>
              <c:showLegendKey val="0"/>
              <c:showVal val="1"/>
              <c:showCatName val="0"/>
              <c:showSerName val="0"/>
              <c:showPercent val="0"/>
              <c:showBubbleSize val="0"/>
            </c:dLbl>
            <c:dLbl>
              <c:idx val="9"/>
              <c:layout>
                <c:manualLayout>
                  <c:x val="-4.2748091603053436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Kõik!$C$9:$L$9</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Kõik!$C$10:$L$10</c:f>
              <c:numCache>
                <c:formatCode>General</c:formatCode>
                <c:ptCount val="10"/>
                <c:pt idx="0">
                  <c:v>23.2</c:v>
                </c:pt>
                <c:pt idx="1">
                  <c:v>19.600000000000001</c:v>
                </c:pt>
                <c:pt idx="2">
                  <c:v>23.6</c:v>
                </c:pt>
                <c:pt idx="3">
                  <c:v>36.9</c:v>
                </c:pt>
                <c:pt idx="4">
                  <c:v>42.8</c:v>
                </c:pt>
                <c:pt idx="5">
                  <c:v>45</c:v>
                </c:pt>
                <c:pt idx="6">
                  <c:v>50.6</c:v>
                </c:pt>
                <c:pt idx="7">
                  <c:v>52.8</c:v>
                </c:pt>
                <c:pt idx="8">
                  <c:v>63.5</c:v>
                </c:pt>
                <c:pt idx="9">
                  <c:v>45.4</c:v>
                </c:pt>
              </c:numCache>
            </c:numRef>
          </c:val>
          <c:smooth val="0"/>
        </c:ser>
        <c:ser>
          <c:idx val="1"/>
          <c:order val="1"/>
          <c:tx>
            <c:strRef>
              <c:f>Kõik!$B$11</c:f>
              <c:strCache>
                <c:ptCount val="1"/>
                <c:pt idx="0">
                  <c:v>SN kasvupind</c:v>
                </c:pt>
              </c:strCache>
            </c:strRef>
          </c:tx>
          <c:spPr>
            <a:ln w="50800">
              <a:solidFill>
                <a:schemeClr val="accent6">
                  <a:lumMod val="60000"/>
                  <a:lumOff val="40000"/>
                </a:schemeClr>
              </a:solidFill>
            </a:ln>
          </c:spPr>
          <c:marker>
            <c:symbol val="circle"/>
            <c:size val="15"/>
            <c:spPr>
              <a:solidFill>
                <a:schemeClr val="accent6">
                  <a:lumMod val="60000"/>
                  <a:lumOff val="40000"/>
                </a:schemeClr>
              </a:solidFill>
              <a:ln>
                <a:solidFill>
                  <a:schemeClr val="accent6">
                    <a:lumMod val="40000"/>
                    <a:lumOff val="60000"/>
                  </a:schemeClr>
                </a:solidFill>
              </a:ln>
            </c:spPr>
          </c:marker>
          <c:dLbls>
            <c:dLbl>
              <c:idx val="0"/>
              <c:layout>
                <c:manualLayout>
                  <c:x val="-4.2748091603053436E-2"/>
                  <c:y val="-1.097393531945241E-2"/>
                </c:manualLayout>
              </c:layout>
              <c:showLegendKey val="0"/>
              <c:showVal val="1"/>
              <c:showCatName val="0"/>
              <c:showSerName val="0"/>
              <c:showPercent val="0"/>
              <c:showBubbleSize val="0"/>
            </c:dLbl>
            <c:dLbl>
              <c:idx val="1"/>
              <c:layout>
                <c:manualLayout>
                  <c:x val="-3.6641221374045803E-2"/>
                  <c:y val="-3.6579784398174699E-3"/>
                </c:manualLayout>
              </c:layout>
              <c:showLegendKey val="0"/>
              <c:showVal val="1"/>
              <c:showCatName val="0"/>
              <c:showSerName val="0"/>
              <c:showPercent val="0"/>
              <c:showBubbleSize val="0"/>
            </c:dLbl>
            <c:dLbl>
              <c:idx val="2"/>
              <c:layout>
                <c:manualLayout>
                  <c:x val="-4.2748091603053436E-2"/>
                  <c:y val="0"/>
                </c:manualLayout>
              </c:layout>
              <c:showLegendKey val="0"/>
              <c:showVal val="1"/>
              <c:showCatName val="0"/>
              <c:showSerName val="0"/>
              <c:showPercent val="0"/>
              <c:showBubbleSize val="0"/>
            </c:dLbl>
            <c:dLbl>
              <c:idx val="3"/>
              <c:layout>
                <c:manualLayout>
                  <c:x val="-4.2748091603053436E-2"/>
                  <c:y val="-1.4631913759269879E-2"/>
                </c:manualLayout>
              </c:layout>
              <c:showLegendKey val="0"/>
              <c:showVal val="1"/>
              <c:showCatName val="0"/>
              <c:showSerName val="0"/>
              <c:showPercent val="0"/>
              <c:showBubbleSize val="0"/>
            </c:dLbl>
            <c:dLbl>
              <c:idx val="4"/>
              <c:layout>
                <c:manualLayout>
                  <c:x val="-4.2748091603053436E-2"/>
                  <c:y val="-1.097393531945241E-2"/>
                </c:manualLayout>
              </c:layout>
              <c:showLegendKey val="0"/>
              <c:showVal val="1"/>
              <c:showCatName val="0"/>
              <c:showSerName val="0"/>
              <c:showPercent val="0"/>
              <c:showBubbleSize val="0"/>
            </c:dLbl>
            <c:dLbl>
              <c:idx val="5"/>
              <c:layout>
                <c:manualLayout>
                  <c:x val="-4.2748091603053436E-2"/>
                  <c:y val="-7.3159568796349397E-3"/>
                </c:manualLayout>
              </c:layout>
              <c:showLegendKey val="0"/>
              <c:showVal val="1"/>
              <c:showCatName val="0"/>
              <c:showSerName val="0"/>
              <c:showPercent val="0"/>
              <c:showBubbleSize val="0"/>
            </c:dLbl>
            <c:dLbl>
              <c:idx val="6"/>
              <c:layout>
                <c:manualLayout>
                  <c:x val="-4.2748091603053512E-2"/>
                  <c:y val="-1.097393531945241E-2"/>
                </c:manualLayout>
              </c:layout>
              <c:showLegendKey val="0"/>
              <c:showVal val="1"/>
              <c:showCatName val="0"/>
              <c:showSerName val="0"/>
              <c:showPercent val="0"/>
              <c:showBubbleSize val="0"/>
            </c:dLbl>
            <c:dLbl>
              <c:idx val="7"/>
              <c:layout>
                <c:manualLayout>
                  <c:x val="-4.2748091603053436E-2"/>
                  <c:y val="-3.6579784398174699E-3"/>
                </c:manualLayout>
              </c:layout>
              <c:showLegendKey val="0"/>
              <c:showVal val="1"/>
              <c:showCatName val="0"/>
              <c:showSerName val="0"/>
              <c:showPercent val="0"/>
              <c:showBubbleSize val="0"/>
            </c:dLbl>
            <c:dLbl>
              <c:idx val="8"/>
              <c:layout>
                <c:manualLayout>
                  <c:x val="-4.681933842239186E-2"/>
                  <c:y val="2.9263827518539759E-2"/>
                </c:manualLayout>
              </c:layout>
              <c:showLegendKey val="0"/>
              <c:showVal val="1"/>
              <c:showCatName val="0"/>
              <c:showSerName val="0"/>
              <c:showPercent val="0"/>
              <c:showBubbleSize val="0"/>
            </c:dLbl>
            <c:dLbl>
              <c:idx val="9"/>
              <c:layout>
                <c:manualLayout>
                  <c:x val="-4.2748091603053436E-2"/>
                  <c:y val="-1.09739353194524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Kõik!$C$9:$L$9</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Kõik!$C$11:$L$11</c:f>
              <c:numCache>
                <c:formatCode>General</c:formatCode>
                <c:ptCount val="10"/>
                <c:pt idx="0">
                  <c:v>55.2</c:v>
                </c:pt>
                <c:pt idx="1">
                  <c:v>65.8</c:v>
                </c:pt>
                <c:pt idx="2">
                  <c:v>67.3</c:v>
                </c:pt>
                <c:pt idx="3">
                  <c:v>62.6</c:v>
                </c:pt>
                <c:pt idx="4">
                  <c:v>64.8</c:v>
                </c:pt>
                <c:pt idx="5">
                  <c:v>68.599999999999994</c:v>
                </c:pt>
                <c:pt idx="6">
                  <c:v>68.8</c:v>
                </c:pt>
                <c:pt idx="7">
                  <c:v>75.599999999999994</c:v>
                </c:pt>
                <c:pt idx="8">
                  <c:v>60.8</c:v>
                </c:pt>
                <c:pt idx="9">
                  <c:v>79.3</c:v>
                </c:pt>
              </c:numCache>
            </c:numRef>
          </c:val>
          <c:smooth val="0"/>
        </c:ser>
        <c:dLbls>
          <c:showLegendKey val="0"/>
          <c:showVal val="0"/>
          <c:showCatName val="0"/>
          <c:showSerName val="0"/>
          <c:showPercent val="0"/>
          <c:showBubbleSize val="0"/>
        </c:dLbls>
        <c:marker val="1"/>
        <c:smooth val="0"/>
        <c:axId val="80156160"/>
        <c:axId val="80157696"/>
      </c:lineChart>
      <c:lineChart>
        <c:grouping val="standard"/>
        <c:varyColors val="0"/>
        <c:ser>
          <c:idx val="4"/>
          <c:order val="4"/>
          <c:tx>
            <c:strRef>
              <c:f>Kõik!$B$14</c:f>
              <c:strCache>
                <c:ptCount val="1"/>
                <c:pt idx="0">
                  <c:v>TN saagikus</c:v>
                </c:pt>
              </c:strCache>
            </c:strRef>
          </c:tx>
          <c:spPr>
            <a:ln w="50800">
              <a:solidFill>
                <a:srgbClr val="FFFF00"/>
              </a:solidFill>
            </a:ln>
          </c:spPr>
          <c:marker>
            <c:symbol val="none"/>
          </c:marker>
          <c:cat>
            <c:numRef>
              <c:f>Kõik!$C$9:$L$9</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Kõik!$C$14:$L$14</c:f>
              <c:numCache>
                <c:formatCode>General</c:formatCode>
                <c:ptCount val="10"/>
                <c:pt idx="0">
                  <c:v>2.8690000000000002</c:v>
                </c:pt>
                <c:pt idx="1">
                  <c:v>3.6339999999999999</c:v>
                </c:pt>
                <c:pt idx="2">
                  <c:v>2.7629999999999999</c:v>
                </c:pt>
                <c:pt idx="3">
                  <c:v>4.1050000000000004</c:v>
                </c:pt>
                <c:pt idx="4">
                  <c:v>3.823</c:v>
                </c:pt>
                <c:pt idx="5">
                  <c:v>3.2160000000000002</c:v>
                </c:pt>
                <c:pt idx="6">
                  <c:v>2.9340000000000002</c:v>
                </c:pt>
                <c:pt idx="7">
                  <c:v>3.0129999999999999</c:v>
                </c:pt>
                <c:pt idx="8">
                  <c:v>4.6619999999999999</c:v>
                </c:pt>
                <c:pt idx="9">
                  <c:v>3.0579999999999998</c:v>
                </c:pt>
              </c:numCache>
            </c:numRef>
          </c:val>
          <c:smooth val="1"/>
        </c:ser>
        <c:ser>
          <c:idx val="5"/>
          <c:order val="5"/>
          <c:tx>
            <c:strRef>
              <c:f>Kõik!$B$15</c:f>
              <c:strCache>
                <c:ptCount val="1"/>
                <c:pt idx="0">
                  <c:v>SN saagikus</c:v>
                </c:pt>
              </c:strCache>
            </c:strRef>
          </c:tx>
          <c:spPr>
            <a:ln w="50800"/>
          </c:spPr>
          <c:marker>
            <c:symbol val="none"/>
          </c:marker>
          <c:cat>
            <c:numRef>
              <c:f>Kõik!$C$9:$L$9</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Kõik!$C$15:$L$15</c:f>
              <c:numCache>
                <c:formatCode>General</c:formatCode>
                <c:ptCount val="10"/>
                <c:pt idx="0">
                  <c:v>2.3570000000000002</c:v>
                </c:pt>
                <c:pt idx="1">
                  <c:v>2.9169999999999998</c:v>
                </c:pt>
                <c:pt idx="2">
                  <c:v>2.2959999999999998</c:v>
                </c:pt>
                <c:pt idx="3">
                  <c:v>3.1059999999999999</c:v>
                </c:pt>
                <c:pt idx="4">
                  <c:v>2.7589999999999999</c:v>
                </c:pt>
                <c:pt idx="5">
                  <c:v>2.883</c:v>
                </c:pt>
                <c:pt idx="6">
                  <c:v>2.6040000000000001</c:v>
                </c:pt>
                <c:pt idx="7">
                  <c:v>2.6589999999999998</c:v>
                </c:pt>
                <c:pt idx="8">
                  <c:v>3.1019999999999999</c:v>
                </c:pt>
                <c:pt idx="9">
                  <c:v>3.302</c:v>
                </c:pt>
              </c:numCache>
            </c:numRef>
          </c:val>
          <c:smooth val="1"/>
        </c:ser>
        <c:dLbls>
          <c:showLegendKey val="0"/>
          <c:showVal val="0"/>
          <c:showCatName val="0"/>
          <c:showSerName val="0"/>
          <c:showPercent val="0"/>
          <c:showBubbleSize val="0"/>
        </c:dLbls>
        <c:marker val="1"/>
        <c:smooth val="0"/>
        <c:axId val="80161024"/>
        <c:axId val="80159488"/>
      </c:lineChart>
      <c:catAx>
        <c:axId val="80156160"/>
        <c:scaling>
          <c:orientation val="minMax"/>
        </c:scaling>
        <c:delete val="0"/>
        <c:axPos val="b"/>
        <c:numFmt formatCode="General" sourceLinked="1"/>
        <c:majorTickMark val="out"/>
        <c:minorTickMark val="none"/>
        <c:tickLblPos val="nextTo"/>
        <c:crossAx val="80157696"/>
        <c:crosses val="autoZero"/>
        <c:auto val="1"/>
        <c:lblAlgn val="ctr"/>
        <c:lblOffset val="100"/>
        <c:noMultiLvlLbl val="0"/>
      </c:catAx>
      <c:valAx>
        <c:axId val="80157696"/>
        <c:scaling>
          <c:orientation val="minMax"/>
          <c:max val="500"/>
        </c:scaling>
        <c:delete val="0"/>
        <c:axPos val="l"/>
        <c:majorGridlines/>
        <c:numFmt formatCode="General" sourceLinked="1"/>
        <c:majorTickMark val="out"/>
        <c:minorTickMark val="none"/>
        <c:tickLblPos val="nextTo"/>
        <c:crossAx val="80156160"/>
        <c:crosses val="autoZero"/>
        <c:crossBetween val="between"/>
      </c:valAx>
      <c:valAx>
        <c:axId val="80159488"/>
        <c:scaling>
          <c:orientation val="minMax"/>
        </c:scaling>
        <c:delete val="0"/>
        <c:axPos val="r"/>
        <c:numFmt formatCode="General" sourceLinked="1"/>
        <c:majorTickMark val="out"/>
        <c:minorTickMark val="none"/>
        <c:tickLblPos val="nextTo"/>
        <c:crossAx val="80161024"/>
        <c:crosses val="max"/>
        <c:crossBetween val="between"/>
      </c:valAx>
      <c:catAx>
        <c:axId val="80161024"/>
        <c:scaling>
          <c:orientation val="minMax"/>
        </c:scaling>
        <c:delete val="1"/>
        <c:axPos val="b"/>
        <c:numFmt formatCode="General" sourceLinked="1"/>
        <c:majorTickMark val="out"/>
        <c:minorTickMark val="none"/>
        <c:tickLblPos val="nextTo"/>
        <c:crossAx val="80159488"/>
        <c:crosses val="autoZero"/>
        <c:auto val="1"/>
        <c:lblAlgn val="ctr"/>
        <c:lblOffset val="100"/>
        <c:noMultiLvlLbl val="0"/>
      </c:catAx>
    </c:plotArea>
    <c:legend>
      <c:legendPos val="r"/>
      <c:layout>
        <c:manualLayout>
          <c:xMode val="edge"/>
          <c:yMode val="edge"/>
          <c:x val="0.18538877681612112"/>
          <c:y val="4.9581990170691752E-2"/>
          <c:w val="0.57237196590095663"/>
          <c:h val="0.12576758442107489"/>
        </c:manualLayout>
      </c:layout>
      <c:overlay val="0"/>
    </c:legend>
    <c:plotVisOnly val="1"/>
    <c:dispBlanksAs val="gap"/>
    <c:showDLblsOverMax val="0"/>
  </c:chart>
  <c:spPr>
    <a:ln>
      <a:solidFill>
        <a:schemeClr val="bg1"/>
      </a:solidFill>
    </a:ln>
  </c:spPr>
  <c:txPr>
    <a:bodyPr/>
    <a:lstStyle/>
    <a:p>
      <a:pPr>
        <a:defRPr sz="1000"/>
      </a:pPr>
      <a:endParaRPr lang="et-EE"/>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122895036350541E-2"/>
          <c:y val="5.2196982571423176E-2"/>
          <c:w val="0.84007804334192737"/>
          <c:h val="0.85163201722086901"/>
        </c:manualLayout>
      </c:layout>
      <c:barChart>
        <c:barDir val="col"/>
        <c:grouping val="clustered"/>
        <c:varyColors val="0"/>
        <c:ser>
          <c:idx val="1"/>
          <c:order val="1"/>
          <c:tx>
            <c:strRef>
              <c:f>Kõik!$A$35</c:f>
              <c:strCache>
                <c:ptCount val="1"/>
                <c:pt idx="0">
                  <c:v>Saak</c:v>
                </c:pt>
              </c:strCache>
            </c:strRef>
          </c:tx>
          <c:invertIfNegative val="0"/>
          <c:cat>
            <c:numRef>
              <c:f>Kõik!$B$33:$K$33</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Kõik!$B$35:$K$35</c:f>
              <c:numCache>
                <c:formatCode>General</c:formatCode>
                <c:ptCount val="10"/>
                <c:pt idx="0">
                  <c:v>293.5</c:v>
                </c:pt>
                <c:pt idx="1">
                  <c:v>366.7</c:v>
                </c:pt>
                <c:pt idx="2">
                  <c:v>302.7</c:v>
                </c:pt>
                <c:pt idx="3">
                  <c:v>362.7</c:v>
                </c:pt>
                <c:pt idx="4">
                  <c:v>349.1</c:v>
                </c:pt>
                <c:pt idx="5">
                  <c:v>377</c:v>
                </c:pt>
                <c:pt idx="6">
                  <c:v>254.8</c:v>
                </c:pt>
                <c:pt idx="7">
                  <c:v>295</c:v>
                </c:pt>
                <c:pt idx="8">
                  <c:v>341.3</c:v>
                </c:pt>
                <c:pt idx="9">
                  <c:v>439</c:v>
                </c:pt>
              </c:numCache>
            </c:numRef>
          </c:val>
        </c:ser>
        <c:dLbls>
          <c:showLegendKey val="0"/>
          <c:showVal val="0"/>
          <c:showCatName val="0"/>
          <c:showSerName val="0"/>
          <c:showPercent val="0"/>
          <c:showBubbleSize val="0"/>
        </c:dLbls>
        <c:gapWidth val="41"/>
        <c:axId val="80182272"/>
        <c:axId val="80188160"/>
      </c:barChart>
      <c:lineChart>
        <c:grouping val="standard"/>
        <c:varyColors val="0"/>
        <c:ser>
          <c:idx val="0"/>
          <c:order val="0"/>
          <c:tx>
            <c:strRef>
              <c:f>Kõik!$A$34</c:f>
              <c:strCache>
                <c:ptCount val="1"/>
                <c:pt idx="0">
                  <c:v>Kasvupind</c:v>
                </c:pt>
              </c:strCache>
            </c:strRef>
          </c:tx>
          <c:spPr>
            <a:ln w="50800"/>
          </c:spPr>
          <c:marker>
            <c:symbol val="circle"/>
            <c:size val="15"/>
          </c:marker>
          <c:dLbls>
            <c:dLblPos val="ctr"/>
            <c:showLegendKey val="0"/>
            <c:showVal val="1"/>
            <c:showCatName val="0"/>
            <c:showSerName val="0"/>
            <c:showPercent val="0"/>
            <c:showBubbleSize val="0"/>
            <c:showLeaderLines val="0"/>
          </c:dLbls>
          <c:cat>
            <c:numRef>
              <c:f>Kõik!$B$33:$K$33</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Kõik!$B$34:$K$34</c:f>
              <c:numCache>
                <c:formatCode>General</c:formatCode>
                <c:ptCount val="10"/>
                <c:pt idx="0">
                  <c:v>127.2</c:v>
                </c:pt>
                <c:pt idx="1">
                  <c:v>144.19999999999999</c:v>
                </c:pt>
                <c:pt idx="2">
                  <c:v>142</c:v>
                </c:pt>
                <c:pt idx="3">
                  <c:v>136.1</c:v>
                </c:pt>
                <c:pt idx="4">
                  <c:v>136.5</c:v>
                </c:pt>
                <c:pt idx="5">
                  <c:v>140.69999999999999</c:v>
                </c:pt>
                <c:pt idx="6">
                  <c:v>104.8</c:v>
                </c:pt>
                <c:pt idx="7">
                  <c:v>118.3</c:v>
                </c:pt>
                <c:pt idx="8">
                  <c:v>109</c:v>
                </c:pt>
                <c:pt idx="9">
                  <c:v>133</c:v>
                </c:pt>
              </c:numCache>
            </c:numRef>
          </c:val>
          <c:smooth val="0"/>
        </c:ser>
        <c:dLbls>
          <c:showLegendKey val="0"/>
          <c:showVal val="0"/>
          <c:showCatName val="0"/>
          <c:showSerName val="0"/>
          <c:showPercent val="0"/>
          <c:showBubbleSize val="0"/>
        </c:dLbls>
        <c:marker val="1"/>
        <c:smooth val="0"/>
        <c:axId val="80182272"/>
        <c:axId val="80188160"/>
      </c:lineChart>
      <c:lineChart>
        <c:grouping val="standard"/>
        <c:varyColors val="0"/>
        <c:ser>
          <c:idx val="2"/>
          <c:order val="2"/>
          <c:tx>
            <c:strRef>
              <c:f>Kõik!$A$36</c:f>
              <c:strCache>
                <c:ptCount val="1"/>
                <c:pt idx="0">
                  <c:v>Saagikus</c:v>
                </c:pt>
              </c:strCache>
            </c:strRef>
          </c:tx>
          <c:spPr>
            <a:ln w="50800"/>
          </c:spPr>
          <c:marker>
            <c:symbol val="none"/>
          </c:marker>
          <c:cat>
            <c:numRef>
              <c:f>Kõik!$B$33:$K$33</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Kõik!$B$36:$K$36</c:f>
              <c:numCache>
                <c:formatCode>0</c:formatCode>
                <c:ptCount val="10"/>
                <c:pt idx="0">
                  <c:v>2307.3899371069178</c:v>
                </c:pt>
                <c:pt idx="1">
                  <c:v>2542.9958391123441</c:v>
                </c:pt>
                <c:pt idx="2">
                  <c:v>2131.6901408450703</c:v>
                </c:pt>
                <c:pt idx="3">
                  <c:v>2664.9522409992655</c:v>
                </c:pt>
                <c:pt idx="4">
                  <c:v>2557.5091575091578</c:v>
                </c:pt>
                <c:pt idx="5">
                  <c:v>2679.4598436389483</c:v>
                </c:pt>
                <c:pt idx="6">
                  <c:v>2431.2977099236641</c:v>
                </c:pt>
                <c:pt idx="7">
                  <c:v>2493.6601859678781</c:v>
                </c:pt>
                <c:pt idx="8">
                  <c:v>3131.1926605504586</c:v>
                </c:pt>
                <c:pt idx="9">
                  <c:v>3300.7518796992481</c:v>
                </c:pt>
              </c:numCache>
            </c:numRef>
          </c:val>
          <c:smooth val="1"/>
        </c:ser>
        <c:dLbls>
          <c:showLegendKey val="0"/>
          <c:showVal val="0"/>
          <c:showCatName val="0"/>
          <c:showSerName val="0"/>
          <c:showPercent val="0"/>
          <c:showBubbleSize val="0"/>
        </c:dLbls>
        <c:marker val="1"/>
        <c:smooth val="0"/>
        <c:axId val="80199680"/>
        <c:axId val="80189696"/>
      </c:lineChart>
      <c:catAx>
        <c:axId val="80182272"/>
        <c:scaling>
          <c:orientation val="minMax"/>
        </c:scaling>
        <c:delete val="0"/>
        <c:axPos val="b"/>
        <c:numFmt formatCode="General" sourceLinked="1"/>
        <c:majorTickMark val="out"/>
        <c:minorTickMark val="none"/>
        <c:tickLblPos val="nextTo"/>
        <c:crossAx val="80188160"/>
        <c:crosses val="autoZero"/>
        <c:auto val="1"/>
        <c:lblAlgn val="ctr"/>
        <c:lblOffset val="100"/>
        <c:noMultiLvlLbl val="0"/>
      </c:catAx>
      <c:valAx>
        <c:axId val="80188160"/>
        <c:scaling>
          <c:orientation val="minMax"/>
        </c:scaling>
        <c:delete val="0"/>
        <c:axPos val="l"/>
        <c:majorGridlines/>
        <c:numFmt formatCode="General" sourceLinked="1"/>
        <c:majorTickMark val="out"/>
        <c:minorTickMark val="none"/>
        <c:tickLblPos val="nextTo"/>
        <c:crossAx val="80182272"/>
        <c:crosses val="autoZero"/>
        <c:crossBetween val="between"/>
      </c:valAx>
      <c:valAx>
        <c:axId val="80189696"/>
        <c:scaling>
          <c:orientation val="minMax"/>
        </c:scaling>
        <c:delete val="0"/>
        <c:axPos val="r"/>
        <c:numFmt formatCode="0" sourceLinked="1"/>
        <c:majorTickMark val="out"/>
        <c:minorTickMark val="none"/>
        <c:tickLblPos val="nextTo"/>
        <c:crossAx val="80199680"/>
        <c:crosses val="max"/>
        <c:crossBetween val="between"/>
      </c:valAx>
      <c:catAx>
        <c:axId val="80199680"/>
        <c:scaling>
          <c:orientation val="minMax"/>
        </c:scaling>
        <c:delete val="1"/>
        <c:axPos val="b"/>
        <c:numFmt formatCode="General" sourceLinked="1"/>
        <c:majorTickMark val="out"/>
        <c:minorTickMark val="none"/>
        <c:tickLblPos val="nextTo"/>
        <c:crossAx val="80189696"/>
        <c:crosses val="autoZero"/>
        <c:auto val="1"/>
        <c:lblAlgn val="ctr"/>
        <c:lblOffset val="100"/>
        <c:noMultiLvlLbl val="0"/>
      </c:catAx>
    </c:plotArea>
    <c:legend>
      <c:legendPos val="r"/>
      <c:layout>
        <c:manualLayout>
          <c:xMode val="edge"/>
          <c:yMode val="edge"/>
          <c:x val="0.20386641325006788"/>
          <c:y val="0.78388338148378944"/>
          <c:w val="0.57516289224908834"/>
          <c:h val="0.10683880247674436"/>
        </c:manualLayout>
      </c:layout>
      <c:overlay val="0"/>
      <c:spPr>
        <a:solidFill>
          <a:sysClr val="window" lastClr="FFFFFF"/>
        </a:solidFill>
      </c:spPr>
    </c:legend>
    <c:plotVisOnly val="1"/>
    <c:dispBlanksAs val="gap"/>
    <c:showDLblsOverMax val="0"/>
  </c:chart>
  <c:spPr>
    <a:ln>
      <a:solidFill>
        <a:schemeClr val="bg1"/>
      </a:solidFill>
    </a:ln>
  </c:sp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817972753405826E-2"/>
          <c:y val="9.3622437292742722E-2"/>
          <c:w val="0.84584906886639166"/>
          <c:h val="0.8129448359385737"/>
        </c:manualLayout>
      </c:layout>
      <c:barChart>
        <c:barDir val="col"/>
        <c:grouping val="clustered"/>
        <c:varyColors val="0"/>
        <c:ser>
          <c:idx val="1"/>
          <c:order val="1"/>
          <c:tx>
            <c:strRef>
              <c:f>Kõik!$A$66</c:f>
              <c:strCache>
                <c:ptCount val="1"/>
                <c:pt idx="0">
                  <c:v>Saak</c:v>
                </c:pt>
              </c:strCache>
            </c:strRef>
          </c:tx>
          <c:spPr>
            <a:solidFill>
              <a:schemeClr val="accent3">
                <a:lumMod val="75000"/>
              </a:schemeClr>
            </a:solidFill>
          </c:spPr>
          <c:invertIfNegative val="0"/>
          <c:cat>
            <c:numRef>
              <c:f>Kõik!$B$64:$K$64</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Kõik!$B$66:$K$66</c:f>
              <c:numCache>
                <c:formatCode>General</c:formatCode>
                <c:ptCount val="10"/>
                <c:pt idx="0">
                  <c:v>18.100000000000001</c:v>
                </c:pt>
                <c:pt idx="1">
                  <c:v>20.399999999999999</c:v>
                </c:pt>
                <c:pt idx="2">
                  <c:v>17.8</c:v>
                </c:pt>
                <c:pt idx="3">
                  <c:v>61</c:v>
                </c:pt>
                <c:pt idx="4">
                  <c:v>65.599999999999994</c:v>
                </c:pt>
                <c:pt idx="5">
                  <c:v>39.1</c:v>
                </c:pt>
                <c:pt idx="6">
                  <c:v>25</c:v>
                </c:pt>
                <c:pt idx="7">
                  <c:v>31</c:v>
                </c:pt>
                <c:pt idx="8">
                  <c:v>57.1</c:v>
                </c:pt>
                <c:pt idx="9">
                  <c:v>21.7</c:v>
                </c:pt>
              </c:numCache>
            </c:numRef>
          </c:val>
        </c:ser>
        <c:dLbls>
          <c:showLegendKey val="0"/>
          <c:showVal val="0"/>
          <c:showCatName val="0"/>
          <c:showSerName val="0"/>
          <c:showPercent val="0"/>
          <c:showBubbleSize val="0"/>
        </c:dLbls>
        <c:gapWidth val="47"/>
        <c:axId val="80220160"/>
        <c:axId val="80221696"/>
      </c:barChart>
      <c:lineChart>
        <c:grouping val="standard"/>
        <c:varyColors val="0"/>
        <c:ser>
          <c:idx val="0"/>
          <c:order val="0"/>
          <c:tx>
            <c:strRef>
              <c:f>Kõik!$A$65</c:f>
              <c:strCache>
                <c:ptCount val="1"/>
                <c:pt idx="0">
                  <c:v>Kasvupind</c:v>
                </c:pt>
              </c:strCache>
            </c:strRef>
          </c:tx>
          <c:spPr>
            <a:ln w="50800">
              <a:solidFill>
                <a:srgbClr val="FF0000"/>
              </a:solidFill>
            </a:ln>
          </c:spPr>
          <c:marker>
            <c:symbol val="circle"/>
            <c:size val="15"/>
            <c:spPr>
              <a:solidFill>
                <a:srgbClr val="FF0000"/>
              </a:solidFill>
              <a:ln>
                <a:solidFill>
                  <a:srgbClr val="FF0000"/>
                </a:solidFill>
              </a:ln>
            </c:spPr>
          </c:marker>
          <c:dLbls>
            <c:dLblPos val="ctr"/>
            <c:showLegendKey val="0"/>
            <c:showVal val="1"/>
            <c:showCatName val="0"/>
            <c:showSerName val="0"/>
            <c:showPercent val="0"/>
            <c:showBubbleSize val="0"/>
            <c:showLeaderLines val="0"/>
          </c:dLbls>
          <c:cat>
            <c:numRef>
              <c:f>Kõik!$B$64:$K$64</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Kõik!$B$65:$K$65</c:f>
              <c:numCache>
                <c:formatCode>General</c:formatCode>
                <c:ptCount val="10"/>
                <c:pt idx="0">
                  <c:v>8.1</c:v>
                </c:pt>
                <c:pt idx="1">
                  <c:v>7.4</c:v>
                </c:pt>
                <c:pt idx="2">
                  <c:v>7.3</c:v>
                </c:pt>
                <c:pt idx="3">
                  <c:v>16.8</c:v>
                </c:pt>
                <c:pt idx="4">
                  <c:v>21.4</c:v>
                </c:pt>
                <c:pt idx="5">
                  <c:v>15.3</c:v>
                </c:pt>
                <c:pt idx="6">
                  <c:v>12.6</c:v>
                </c:pt>
                <c:pt idx="7">
                  <c:v>13.3</c:v>
                </c:pt>
                <c:pt idx="8">
                  <c:v>16.899999999999999</c:v>
                </c:pt>
                <c:pt idx="9">
                  <c:v>11.5</c:v>
                </c:pt>
              </c:numCache>
            </c:numRef>
          </c:val>
          <c:smooth val="0"/>
        </c:ser>
        <c:dLbls>
          <c:showLegendKey val="0"/>
          <c:showVal val="0"/>
          <c:showCatName val="0"/>
          <c:showSerName val="0"/>
          <c:showPercent val="0"/>
          <c:showBubbleSize val="0"/>
        </c:dLbls>
        <c:marker val="1"/>
        <c:smooth val="0"/>
        <c:axId val="80220160"/>
        <c:axId val="80221696"/>
      </c:lineChart>
      <c:lineChart>
        <c:grouping val="standard"/>
        <c:varyColors val="0"/>
        <c:ser>
          <c:idx val="2"/>
          <c:order val="2"/>
          <c:tx>
            <c:strRef>
              <c:f>Kõik!$A$67</c:f>
              <c:strCache>
                <c:ptCount val="1"/>
                <c:pt idx="0">
                  <c:v>Saagikus</c:v>
                </c:pt>
              </c:strCache>
            </c:strRef>
          </c:tx>
          <c:spPr>
            <a:ln w="50800">
              <a:solidFill>
                <a:srgbClr val="FFFF00"/>
              </a:solidFill>
            </a:ln>
          </c:spPr>
          <c:marker>
            <c:symbol val="none"/>
          </c:marker>
          <c:cat>
            <c:numRef>
              <c:f>Kõik!$B$64:$K$64</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Kõik!$B$67:$K$67</c:f>
              <c:numCache>
                <c:formatCode>0</c:formatCode>
                <c:ptCount val="10"/>
                <c:pt idx="0">
                  <c:v>2234.5679012345681</c:v>
                </c:pt>
                <c:pt idx="1">
                  <c:v>2756.7567567567567</c:v>
                </c:pt>
                <c:pt idx="2">
                  <c:v>2438.3561643835615</c:v>
                </c:pt>
                <c:pt idx="3">
                  <c:v>3630.9523809523807</c:v>
                </c:pt>
                <c:pt idx="4">
                  <c:v>3065.4205607476633</c:v>
                </c:pt>
                <c:pt idx="5">
                  <c:v>2555.5555555555552</c:v>
                </c:pt>
                <c:pt idx="6">
                  <c:v>1984.1269841269841</c:v>
                </c:pt>
                <c:pt idx="7">
                  <c:v>2330.8270676691727</c:v>
                </c:pt>
                <c:pt idx="8">
                  <c:v>3378.6982248520712</c:v>
                </c:pt>
                <c:pt idx="9">
                  <c:v>1886.9565217391305</c:v>
                </c:pt>
              </c:numCache>
            </c:numRef>
          </c:val>
          <c:smooth val="1"/>
        </c:ser>
        <c:dLbls>
          <c:showLegendKey val="0"/>
          <c:showVal val="0"/>
          <c:showCatName val="0"/>
          <c:showSerName val="0"/>
          <c:showPercent val="0"/>
          <c:showBubbleSize val="0"/>
        </c:dLbls>
        <c:marker val="1"/>
        <c:smooth val="0"/>
        <c:axId val="80245504"/>
        <c:axId val="80223232"/>
      </c:lineChart>
      <c:catAx>
        <c:axId val="80220160"/>
        <c:scaling>
          <c:orientation val="minMax"/>
        </c:scaling>
        <c:delete val="0"/>
        <c:axPos val="b"/>
        <c:numFmt formatCode="General" sourceLinked="1"/>
        <c:majorTickMark val="out"/>
        <c:minorTickMark val="none"/>
        <c:tickLblPos val="nextTo"/>
        <c:crossAx val="80221696"/>
        <c:crosses val="autoZero"/>
        <c:auto val="1"/>
        <c:lblAlgn val="ctr"/>
        <c:lblOffset val="100"/>
        <c:noMultiLvlLbl val="0"/>
      </c:catAx>
      <c:valAx>
        <c:axId val="80221696"/>
        <c:scaling>
          <c:orientation val="minMax"/>
        </c:scaling>
        <c:delete val="0"/>
        <c:axPos val="l"/>
        <c:majorGridlines/>
        <c:numFmt formatCode="General" sourceLinked="1"/>
        <c:majorTickMark val="out"/>
        <c:minorTickMark val="none"/>
        <c:tickLblPos val="nextTo"/>
        <c:crossAx val="80220160"/>
        <c:crosses val="autoZero"/>
        <c:crossBetween val="between"/>
      </c:valAx>
      <c:valAx>
        <c:axId val="80223232"/>
        <c:scaling>
          <c:orientation val="minMax"/>
        </c:scaling>
        <c:delete val="0"/>
        <c:axPos val="r"/>
        <c:numFmt formatCode="0" sourceLinked="1"/>
        <c:majorTickMark val="out"/>
        <c:minorTickMark val="none"/>
        <c:tickLblPos val="nextTo"/>
        <c:crossAx val="80245504"/>
        <c:crosses val="max"/>
        <c:crossBetween val="between"/>
      </c:valAx>
      <c:catAx>
        <c:axId val="80245504"/>
        <c:scaling>
          <c:orientation val="minMax"/>
        </c:scaling>
        <c:delete val="1"/>
        <c:axPos val="b"/>
        <c:numFmt formatCode="General" sourceLinked="1"/>
        <c:majorTickMark val="out"/>
        <c:minorTickMark val="none"/>
        <c:tickLblPos val="nextTo"/>
        <c:crossAx val="80223232"/>
        <c:crosses val="autoZero"/>
        <c:auto val="1"/>
        <c:lblAlgn val="ctr"/>
        <c:lblOffset val="100"/>
        <c:noMultiLvlLbl val="0"/>
      </c:catAx>
    </c:plotArea>
    <c:legend>
      <c:legendPos val="r"/>
      <c:layout>
        <c:manualLayout>
          <c:xMode val="edge"/>
          <c:yMode val="edge"/>
          <c:x val="0.34545961754780652"/>
          <c:y val="0.81655227259111685"/>
          <c:w val="0.52247689038870138"/>
          <c:h val="6.4330956176281609E-2"/>
        </c:manualLayout>
      </c:layout>
      <c:overlay val="0"/>
      <c:spPr>
        <a:solidFill>
          <a:schemeClr val="bg1"/>
        </a:solidFill>
      </c:spPr>
    </c:legend>
    <c:plotVisOnly val="1"/>
    <c:dispBlanksAs val="gap"/>
    <c:showDLblsOverMax val="0"/>
  </c:chart>
  <c:spPr>
    <a:ln>
      <a:solidFill>
        <a:schemeClr val="bg1"/>
      </a:solid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0.05225</cdr:x>
      <cdr:y>0.03554</cdr:y>
    </cdr:from>
    <cdr:to>
      <cdr:x>0.15289</cdr:x>
      <cdr:y>0.11884</cdr:y>
    </cdr:to>
    <cdr:sp macro="" textlink="">
      <cdr:nvSpPr>
        <cdr:cNvPr id="2" name="TextBox 7"/>
        <cdr:cNvSpPr txBox="1"/>
      </cdr:nvSpPr>
      <cdr:spPr>
        <a:xfrm xmlns:a="http://schemas.openxmlformats.org/drawingml/2006/main">
          <a:off x="319038" y="89718"/>
          <a:ext cx="614412" cy="21025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p xmlns:a="http://schemas.openxmlformats.org/drawingml/2006/main">
          <a:r>
            <a:rPr lang="et-EE" sz="800"/>
            <a:t>tuh</a:t>
          </a:r>
          <a:r>
            <a:rPr lang="et-EE" sz="800" baseline="0"/>
            <a:t> ha</a:t>
          </a:r>
          <a:endParaRPr lang="et-EE" sz="800"/>
        </a:p>
      </cdr:txBody>
    </cdr:sp>
  </cdr:relSizeAnchor>
</c:userShapes>
</file>

<file path=word/drawings/drawing10.xml><?xml version="1.0" encoding="utf-8"?>
<c:userShapes xmlns:c="http://schemas.openxmlformats.org/drawingml/2006/chart">
  <cdr:relSizeAnchor xmlns:cdr="http://schemas.openxmlformats.org/drawingml/2006/chartDrawing">
    <cdr:from>
      <cdr:x>0.0715</cdr:x>
      <cdr:y>0.03265</cdr:y>
    </cdr:from>
    <cdr:to>
      <cdr:x>0.2395</cdr:x>
      <cdr:y>0.22752</cdr:y>
    </cdr:to>
    <cdr:sp macro="" textlink="">
      <cdr:nvSpPr>
        <cdr:cNvPr id="2" name="TextBox 1"/>
        <cdr:cNvSpPr txBox="1"/>
      </cdr:nvSpPr>
      <cdr:spPr>
        <a:xfrm xmlns:a="http://schemas.openxmlformats.org/drawingml/2006/main">
          <a:off x="435879" y="76200"/>
          <a:ext cx="1024128" cy="45475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t-EE" sz="1000"/>
            <a:t>tuh</a:t>
          </a:r>
          <a:r>
            <a:rPr lang="et-EE" sz="1000" baseline="0"/>
            <a:t> ha</a:t>
          </a:r>
        </a:p>
        <a:p xmlns:a="http://schemas.openxmlformats.org/drawingml/2006/main">
          <a:r>
            <a:rPr lang="et-EE" sz="1000" baseline="0"/>
            <a:t>tuh t</a:t>
          </a:r>
          <a:endParaRPr lang="et-EE" sz="1000"/>
        </a:p>
      </cdr:txBody>
    </cdr:sp>
  </cdr:relSizeAnchor>
  <cdr:relSizeAnchor xmlns:cdr="http://schemas.openxmlformats.org/drawingml/2006/chartDrawing">
    <cdr:from>
      <cdr:x>0.82725</cdr:x>
      <cdr:y>0.02857</cdr:y>
    </cdr:from>
    <cdr:to>
      <cdr:x>0.91649</cdr:x>
      <cdr:y>0.09957</cdr:y>
    </cdr:to>
    <cdr:sp macro="" textlink="">
      <cdr:nvSpPr>
        <cdr:cNvPr id="3" name="TextBox 1"/>
        <cdr:cNvSpPr txBox="1"/>
      </cdr:nvSpPr>
      <cdr:spPr>
        <a:xfrm xmlns:a="http://schemas.openxmlformats.org/drawingml/2006/main">
          <a:off x="5042886" y="66675"/>
          <a:ext cx="544007" cy="16568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t-EE" sz="1000"/>
            <a:t>kg/ha</a:t>
          </a:r>
        </a:p>
      </cdr:txBody>
    </cdr:sp>
  </cdr:relSizeAnchor>
</c:userShapes>
</file>

<file path=word/drawings/drawing11.xml><?xml version="1.0" encoding="utf-8"?>
<c:userShapes xmlns:c="http://schemas.openxmlformats.org/drawingml/2006/chart">
  <cdr:relSizeAnchor xmlns:cdr="http://schemas.openxmlformats.org/drawingml/2006/chartDrawing">
    <cdr:from>
      <cdr:x>0.89399</cdr:x>
      <cdr:y>0.0254</cdr:y>
    </cdr:from>
    <cdr:to>
      <cdr:x>0.96369</cdr:x>
      <cdr:y>0.25756</cdr:y>
    </cdr:to>
    <cdr:sp macro="" textlink="">
      <cdr:nvSpPr>
        <cdr:cNvPr id="2" name="TextBox 1"/>
        <cdr:cNvSpPr txBox="1"/>
      </cdr:nvSpPr>
      <cdr:spPr>
        <a:xfrm xmlns:a="http://schemas.openxmlformats.org/drawingml/2006/main">
          <a:off x="5415692" y="66784"/>
          <a:ext cx="422236" cy="6103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t-EE" sz="1000"/>
            <a:t>t/ha</a:t>
          </a:r>
        </a:p>
      </cdr:txBody>
    </cdr:sp>
  </cdr:relSizeAnchor>
  <cdr:relSizeAnchor xmlns:cdr="http://schemas.openxmlformats.org/drawingml/2006/chartDrawing">
    <cdr:from>
      <cdr:x>0.05832</cdr:x>
      <cdr:y>0.03868</cdr:y>
    </cdr:from>
    <cdr:to>
      <cdr:x>0.19488</cdr:x>
      <cdr:y>0.23022</cdr:y>
    </cdr:to>
    <cdr:sp macro="" textlink="">
      <cdr:nvSpPr>
        <cdr:cNvPr id="3" name="TextBox 2"/>
        <cdr:cNvSpPr txBox="1"/>
      </cdr:nvSpPr>
      <cdr:spPr>
        <a:xfrm xmlns:a="http://schemas.openxmlformats.org/drawingml/2006/main">
          <a:off x="353297" y="101685"/>
          <a:ext cx="827267" cy="50353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t-EE" sz="1000"/>
            <a:t>tuh ha</a:t>
          </a:r>
        </a:p>
        <a:p xmlns:a="http://schemas.openxmlformats.org/drawingml/2006/main">
          <a:r>
            <a:rPr lang="et-EE" sz="1000"/>
            <a:t>tuh t</a:t>
          </a:r>
        </a:p>
      </cdr:txBody>
    </cdr:sp>
  </cdr:relSizeAnchor>
</c:userShapes>
</file>

<file path=word/drawings/drawing12.xml><?xml version="1.0" encoding="utf-8"?>
<c:userShapes xmlns:c="http://schemas.openxmlformats.org/drawingml/2006/chart">
  <cdr:relSizeAnchor xmlns:cdr="http://schemas.openxmlformats.org/drawingml/2006/chartDrawing">
    <cdr:from>
      <cdr:x>0.85232</cdr:x>
      <cdr:y>0.0313</cdr:y>
    </cdr:from>
    <cdr:to>
      <cdr:x>0.94093</cdr:x>
      <cdr:y>0.33176</cdr:y>
    </cdr:to>
    <cdr:sp macro="" textlink="">
      <cdr:nvSpPr>
        <cdr:cNvPr id="3" name="TextBox 1"/>
        <cdr:cNvSpPr txBox="1"/>
      </cdr:nvSpPr>
      <cdr:spPr>
        <a:xfrm xmlns:a="http://schemas.openxmlformats.org/drawingml/2006/main">
          <a:off x="4489450" y="95250"/>
          <a:ext cx="466717" cy="91438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t-EE" sz="1000"/>
            <a:t>t/ha</a:t>
          </a:r>
        </a:p>
      </cdr:txBody>
    </cdr:sp>
  </cdr:relSizeAnchor>
  <cdr:relSizeAnchor xmlns:cdr="http://schemas.openxmlformats.org/drawingml/2006/chartDrawing">
    <cdr:from>
      <cdr:x>0.0657</cdr:x>
      <cdr:y>0.03234</cdr:y>
    </cdr:from>
    <cdr:to>
      <cdr:x>0.2393</cdr:x>
      <cdr:y>0.33282</cdr:y>
    </cdr:to>
    <cdr:sp macro="" textlink="">
      <cdr:nvSpPr>
        <cdr:cNvPr id="5" name="TextBox 1"/>
        <cdr:cNvSpPr txBox="1"/>
      </cdr:nvSpPr>
      <cdr:spPr>
        <a:xfrm xmlns:a="http://schemas.openxmlformats.org/drawingml/2006/main">
          <a:off x="346075" y="98425"/>
          <a:ext cx="914416" cy="91442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t-EE" sz="1000"/>
            <a:t>tuh ha</a:t>
          </a:r>
        </a:p>
        <a:p xmlns:a="http://schemas.openxmlformats.org/drawingml/2006/main">
          <a:r>
            <a:rPr lang="et-EE" sz="1000"/>
            <a:t>tuh t</a:t>
          </a:r>
        </a:p>
      </cdr:txBody>
    </cdr:sp>
  </cdr:relSizeAnchor>
</c:userShapes>
</file>

<file path=word/drawings/drawing13.xml><?xml version="1.0" encoding="utf-8"?>
<c:userShapes xmlns:c="http://schemas.openxmlformats.org/drawingml/2006/chart">
  <cdr:relSizeAnchor xmlns:cdr="http://schemas.openxmlformats.org/drawingml/2006/chartDrawing">
    <cdr:from>
      <cdr:x>0.0761</cdr:x>
      <cdr:y>0.06465</cdr:y>
    </cdr:from>
    <cdr:to>
      <cdr:x>0.21085</cdr:x>
      <cdr:y>0.30607</cdr:y>
    </cdr:to>
    <cdr:sp macro="" textlink="">
      <cdr:nvSpPr>
        <cdr:cNvPr id="2" name="TextBox 2"/>
        <cdr:cNvSpPr txBox="1"/>
      </cdr:nvSpPr>
      <cdr:spPr>
        <a:xfrm xmlns:a="http://schemas.openxmlformats.org/drawingml/2006/main">
          <a:off x="396486" y="165649"/>
          <a:ext cx="702063" cy="61856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t-EE" sz="1000"/>
            <a:t>tuh t</a:t>
          </a:r>
        </a:p>
        <a:p xmlns:a="http://schemas.openxmlformats.org/drawingml/2006/main">
          <a:r>
            <a:rPr lang="et-EE" sz="1000"/>
            <a:t>tuh</a:t>
          </a:r>
          <a:r>
            <a:rPr lang="et-EE" sz="1000" baseline="0"/>
            <a:t> ha</a:t>
          </a:r>
          <a:endParaRPr lang="et-EE" sz="1000"/>
        </a:p>
      </cdr:txBody>
    </cdr:sp>
  </cdr:relSizeAnchor>
  <cdr:relSizeAnchor xmlns:cdr="http://schemas.openxmlformats.org/drawingml/2006/chartDrawing">
    <cdr:from>
      <cdr:x>0.84782</cdr:x>
      <cdr:y>0.06579</cdr:y>
    </cdr:from>
    <cdr:to>
      <cdr:x>0.93469</cdr:x>
      <cdr:y>0.14739</cdr:y>
    </cdr:to>
    <cdr:sp macro="" textlink="">
      <cdr:nvSpPr>
        <cdr:cNvPr id="3" name="Text Box 2"/>
        <cdr:cNvSpPr txBox="1">
          <a:spLocks xmlns:a="http://schemas.openxmlformats.org/drawingml/2006/main" noChangeArrowheads="1"/>
        </cdr:cNvSpPr>
      </cdr:nvSpPr>
      <cdr:spPr bwMode="auto">
        <a:xfrm xmlns:a="http://schemas.openxmlformats.org/drawingml/2006/main">
          <a:off x="5152141" y="168562"/>
          <a:ext cx="527905" cy="20907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t-EE" sz="1000"/>
            <a:t>kg/ha</a:t>
          </a:r>
        </a:p>
      </cdr:txBody>
    </cdr:sp>
  </cdr:relSizeAnchor>
</c:userShapes>
</file>

<file path=word/drawings/drawing14.xml><?xml version="1.0" encoding="utf-8"?>
<c:userShapes xmlns:c="http://schemas.openxmlformats.org/drawingml/2006/chart">
  <cdr:relSizeAnchor xmlns:cdr="http://schemas.openxmlformats.org/drawingml/2006/chartDrawing">
    <cdr:from>
      <cdr:x>0.07165</cdr:x>
      <cdr:y>0.02532</cdr:y>
    </cdr:from>
    <cdr:to>
      <cdr:x>0.17723</cdr:x>
      <cdr:y>0.10066</cdr:y>
    </cdr:to>
    <cdr:sp macro="" textlink="">
      <cdr:nvSpPr>
        <cdr:cNvPr id="2" name="TextBox 7"/>
        <cdr:cNvSpPr txBox="1"/>
      </cdr:nvSpPr>
      <cdr:spPr>
        <a:xfrm xmlns:a="http://schemas.openxmlformats.org/drawingml/2006/main">
          <a:off x="433337" y="70665"/>
          <a:ext cx="638600" cy="21025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p xmlns:a="http://schemas.openxmlformats.org/drawingml/2006/main">
          <a:r>
            <a:rPr lang="et-EE" sz="800"/>
            <a:t>ha</a:t>
          </a:r>
        </a:p>
      </cdr:txBody>
    </cdr:sp>
  </cdr:relSizeAnchor>
</c:userShapes>
</file>

<file path=word/drawings/drawing15.xml><?xml version="1.0" encoding="utf-8"?>
<c:userShapes xmlns:c="http://schemas.openxmlformats.org/drawingml/2006/chart">
  <cdr:relSizeAnchor xmlns:cdr="http://schemas.openxmlformats.org/drawingml/2006/chartDrawing">
    <cdr:from>
      <cdr:x>0.04993</cdr:x>
      <cdr:y>0.02502</cdr:y>
    </cdr:from>
    <cdr:to>
      <cdr:x>0.13771</cdr:x>
      <cdr:y>0.07966</cdr:y>
    </cdr:to>
    <cdr:sp macro="" textlink="">
      <cdr:nvSpPr>
        <cdr:cNvPr id="2" name="Rectangle 1"/>
        <cdr:cNvSpPr/>
      </cdr:nvSpPr>
      <cdr:spPr>
        <a:xfrm xmlns:a="http://schemas.openxmlformats.org/drawingml/2006/main">
          <a:off x="304343" y="68626"/>
          <a:ext cx="535107" cy="14988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t-EE" sz="900">
              <a:solidFill>
                <a:sysClr val="windowText" lastClr="000000"/>
              </a:solidFill>
            </a:rPr>
            <a:t>tuh t</a:t>
          </a:r>
        </a:p>
      </cdr:txBody>
    </cdr:sp>
  </cdr:relSizeAnchor>
  <cdr:relSizeAnchor xmlns:cdr="http://schemas.openxmlformats.org/drawingml/2006/chartDrawing">
    <cdr:from>
      <cdr:x>0.89465</cdr:x>
      <cdr:y>0.01703</cdr:y>
    </cdr:from>
    <cdr:to>
      <cdr:x>0.97283</cdr:x>
      <cdr:y>0.11111</cdr:y>
    </cdr:to>
    <cdr:sp macro="" textlink="">
      <cdr:nvSpPr>
        <cdr:cNvPr id="3" name="Rectangle 2"/>
        <cdr:cNvSpPr/>
      </cdr:nvSpPr>
      <cdr:spPr>
        <a:xfrm xmlns:a="http://schemas.openxmlformats.org/drawingml/2006/main">
          <a:off x="5453786" y="46716"/>
          <a:ext cx="476586" cy="25808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t-EE" sz="900">
              <a:solidFill>
                <a:sysClr val="windowText" lastClr="000000"/>
              </a:solidFill>
            </a:rPr>
            <a:t>tuh t</a:t>
          </a:r>
        </a:p>
      </cdr:txBody>
    </cdr:sp>
  </cdr:relSizeAnchor>
</c:userShapes>
</file>

<file path=word/drawings/drawing16.xml><?xml version="1.0" encoding="utf-8"?>
<c:userShapes xmlns:c="http://schemas.openxmlformats.org/drawingml/2006/chart">
  <cdr:relSizeAnchor xmlns:cdr="http://schemas.openxmlformats.org/drawingml/2006/chartDrawing">
    <cdr:from>
      <cdr:x>0.02682</cdr:x>
      <cdr:y>0.01269</cdr:y>
    </cdr:from>
    <cdr:to>
      <cdr:x>0.09222</cdr:x>
      <cdr:y>0.07614</cdr:y>
    </cdr:to>
    <cdr:sp macro="" textlink="">
      <cdr:nvSpPr>
        <cdr:cNvPr id="2" name="Rectangle 1"/>
        <cdr:cNvSpPr/>
      </cdr:nvSpPr>
      <cdr:spPr>
        <a:xfrm xmlns:a="http://schemas.openxmlformats.org/drawingml/2006/main">
          <a:off x="195264" y="47625"/>
          <a:ext cx="476250" cy="2381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t-EE" sz="800">
              <a:solidFill>
                <a:sysClr val="windowText" lastClr="000000"/>
              </a:solidFill>
            </a:rPr>
            <a:t>tuh t</a:t>
          </a:r>
        </a:p>
      </cdr:txBody>
    </cdr:sp>
  </cdr:relSizeAnchor>
  <cdr:relSizeAnchor xmlns:cdr="http://schemas.openxmlformats.org/drawingml/2006/chartDrawing">
    <cdr:from>
      <cdr:x>0.92134</cdr:x>
      <cdr:y>0.01592</cdr:y>
    </cdr:from>
    <cdr:to>
      <cdr:x>0.96058</cdr:x>
      <cdr:y>0.06668</cdr:y>
    </cdr:to>
    <cdr:sp macro="" textlink="">
      <cdr:nvSpPr>
        <cdr:cNvPr id="3" name="Rectangle 2"/>
        <cdr:cNvSpPr/>
      </cdr:nvSpPr>
      <cdr:spPr>
        <a:xfrm xmlns:a="http://schemas.openxmlformats.org/drawingml/2006/main">
          <a:off x="7305855" y="69160"/>
          <a:ext cx="311156" cy="22047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t-EE" sz="800">
              <a:solidFill>
                <a:sysClr val="windowText" lastClr="000000"/>
              </a:solidFill>
            </a:rPr>
            <a:t>%</a:t>
          </a:r>
        </a:p>
      </cdr:txBody>
    </cdr:sp>
  </cdr:relSizeAnchor>
  <cdr:relSizeAnchor xmlns:cdr="http://schemas.openxmlformats.org/drawingml/2006/chartDrawing">
    <cdr:from>
      <cdr:x>0.01922</cdr:x>
      <cdr:y>0.93258</cdr:y>
    </cdr:from>
    <cdr:to>
      <cdr:x>0.60324</cdr:x>
      <cdr:y>1</cdr:y>
    </cdr:to>
    <cdr:sp macro="" textlink="">
      <cdr:nvSpPr>
        <cdr:cNvPr id="4" name="Rectangle 3"/>
        <cdr:cNvSpPr/>
      </cdr:nvSpPr>
      <cdr:spPr>
        <a:xfrm xmlns:a="http://schemas.openxmlformats.org/drawingml/2006/main">
          <a:off x="110708" y="2941982"/>
          <a:ext cx="3364011" cy="21269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t-EE" sz="800">
              <a:solidFill>
                <a:sysClr val="windowText" lastClr="000000"/>
              </a:solidFill>
            </a:rPr>
            <a:t>*- alkohoolsete jookide  jm</a:t>
          </a:r>
          <a:r>
            <a:rPr lang="et-EE" sz="800" baseline="0">
              <a:solidFill>
                <a:sysClr val="windowText" lastClr="000000"/>
              </a:solidFill>
            </a:rPr>
            <a:t> toodete valmistamiseks, va toit ja loomasööt</a:t>
          </a:r>
          <a:endParaRPr lang="et-EE" sz="800">
            <a:solidFill>
              <a:sysClr val="windowText" lastClr="000000"/>
            </a:solidFill>
          </a:endParaRPr>
        </a:p>
      </cdr:txBody>
    </cdr:sp>
  </cdr:relSizeAnchor>
</c:userShapes>
</file>

<file path=word/drawings/drawing17.xml><?xml version="1.0" encoding="utf-8"?>
<c:userShapes xmlns:c="http://schemas.openxmlformats.org/drawingml/2006/chart">
  <cdr:relSizeAnchor xmlns:cdr="http://schemas.openxmlformats.org/drawingml/2006/chartDrawing">
    <cdr:from>
      <cdr:x>0.01427</cdr:x>
      <cdr:y>0.92275</cdr:y>
    </cdr:from>
    <cdr:to>
      <cdr:x>0.23371</cdr:x>
      <cdr:y>0.98014</cdr:y>
    </cdr:to>
    <cdr:sp macro="" textlink="">
      <cdr:nvSpPr>
        <cdr:cNvPr id="2" name="Rectangle 1"/>
        <cdr:cNvSpPr/>
      </cdr:nvSpPr>
      <cdr:spPr>
        <a:xfrm xmlns:a="http://schemas.openxmlformats.org/drawingml/2006/main">
          <a:off x="85989" y="2852382"/>
          <a:ext cx="1322099" cy="17742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t-EE" sz="900">
              <a:solidFill>
                <a:sysClr val="windowText" lastClr="000000"/>
              </a:solidFill>
              <a:latin typeface="Arial" panose="020B0604020202020204" pitchFamily="34" charset="0"/>
              <a:cs typeface="Arial" panose="020B0604020202020204" pitchFamily="34" charset="0"/>
            </a:rPr>
            <a:t>*- </a:t>
          </a:r>
          <a:r>
            <a:rPr lang="et-EE" sz="800">
              <a:solidFill>
                <a:sysClr val="windowText" lastClr="000000"/>
              </a:solidFill>
              <a:latin typeface="+mn-lt"/>
              <a:cs typeface="Arial" panose="020B0604020202020204" pitchFamily="34" charset="0"/>
            </a:rPr>
            <a:t>esialgsed andmed</a:t>
          </a:r>
        </a:p>
      </cdr:txBody>
    </cdr:sp>
  </cdr:relSizeAnchor>
  <cdr:relSizeAnchor xmlns:cdr="http://schemas.openxmlformats.org/drawingml/2006/chartDrawing">
    <cdr:from>
      <cdr:x>0.06482</cdr:x>
      <cdr:y>0.05238</cdr:y>
    </cdr:from>
    <cdr:to>
      <cdr:x>0.18339</cdr:x>
      <cdr:y>0.11401</cdr:y>
    </cdr:to>
    <cdr:sp macro="" textlink="">
      <cdr:nvSpPr>
        <cdr:cNvPr id="3" name="Rectangle 2"/>
        <cdr:cNvSpPr/>
      </cdr:nvSpPr>
      <cdr:spPr>
        <a:xfrm xmlns:a="http://schemas.openxmlformats.org/drawingml/2006/main">
          <a:off x="390524" y="161926"/>
          <a:ext cx="714375" cy="190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t-EE" sz="1000">
              <a:solidFill>
                <a:sysClr val="windowText" lastClr="000000"/>
              </a:solidFill>
            </a:rPr>
            <a:t>kg/aastas</a:t>
          </a:r>
        </a:p>
      </cdr:txBody>
    </cdr:sp>
  </cdr:relSizeAnchor>
</c:userShapes>
</file>

<file path=word/drawings/drawing18.xml><?xml version="1.0" encoding="utf-8"?>
<c:userShapes xmlns:c="http://schemas.openxmlformats.org/drawingml/2006/chart">
  <cdr:relSizeAnchor xmlns:cdr="http://schemas.openxmlformats.org/drawingml/2006/chartDrawing">
    <cdr:from>
      <cdr:x>0.01148</cdr:x>
      <cdr:y>0.92679</cdr:y>
    </cdr:from>
    <cdr:to>
      <cdr:x>0.78544</cdr:x>
      <cdr:y>0.99262</cdr:y>
    </cdr:to>
    <cdr:sp macro="" textlink="">
      <cdr:nvSpPr>
        <cdr:cNvPr id="2" name="Rectangle 1"/>
        <cdr:cNvSpPr/>
      </cdr:nvSpPr>
      <cdr:spPr>
        <a:xfrm xmlns:a="http://schemas.openxmlformats.org/drawingml/2006/main">
          <a:off x="60549" y="2910179"/>
          <a:ext cx="4082080" cy="20673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t-EE" sz="900">
              <a:solidFill>
                <a:sysClr val="windowText" lastClr="000000"/>
              </a:solidFill>
            </a:rPr>
            <a:t>**- margariini, muude rasvade ja keemiatoodete valmistamiseks</a:t>
          </a:r>
        </a:p>
      </cdr:txBody>
    </cdr:sp>
  </cdr:relSizeAnchor>
  <cdr:relSizeAnchor xmlns:cdr="http://schemas.openxmlformats.org/drawingml/2006/chartDrawing">
    <cdr:from>
      <cdr:x>0.04702</cdr:x>
      <cdr:y>0.02236</cdr:y>
    </cdr:from>
    <cdr:to>
      <cdr:x>0.13583</cdr:x>
      <cdr:y>0.10814</cdr:y>
    </cdr:to>
    <cdr:sp macro="" textlink="">
      <cdr:nvSpPr>
        <cdr:cNvPr id="3" name="Rectangle 2"/>
        <cdr:cNvSpPr/>
      </cdr:nvSpPr>
      <cdr:spPr>
        <a:xfrm xmlns:a="http://schemas.openxmlformats.org/drawingml/2006/main">
          <a:off x="285440" y="55146"/>
          <a:ext cx="539130" cy="21155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t-EE" sz="1000">
              <a:solidFill>
                <a:sysClr val="windowText" lastClr="000000"/>
              </a:solidFill>
            </a:rPr>
            <a:t>tuh t</a:t>
          </a:r>
        </a:p>
      </cdr:txBody>
    </cdr:sp>
  </cdr:relSizeAnchor>
  <cdr:relSizeAnchor xmlns:cdr="http://schemas.openxmlformats.org/drawingml/2006/chartDrawing">
    <cdr:from>
      <cdr:x>0.89164</cdr:x>
      <cdr:y>0.04159</cdr:y>
    </cdr:from>
    <cdr:to>
      <cdr:x>0.93215</cdr:x>
      <cdr:y>0.12745</cdr:y>
    </cdr:to>
    <cdr:sp macro="" textlink="">
      <cdr:nvSpPr>
        <cdr:cNvPr id="4" name="Rectangle 3"/>
        <cdr:cNvSpPr/>
      </cdr:nvSpPr>
      <cdr:spPr>
        <a:xfrm xmlns:a="http://schemas.openxmlformats.org/drawingml/2006/main">
          <a:off x="5412790" y="102575"/>
          <a:ext cx="245920" cy="2117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t-EE" sz="900">
              <a:solidFill>
                <a:sysClr val="windowText" lastClr="000000"/>
              </a:solidFill>
            </a:rPr>
            <a:t>%</a:t>
          </a:r>
        </a:p>
      </cdr:txBody>
    </cdr:sp>
  </cdr:relSizeAnchor>
</c:userShapes>
</file>

<file path=word/drawings/drawing19.xml><?xml version="1.0" encoding="utf-8"?>
<c:userShapes xmlns:c="http://schemas.openxmlformats.org/drawingml/2006/chart">
  <cdr:relSizeAnchor xmlns:cdr="http://schemas.openxmlformats.org/drawingml/2006/chartDrawing">
    <cdr:from>
      <cdr:x>0.0693</cdr:x>
      <cdr:y>0</cdr:y>
    </cdr:from>
    <cdr:to>
      <cdr:x>0.15764</cdr:x>
      <cdr:y>0.1124</cdr:y>
    </cdr:to>
    <cdr:sp macro="" textlink="">
      <cdr:nvSpPr>
        <cdr:cNvPr id="3" name="Rectangle 2"/>
        <cdr:cNvSpPr/>
      </cdr:nvSpPr>
      <cdr:spPr>
        <a:xfrm xmlns:a="http://schemas.openxmlformats.org/drawingml/2006/main">
          <a:off x="427715" y="0"/>
          <a:ext cx="545252" cy="2762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t-EE" sz="1000">
              <a:solidFill>
                <a:sysClr val="windowText" lastClr="000000"/>
              </a:solidFill>
            </a:rPr>
            <a:t>tuh t</a:t>
          </a:r>
        </a:p>
      </cdr:txBody>
    </cdr:sp>
  </cdr:relSizeAnchor>
  <cdr:relSizeAnchor xmlns:cdr="http://schemas.openxmlformats.org/drawingml/2006/chartDrawing">
    <cdr:from>
      <cdr:x>0.91557</cdr:x>
      <cdr:y>0</cdr:y>
    </cdr:from>
    <cdr:to>
      <cdr:x>0.96683</cdr:x>
      <cdr:y>0.07117</cdr:y>
    </cdr:to>
    <cdr:sp macro="" textlink="">
      <cdr:nvSpPr>
        <cdr:cNvPr id="4" name="Rectangle 3"/>
        <cdr:cNvSpPr/>
      </cdr:nvSpPr>
      <cdr:spPr>
        <a:xfrm xmlns:a="http://schemas.openxmlformats.org/drawingml/2006/main">
          <a:off x="5258623" y="0"/>
          <a:ext cx="294452" cy="190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t-EE" sz="900">
              <a:solidFill>
                <a:sysClr val="windowText" lastClr="000000"/>
              </a:solidFill>
            </a:rPr>
            <a:t>%</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0.90997</cdr:y>
    </cdr:from>
    <cdr:to>
      <cdr:x>1</cdr:x>
      <cdr:y>0.99636</cdr:y>
    </cdr:to>
    <cdr:sp macro="" textlink="">
      <cdr:nvSpPr>
        <cdr:cNvPr id="5" name="TextBox 1"/>
        <cdr:cNvSpPr txBox="1"/>
      </cdr:nvSpPr>
      <cdr:spPr>
        <a:xfrm xmlns:a="http://schemas.openxmlformats.org/drawingml/2006/main">
          <a:off x="0" y="2085975"/>
          <a:ext cx="5274310" cy="198030"/>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t-EE" sz="900" b="0" i="1">
              <a:solidFill>
                <a:sysClr val="windowText" lastClr="000000"/>
              </a:solidFill>
            </a:rPr>
            <a:t>* tootjate arv on prognoositud</a:t>
          </a:r>
        </a:p>
      </cdr:txBody>
    </cdr:sp>
  </cdr:relSizeAnchor>
</c:userShapes>
</file>

<file path=word/drawings/drawing20.xml><?xml version="1.0" encoding="utf-8"?>
<c:userShapes xmlns:c="http://schemas.openxmlformats.org/drawingml/2006/chart">
  <cdr:relSizeAnchor xmlns:cdr="http://schemas.openxmlformats.org/drawingml/2006/chartDrawing">
    <cdr:from>
      <cdr:x>0.04027</cdr:x>
      <cdr:y>0</cdr:y>
    </cdr:from>
    <cdr:to>
      <cdr:x>0.13863</cdr:x>
      <cdr:y>0.07059</cdr:y>
    </cdr:to>
    <cdr:sp macro="" textlink="">
      <cdr:nvSpPr>
        <cdr:cNvPr id="2" name="Rectangle 1"/>
        <cdr:cNvSpPr/>
      </cdr:nvSpPr>
      <cdr:spPr>
        <a:xfrm xmlns:a="http://schemas.openxmlformats.org/drawingml/2006/main">
          <a:off x="246239" y="0"/>
          <a:ext cx="601486" cy="2286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t-EE" sz="1000">
              <a:solidFill>
                <a:sysClr val="windowText" lastClr="000000"/>
              </a:solidFill>
            </a:rPr>
            <a:t>tuh t</a:t>
          </a:r>
        </a:p>
      </cdr:txBody>
    </cdr:sp>
  </cdr:relSizeAnchor>
</c:userShapes>
</file>

<file path=word/drawings/drawing21.xml><?xml version="1.0" encoding="utf-8"?>
<c:userShapes xmlns:c="http://schemas.openxmlformats.org/drawingml/2006/chart">
  <cdr:relSizeAnchor xmlns:cdr="http://schemas.openxmlformats.org/drawingml/2006/chartDrawing">
    <cdr:from>
      <cdr:x>0.0667</cdr:x>
      <cdr:y>0.42352</cdr:y>
    </cdr:from>
    <cdr:to>
      <cdr:x>0.97205</cdr:x>
      <cdr:y>0.42352</cdr:y>
    </cdr:to>
    <cdr:cxnSp macro="">
      <cdr:nvCxnSpPr>
        <cdr:cNvPr id="3" name="Straight Connector 2"/>
        <cdr:cNvCxnSpPr/>
      </cdr:nvCxnSpPr>
      <cdr:spPr>
        <a:xfrm xmlns:a="http://schemas.openxmlformats.org/drawingml/2006/main" flipV="1">
          <a:off x="403139" y="1117433"/>
          <a:ext cx="5472000" cy="0"/>
        </a:xfrm>
        <a:prstGeom xmlns:a="http://schemas.openxmlformats.org/drawingml/2006/main" prst="line">
          <a:avLst/>
        </a:prstGeom>
        <a:noFill xmlns:a="http://schemas.openxmlformats.org/drawingml/2006/main"/>
        <a:ln xmlns:a="http://schemas.openxmlformats.org/drawingml/2006/main" w="12700" cap="flat" cmpd="sng" algn="ctr">
          <a:solidFill>
            <a:srgbClr val="00B0F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2.xml><?xml version="1.0" encoding="utf-8"?>
<c:userShapes xmlns:c="http://schemas.openxmlformats.org/drawingml/2006/chart">
  <cdr:relSizeAnchor xmlns:cdr="http://schemas.openxmlformats.org/drawingml/2006/chartDrawing">
    <cdr:from>
      <cdr:x>0.08482</cdr:x>
      <cdr:y>0.04077</cdr:y>
    </cdr:from>
    <cdr:to>
      <cdr:x>0.19534</cdr:x>
      <cdr:y>0.15753</cdr:y>
    </cdr:to>
    <cdr:sp macro="" textlink="">
      <cdr:nvSpPr>
        <cdr:cNvPr id="3" name="Rectangle 2"/>
        <cdr:cNvSpPr/>
      </cdr:nvSpPr>
      <cdr:spPr>
        <a:xfrm xmlns:a="http://schemas.openxmlformats.org/drawingml/2006/main">
          <a:off x="450791" y="113397"/>
          <a:ext cx="587433" cy="32475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et-EE">
              <a:solidFill>
                <a:schemeClr val="tx1"/>
              </a:solidFill>
            </a:rPr>
            <a:t>€/kg</a:t>
          </a:r>
          <a:r>
            <a:rPr lang="et-EE"/>
            <a:t>/kg</a:t>
          </a:r>
        </a:p>
      </cdr:txBody>
    </cdr:sp>
  </cdr:relSizeAnchor>
  <cdr:relSizeAnchor xmlns:cdr="http://schemas.openxmlformats.org/drawingml/2006/chartDrawing">
    <cdr:from>
      <cdr:x>0.09437</cdr:x>
      <cdr:y>0.05904</cdr:y>
    </cdr:from>
    <cdr:to>
      <cdr:x>0.2049</cdr:x>
      <cdr:y>0.1758</cdr:y>
    </cdr:to>
    <cdr:sp macro="" textlink="">
      <cdr:nvSpPr>
        <cdr:cNvPr id="4" name="Rectangle 3"/>
        <cdr:cNvSpPr/>
      </cdr:nvSpPr>
      <cdr:spPr>
        <a:xfrm xmlns:a="http://schemas.openxmlformats.org/drawingml/2006/main">
          <a:off x="501591" y="164197"/>
          <a:ext cx="587433" cy="32475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0.09437</cdr:x>
      <cdr:y>0.05904</cdr:y>
    </cdr:from>
    <cdr:to>
      <cdr:x>0.2049</cdr:x>
      <cdr:y>0.1758</cdr:y>
    </cdr:to>
    <cdr:sp macro="" textlink="">
      <cdr:nvSpPr>
        <cdr:cNvPr id="5" name="Rectangle 4"/>
        <cdr:cNvSpPr/>
      </cdr:nvSpPr>
      <cdr:spPr>
        <a:xfrm xmlns:a="http://schemas.openxmlformats.org/drawingml/2006/main">
          <a:off x="501591" y="164197"/>
          <a:ext cx="587433" cy="32475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23.xml><?xml version="1.0" encoding="utf-8"?>
<c:userShapes xmlns:c="http://schemas.openxmlformats.org/drawingml/2006/chart">
  <cdr:relSizeAnchor xmlns:cdr="http://schemas.openxmlformats.org/drawingml/2006/chartDrawing">
    <cdr:from>
      <cdr:x>0.04725</cdr:x>
      <cdr:y>0</cdr:y>
    </cdr:from>
    <cdr:to>
      <cdr:x>0.1495</cdr:x>
      <cdr:y>0.09594</cdr:y>
    </cdr:to>
    <cdr:sp macro="" textlink="">
      <cdr:nvSpPr>
        <cdr:cNvPr id="2" name="Rectangle 1"/>
        <cdr:cNvSpPr/>
      </cdr:nvSpPr>
      <cdr:spPr>
        <a:xfrm xmlns:a="http://schemas.openxmlformats.org/drawingml/2006/main">
          <a:off x="272284" y="0"/>
          <a:ext cx="589228" cy="2476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t-EE">
              <a:solidFill>
                <a:sysClr val="windowText" lastClr="000000"/>
              </a:solidFill>
            </a:rPr>
            <a:t>mln €</a:t>
          </a:r>
        </a:p>
      </cdr:txBody>
    </cdr:sp>
  </cdr:relSizeAnchor>
</c:userShapes>
</file>

<file path=word/drawings/drawing24.xml><?xml version="1.0" encoding="utf-8"?>
<c:userShapes xmlns:c="http://schemas.openxmlformats.org/drawingml/2006/chart">
  <cdr:relSizeAnchor xmlns:cdr="http://schemas.openxmlformats.org/drawingml/2006/chartDrawing">
    <cdr:from>
      <cdr:x>0.07547</cdr:x>
      <cdr:y>0.04704</cdr:y>
    </cdr:from>
    <cdr:to>
      <cdr:x>0.1695</cdr:x>
      <cdr:y>0.14682</cdr:y>
    </cdr:to>
    <cdr:sp macro="" textlink="">
      <cdr:nvSpPr>
        <cdr:cNvPr id="2" name="Rectangle 1"/>
        <cdr:cNvSpPr/>
      </cdr:nvSpPr>
      <cdr:spPr>
        <a:xfrm xmlns:a="http://schemas.openxmlformats.org/drawingml/2006/main">
          <a:off x="398227" y="112919"/>
          <a:ext cx="496183" cy="23950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t-EE" sz="1000">
              <a:solidFill>
                <a:sysClr val="windowText" lastClr="000000"/>
              </a:solidFill>
            </a:rPr>
            <a:t>tuh</a:t>
          </a:r>
          <a:r>
            <a:rPr lang="et-EE" sz="800">
              <a:solidFill>
                <a:sysClr val="windowText" lastClr="000000"/>
              </a:solidFill>
            </a:rPr>
            <a:t> €</a:t>
          </a:r>
        </a:p>
      </cdr:txBody>
    </cdr:sp>
  </cdr:relSizeAnchor>
</c:userShapes>
</file>

<file path=word/drawings/drawing3.xml><?xml version="1.0" encoding="utf-8"?>
<c:userShapes xmlns:c="http://schemas.openxmlformats.org/drawingml/2006/chart">
  <cdr:relSizeAnchor xmlns:cdr="http://schemas.openxmlformats.org/drawingml/2006/chartDrawing">
    <cdr:from>
      <cdr:x>0.08685</cdr:x>
      <cdr:y>0.04282</cdr:y>
    </cdr:from>
    <cdr:to>
      <cdr:x>0.19241</cdr:x>
      <cdr:y>0.12309</cdr:y>
    </cdr:to>
    <cdr:sp macro="" textlink="">
      <cdr:nvSpPr>
        <cdr:cNvPr id="2" name="TextBox 7"/>
        <cdr:cNvSpPr txBox="1"/>
      </cdr:nvSpPr>
      <cdr:spPr>
        <a:xfrm xmlns:a="http://schemas.openxmlformats.org/drawingml/2006/main">
          <a:off x="492185" y="112162"/>
          <a:ext cx="598248" cy="21025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t-EE" sz="800"/>
            <a:t>tuh t</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0.07199</cdr:x>
      <cdr:y>0.09047</cdr:y>
    </cdr:to>
    <cdr:sp macro="" textlink="">
      <cdr:nvSpPr>
        <cdr:cNvPr id="2" name="TextBox 7"/>
        <cdr:cNvSpPr txBox="1"/>
      </cdr:nvSpPr>
      <cdr:spPr>
        <a:xfrm xmlns:a="http://schemas.openxmlformats.org/drawingml/2006/main">
          <a:off x="0" y="0"/>
          <a:ext cx="438150" cy="21025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p xmlns:a="http://schemas.openxmlformats.org/drawingml/2006/main">
          <a:r>
            <a:rPr lang="et-EE" sz="800"/>
            <a:t>t/ha</a:t>
          </a:r>
        </a:p>
      </cdr:txBody>
    </cdr:sp>
  </cdr:relSizeAnchor>
</c:userShapes>
</file>

<file path=word/drawings/drawing5.xml><?xml version="1.0" encoding="utf-8"?>
<c:userShapes xmlns:c="http://schemas.openxmlformats.org/drawingml/2006/chart">
  <cdr:relSizeAnchor xmlns:cdr="http://schemas.openxmlformats.org/drawingml/2006/chartDrawing">
    <cdr:from>
      <cdr:x>0.0911</cdr:x>
      <cdr:y>0.04215</cdr:y>
    </cdr:from>
    <cdr:to>
      <cdr:x>0.21036</cdr:x>
      <cdr:y>0.28989</cdr:y>
    </cdr:to>
    <cdr:sp macro="" textlink="">
      <cdr:nvSpPr>
        <cdr:cNvPr id="2" name="TextBox 1"/>
        <cdr:cNvSpPr txBox="1"/>
      </cdr:nvSpPr>
      <cdr:spPr>
        <a:xfrm xmlns:a="http://schemas.openxmlformats.org/drawingml/2006/main">
          <a:off x="698500" y="155575"/>
          <a:ext cx="914458" cy="91438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t-EE" sz="1100"/>
            <a:t>%</a:t>
          </a:r>
        </a:p>
      </cdr:txBody>
    </cdr:sp>
  </cdr:relSizeAnchor>
  <cdr:relSizeAnchor xmlns:cdr="http://schemas.openxmlformats.org/drawingml/2006/chartDrawing">
    <cdr:from>
      <cdr:x>0.79631</cdr:x>
      <cdr:y>0.04301</cdr:y>
    </cdr:from>
    <cdr:to>
      <cdr:x>0.91558</cdr:x>
      <cdr:y>0.29076</cdr:y>
    </cdr:to>
    <cdr:sp macro="" textlink="">
      <cdr:nvSpPr>
        <cdr:cNvPr id="3" name="TextBox 1"/>
        <cdr:cNvSpPr txBox="1"/>
      </cdr:nvSpPr>
      <cdr:spPr>
        <a:xfrm xmlns:a="http://schemas.openxmlformats.org/drawingml/2006/main">
          <a:off x="4586825" y="119204"/>
          <a:ext cx="687005" cy="68670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t-EE" sz="800"/>
            <a:t>kg/elanik</a:t>
          </a:r>
        </a:p>
      </cdr:txBody>
    </cdr:sp>
  </cdr:relSizeAnchor>
</c:userShapes>
</file>

<file path=word/drawings/drawing6.xml><?xml version="1.0" encoding="utf-8"?>
<c:userShapes xmlns:c="http://schemas.openxmlformats.org/drawingml/2006/chart">
  <cdr:relSizeAnchor xmlns:cdr="http://schemas.openxmlformats.org/drawingml/2006/chartDrawing">
    <cdr:from>
      <cdr:x>0.09153</cdr:x>
      <cdr:y>0.05518</cdr:y>
    </cdr:from>
    <cdr:to>
      <cdr:x>0.19109</cdr:x>
      <cdr:y>0.14902</cdr:y>
    </cdr:to>
    <cdr:sp macro="" textlink="">
      <cdr:nvSpPr>
        <cdr:cNvPr id="2" name="TextBox 2"/>
        <cdr:cNvSpPr txBox="1"/>
      </cdr:nvSpPr>
      <cdr:spPr>
        <a:xfrm xmlns:a="http://schemas.openxmlformats.org/drawingml/2006/main">
          <a:off x="469900" y="155575"/>
          <a:ext cx="511175"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p xmlns:a="http://schemas.openxmlformats.org/drawingml/2006/main">
          <a:r>
            <a:rPr lang="et-EE" sz="800"/>
            <a:t>t/ha</a:t>
          </a:r>
        </a:p>
      </cdr:txBody>
    </cdr:sp>
  </cdr:relSizeAnchor>
</c:userShapes>
</file>

<file path=word/drawings/drawing7.xml><?xml version="1.0" encoding="utf-8"?>
<c:userShapes xmlns:c="http://schemas.openxmlformats.org/drawingml/2006/chart">
  <cdr:relSizeAnchor xmlns:cdr="http://schemas.openxmlformats.org/drawingml/2006/chartDrawing">
    <cdr:from>
      <cdr:x>0.85344</cdr:x>
      <cdr:y>0.07819</cdr:y>
    </cdr:from>
    <cdr:to>
      <cdr:x>1</cdr:x>
      <cdr:y>0.34156</cdr:y>
    </cdr:to>
    <cdr:sp macro="" textlink="">
      <cdr:nvSpPr>
        <cdr:cNvPr id="2" name="TextBox 1"/>
        <cdr:cNvSpPr txBox="1"/>
      </cdr:nvSpPr>
      <cdr:spPr>
        <a:xfrm xmlns:a="http://schemas.openxmlformats.org/drawingml/2006/main">
          <a:off x="5629276" y="271464"/>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t-EE" sz="1100"/>
        </a:p>
      </cdr:txBody>
    </cdr:sp>
  </cdr:relSizeAnchor>
  <cdr:relSizeAnchor xmlns:cdr="http://schemas.openxmlformats.org/drawingml/2006/chartDrawing">
    <cdr:from>
      <cdr:x>0.85344</cdr:x>
      <cdr:y>0.06996</cdr:y>
    </cdr:from>
    <cdr:to>
      <cdr:x>1</cdr:x>
      <cdr:y>0.33333</cdr:y>
    </cdr:to>
    <cdr:sp macro="" textlink="">
      <cdr:nvSpPr>
        <cdr:cNvPr id="3" name="TextBox 2"/>
        <cdr:cNvSpPr txBox="1"/>
      </cdr:nvSpPr>
      <cdr:spPr>
        <a:xfrm xmlns:a="http://schemas.openxmlformats.org/drawingml/2006/main">
          <a:off x="5591176" y="242889"/>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t-EE" sz="1100"/>
        </a:p>
      </cdr:txBody>
    </cdr:sp>
  </cdr:relSizeAnchor>
  <cdr:relSizeAnchor xmlns:cdr="http://schemas.openxmlformats.org/drawingml/2006/chartDrawing">
    <cdr:from>
      <cdr:x>0.88908</cdr:x>
      <cdr:y>0.03259</cdr:y>
    </cdr:from>
    <cdr:to>
      <cdr:x>0.96847</cdr:x>
      <cdr:y>0.13136</cdr:y>
    </cdr:to>
    <cdr:sp macro="" textlink="">
      <cdr:nvSpPr>
        <cdr:cNvPr id="4" name="TextBox 3"/>
        <cdr:cNvSpPr txBox="1"/>
      </cdr:nvSpPr>
      <cdr:spPr>
        <a:xfrm xmlns:a="http://schemas.openxmlformats.org/drawingml/2006/main">
          <a:off x="5402871" y="86285"/>
          <a:ext cx="482450" cy="26153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t-EE" sz="1000"/>
            <a:t>t/ha</a:t>
          </a:r>
        </a:p>
      </cdr:txBody>
    </cdr:sp>
  </cdr:relSizeAnchor>
  <cdr:relSizeAnchor xmlns:cdr="http://schemas.openxmlformats.org/drawingml/2006/chartDrawing">
    <cdr:from>
      <cdr:x>0.05821</cdr:x>
      <cdr:y>0.03882</cdr:y>
    </cdr:from>
    <cdr:to>
      <cdr:x>0.20477</cdr:x>
      <cdr:y>0.30219</cdr:y>
    </cdr:to>
    <cdr:sp macro="" textlink="">
      <cdr:nvSpPr>
        <cdr:cNvPr id="5" name="TextBox 4"/>
        <cdr:cNvSpPr txBox="1"/>
      </cdr:nvSpPr>
      <cdr:spPr>
        <a:xfrm xmlns:a="http://schemas.openxmlformats.org/drawingml/2006/main">
          <a:off x="353739" y="96500"/>
          <a:ext cx="890638" cy="65474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t-EE" sz="1000"/>
            <a:t>tuh ha</a:t>
          </a:r>
        </a:p>
        <a:p xmlns:a="http://schemas.openxmlformats.org/drawingml/2006/main">
          <a:r>
            <a:rPr lang="et-EE" sz="1000"/>
            <a:t>tuh t</a:t>
          </a:r>
        </a:p>
      </cdr:txBody>
    </cdr:sp>
  </cdr:relSizeAnchor>
</c:userShapes>
</file>

<file path=word/drawings/drawing8.xml><?xml version="1.0" encoding="utf-8"?>
<c:userShapes xmlns:c="http://schemas.openxmlformats.org/drawingml/2006/chart">
  <cdr:relSizeAnchor xmlns:cdr="http://schemas.openxmlformats.org/drawingml/2006/chartDrawing">
    <cdr:from>
      <cdr:x>0.06426</cdr:x>
      <cdr:y>0.05396</cdr:y>
    </cdr:from>
    <cdr:to>
      <cdr:x>0.22036</cdr:x>
      <cdr:y>0.23851</cdr:y>
    </cdr:to>
    <cdr:sp macro="" textlink="">
      <cdr:nvSpPr>
        <cdr:cNvPr id="2" name="TextBox 1"/>
        <cdr:cNvSpPr txBox="1"/>
      </cdr:nvSpPr>
      <cdr:spPr>
        <a:xfrm xmlns:a="http://schemas.openxmlformats.org/drawingml/2006/main">
          <a:off x="390526" y="142875"/>
          <a:ext cx="948611" cy="48867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t-EE" sz="1000"/>
            <a:t>tuh</a:t>
          </a:r>
          <a:r>
            <a:rPr lang="et-EE" sz="1000" baseline="0"/>
            <a:t> ha</a:t>
          </a:r>
        </a:p>
        <a:p xmlns:a="http://schemas.openxmlformats.org/drawingml/2006/main">
          <a:r>
            <a:rPr lang="et-EE" sz="1000" baseline="0"/>
            <a:t>tuh t</a:t>
          </a:r>
          <a:endParaRPr lang="et-EE" sz="1000"/>
        </a:p>
      </cdr:txBody>
    </cdr:sp>
  </cdr:relSizeAnchor>
  <cdr:relSizeAnchor xmlns:cdr="http://schemas.openxmlformats.org/drawingml/2006/chartDrawing">
    <cdr:from>
      <cdr:x>0.83667</cdr:x>
      <cdr:y>0.02518</cdr:y>
    </cdr:from>
    <cdr:to>
      <cdr:x>0.91959</cdr:x>
      <cdr:y>0.1295</cdr:y>
    </cdr:to>
    <cdr:sp macro="" textlink="">
      <cdr:nvSpPr>
        <cdr:cNvPr id="3" name="TextBox 2"/>
        <cdr:cNvSpPr txBox="1"/>
      </cdr:nvSpPr>
      <cdr:spPr>
        <a:xfrm xmlns:a="http://schemas.openxmlformats.org/drawingml/2006/main">
          <a:off x="5084413" y="66675"/>
          <a:ext cx="503901" cy="27622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t-EE" sz="1000"/>
            <a:t>kg/ha</a:t>
          </a:r>
        </a:p>
      </cdr:txBody>
    </cdr:sp>
  </cdr:relSizeAnchor>
</c:userShapes>
</file>

<file path=word/drawings/drawing9.xml><?xml version="1.0" encoding="utf-8"?>
<c:userShapes xmlns:c="http://schemas.openxmlformats.org/drawingml/2006/chart">
  <cdr:relSizeAnchor xmlns:cdr="http://schemas.openxmlformats.org/drawingml/2006/chartDrawing">
    <cdr:from>
      <cdr:x>0.06216</cdr:x>
      <cdr:y>0.12741</cdr:y>
    </cdr:from>
    <cdr:to>
      <cdr:x>0.23016</cdr:x>
      <cdr:y>0.32228</cdr:y>
    </cdr:to>
    <cdr:sp macro="" textlink="">
      <cdr:nvSpPr>
        <cdr:cNvPr id="2" name="TextBox 1"/>
        <cdr:cNvSpPr txBox="1"/>
      </cdr:nvSpPr>
      <cdr:spPr>
        <a:xfrm xmlns:a="http://schemas.openxmlformats.org/drawingml/2006/main">
          <a:off x="378333" y="314325"/>
          <a:ext cx="1022528" cy="48073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t-EE" sz="1000"/>
            <a:t>tuh</a:t>
          </a:r>
          <a:r>
            <a:rPr lang="et-EE" sz="1000" baseline="0"/>
            <a:t> ha</a:t>
          </a:r>
        </a:p>
        <a:p xmlns:a="http://schemas.openxmlformats.org/drawingml/2006/main">
          <a:r>
            <a:rPr lang="et-EE" sz="1000" baseline="0"/>
            <a:t>tuh t</a:t>
          </a:r>
          <a:endParaRPr lang="et-EE" sz="1000"/>
        </a:p>
      </cdr:txBody>
    </cdr:sp>
  </cdr:relSizeAnchor>
  <cdr:relSizeAnchor xmlns:cdr="http://schemas.openxmlformats.org/drawingml/2006/chartDrawing">
    <cdr:from>
      <cdr:x>0.81991</cdr:x>
      <cdr:y>0.11197</cdr:y>
    </cdr:from>
    <cdr:to>
      <cdr:x>0.90915</cdr:x>
      <cdr:y>0.18297</cdr:y>
    </cdr:to>
    <cdr:sp macro="" textlink="">
      <cdr:nvSpPr>
        <cdr:cNvPr id="3" name="TextBox 1"/>
        <cdr:cNvSpPr txBox="1"/>
      </cdr:nvSpPr>
      <cdr:spPr>
        <a:xfrm xmlns:a="http://schemas.openxmlformats.org/drawingml/2006/main">
          <a:off x="4990364" y="276225"/>
          <a:ext cx="543157" cy="17515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t-EE" sz="1000"/>
            <a:t>kg/ha</a:t>
          </a:r>
        </a:p>
      </cdr:txBody>
    </cdr:sp>
  </cdr:relSizeAnchor>
</c:userShape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Decatur">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Decatur">
      <a:majorFont>
        <a:latin typeface="Bodoni MT Condensed"/>
        <a:ea typeface=""/>
        <a:cs typeface=""/>
        <a:font script="Grek" typeface="Times New Roman"/>
        <a:font script="Cyrl" typeface="Times New Roman"/>
        <a:font script="Jpan" typeface="HG明朝E"/>
        <a:font script="Hang" typeface="HY목각파임B"/>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微软雅黑"/>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ecatur">
      <a:fillStyleLst>
        <a:solidFill>
          <a:schemeClr val="phClr"/>
        </a:solidFill>
        <a:gradFill rotWithShape="1">
          <a:gsLst>
            <a:gs pos="0">
              <a:schemeClr val="phClr">
                <a:tint val="90000"/>
                <a:satMod val="110000"/>
              </a:schemeClr>
            </a:gs>
            <a:gs pos="47500">
              <a:schemeClr val="phClr">
                <a:tint val="53000"/>
                <a:satMod val="120000"/>
              </a:schemeClr>
            </a:gs>
            <a:gs pos="58500">
              <a:schemeClr val="phClr">
                <a:tint val="53000"/>
                <a:satMod val="120000"/>
              </a:schemeClr>
            </a:gs>
            <a:gs pos="100000">
              <a:schemeClr val="phClr">
                <a:tint val="90000"/>
                <a:satMod val="110000"/>
              </a:schemeClr>
            </a:gs>
          </a:gsLst>
          <a:lin ang="3600000" scaled="1"/>
        </a:gradFill>
        <a:gradFill rotWithShape="1">
          <a:gsLst>
            <a:gs pos="0">
              <a:schemeClr val="phClr">
                <a:shade val="54000"/>
                <a:satMod val="105000"/>
              </a:schemeClr>
            </a:gs>
            <a:gs pos="47500">
              <a:schemeClr val="phClr">
                <a:shade val="88000"/>
                <a:satMod val="105000"/>
              </a:schemeClr>
            </a:gs>
            <a:gs pos="58500">
              <a:schemeClr val="phClr">
                <a:shade val="88000"/>
                <a:satMod val="105000"/>
              </a:schemeClr>
            </a:gs>
            <a:gs pos="100000">
              <a:schemeClr val="phClr">
                <a:shade val="54000"/>
                <a:satMod val="105000"/>
              </a:schemeClr>
            </a:gs>
          </a:gsLst>
          <a:lin ang="3600000" scaled="1"/>
        </a:gradFill>
      </a:fillStyleLst>
      <a:lnStyleLst>
        <a:ln w="10000" cap="flat" cmpd="sng" algn="ctr">
          <a:solidFill>
            <a:schemeClr val="phClr"/>
          </a:solidFill>
          <a:prstDash val="solid"/>
        </a:ln>
        <a:ln w="2825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3600000" algn="r" rotWithShape="0">
              <a:srgbClr val="000000">
                <a:alpha val="30000"/>
              </a:srgbClr>
            </a:outerShdw>
          </a:effectLst>
        </a:effectStyle>
        <a:effectStyle>
          <a:effectLst>
            <a:outerShdw blurRad="63500" dist="25400" dir="3600000" algn="r" rotWithShape="0">
              <a:srgbClr val="000000">
                <a:alpha val="36000"/>
              </a:srgbClr>
            </a:outerShdw>
          </a:effectLst>
          <a:scene3d>
            <a:camera prst="orthographicFront">
              <a:rot lat="0" lon="0" rev="0"/>
            </a:camera>
            <a:lightRig rig="harsh" dir="tl">
              <a:rot lat="0" lon="0" rev="9000000"/>
            </a:lightRig>
          </a:scene3d>
          <a:sp3d prstMaterial="flat">
            <a:bevelT w="38100" h="50800" prst="softRound"/>
          </a:sp3d>
        </a:effectStyle>
        <a:effectStyle>
          <a:effectLst>
            <a:outerShdw blurRad="76200" dist="38100" dir="3600000" algn="r" rotWithShape="0">
              <a:srgbClr val="000000">
                <a:alpha val="60000"/>
              </a:srgbClr>
            </a:outerShdw>
          </a:effectLst>
          <a:scene3d>
            <a:camera prst="orthographicFront">
              <a:rot lat="0" lon="0" rev="0"/>
            </a:camera>
            <a:lightRig rig="harsh" dir="tl">
              <a:rot lat="0" lon="0" rev="9000000"/>
            </a:lightRig>
          </a:scene3d>
          <a:sp3d contourW="44450" prstMaterial="flat">
            <a:bevelT w="38100" h="50800" prst="softRound"/>
            <a:contourClr>
              <a:schemeClr val="phClr">
                <a:tint val="5"/>
                <a:satMod val="130000"/>
              </a:schemeClr>
            </a:contourClr>
          </a:sp3d>
        </a:effectStyle>
      </a:effectStyleLst>
      <a:bgFillStyleLst>
        <a:solidFill>
          <a:schemeClr val="phClr"/>
        </a:solidFill>
        <a:gradFill rotWithShape="1">
          <a:gsLst>
            <a:gs pos="0">
              <a:schemeClr val="phClr">
                <a:tint val="100000"/>
                <a:shade val="52000"/>
                <a:satMod val="105000"/>
              </a:schemeClr>
            </a:gs>
            <a:gs pos="47500">
              <a:schemeClr val="phClr">
                <a:tint val="90000"/>
                <a:shade val="89000"/>
                <a:satMod val="105000"/>
              </a:schemeClr>
            </a:gs>
            <a:gs pos="58500">
              <a:schemeClr val="phClr">
                <a:tint val="85000"/>
                <a:shade val="89000"/>
                <a:satMod val="105000"/>
              </a:schemeClr>
            </a:gs>
            <a:gs pos="100000">
              <a:schemeClr val="phClr">
                <a:tint val="100000"/>
                <a:shade val="52000"/>
                <a:satMod val="105000"/>
              </a:schemeClr>
            </a:gs>
          </a:gsLst>
          <a:lin ang="3600000" scaled="0"/>
        </a:gradFill>
        <a:blipFill rotWithShape="1">
          <a:blip xmlns:r="http://schemas.openxmlformats.org/officeDocument/2006/relationships" r:embed="rId1">
            <a:duotone>
              <a:schemeClr val="phClr">
                <a:tint val="98000"/>
              </a:schemeClr>
              <a:schemeClr val="phClr">
                <a:shade val="85000"/>
                <a:satMod val="120000"/>
              </a:schemeClr>
            </a:duotone>
          </a:blip>
          <a:tile tx="0" ty="0" sx="52000" sy="52000" flip="none" algn="tl"/>
        </a:blip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71FF0E-8A72-4A31-AF22-09BD84F30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22682</Words>
  <Characters>131559</Characters>
  <Application>Microsoft Office Word</Application>
  <DocSecurity>0</DocSecurity>
  <Lines>1096</Lines>
  <Paragraphs>307</Paragraphs>
  <ScaleCrop>false</ScaleCrop>
  <Company/>
  <LinksUpToDate>false</LinksUpToDate>
  <CharactersWithSpaces>153934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Eesti teraviljasektori arengukava aastateks 2014–2020</dc:title>
  <dc:creator/>
  <cp:keywords>teraviljatööstus; põllumajandus; viljelus; arengukava; strateegiline dokument; töötlev tööstus; esmatööstus</cp:keywords>
  <cp:lastModifiedBy/>
  <cp:revision>1</cp:revision>
  <dcterms:created xsi:type="dcterms:W3CDTF">2014-10-16T12:46:00Z</dcterms:created>
  <dcterms:modified xsi:type="dcterms:W3CDTF">2014-10-16T12:46:00Z</dcterms:modified>
</cp:coreProperties>
</file>