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6C" w:rsidRPr="00377F90" w:rsidRDefault="00B7326C" w:rsidP="00B7326C">
      <w:pPr>
        <w:pStyle w:val="Title"/>
      </w:pPr>
      <w:r w:rsidRPr="00B90953">
        <w:t xml:space="preserve">Lihatööstussektori 2015. aasta I </w:t>
      </w:r>
      <w:r w:rsidRPr="00377F90">
        <w:t>poolaasta</w:t>
      </w:r>
      <w:r w:rsidRPr="00B90953">
        <w:t xml:space="preserve"> ülevaade</w:t>
      </w:r>
    </w:p>
    <w:p w:rsidR="00B7326C" w:rsidRPr="00B90953" w:rsidRDefault="00B7326C" w:rsidP="00B7326C">
      <w:pPr>
        <w:pStyle w:val="Heading1"/>
        <w:rPr>
          <w:rFonts w:eastAsiaTheme="minorEastAsia"/>
        </w:rPr>
      </w:pPr>
      <w:r w:rsidRPr="00B90953">
        <w:rPr>
          <w:rFonts w:eastAsiaTheme="minorEastAsia"/>
        </w:rPr>
        <w:t>Kokkuvõte</w:t>
      </w:r>
    </w:p>
    <w:p w:rsidR="00B7326C" w:rsidRPr="00377F90" w:rsidRDefault="00B7326C" w:rsidP="00B7326C">
      <w:pPr>
        <w:pStyle w:val="ListParagraph"/>
        <w:numPr>
          <w:ilvl w:val="0"/>
          <w:numId w:val="3"/>
        </w:numPr>
      </w:pPr>
      <w:r w:rsidRPr="00377F90">
        <w:t xml:space="preserve">Lihatööstussektori kogukulud olid I poolaastal 142 miljonit eurot, mis on 1,1 miljonit eurot (0,8%) vähem kui eelmisel aastal samal perioodil. Kogukulude vähenemise üheks põhjuseks võib olla see, et lihatööstused saavad varuda odavamalt toorainet. Endiselt kehtivad Venemaa sisseveopiirangud ELi liha ja –toodetele ning levib sigade Aafrika katk (SAK), mistõttu on ELis liha ülepakkumine ning madalad liha hinnad. Asjaolu, et liha ja lihatoodete jaehinnad kauplustes pole oluliselt vähenenud võib olla üheks põhjuseks, miks lihatööstussektor on suutnud kasvatada 2015. aasta esimese 6 kuuga oma müügitulu 1,4% võrreldes eelmise aasta sama perioodiga. </w:t>
      </w:r>
    </w:p>
    <w:p w:rsidR="00B7326C" w:rsidRPr="00377F90" w:rsidRDefault="00B7326C" w:rsidP="00B7326C">
      <w:pPr>
        <w:pStyle w:val="ListParagraph"/>
        <w:numPr>
          <w:ilvl w:val="0"/>
          <w:numId w:val="3"/>
        </w:numPr>
      </w:pPr>
      <w:r w:rsidRPr="00377F90">
        <w:t>Esialgsetel andmetel suurenes lihatööstussektori toodang 15,4% ja eksport 30% võrreldes eelmise aasta sama perioodiga.</w:t>
      </w:r>
    </w:p>
    <w:p w:rsidR="00B7326C" w:rsidRPr="00377F90" w:rsidRDefault="00B7326C" w:rsidP="00B7326C">
      <w:pPr>
        <w:pStyle w:val="ListParagraph"/>
        <w:numPr>
          <w:ilvl w:val="0"/>
          <w:numId w:val="3"/>
        </w:numPr>
      </w:pPr>
      <w:r w:rsidRPr="00377F90">
        <w:t xml:space="preserve">Lihatööstussektor investeeris 2015. aasta esimese 6 kuuga 47,5% vähem kui eelmisel aastal samal ajal, mis näitab, et tuleviku osas ollakse äraootaval seisukohal. Suurimad investeeringud tehti 2015. aasta I poolaastal muude masinate, seadmete, inventari soetamiseks (va arvutid ja transpordivahendid). </w:t>
      </w:r>
    </w:p>
    <w:p w:rsidR="00B7326C" w:rsidRPr="00B90953" w:rsidRDefault="00B7326C" w:rsidP="00B7326C">
      <w:pPr>
        <w:pStyle w:val="ListParagraph"/>
        <w:spacing w:before="86"/>
        <w:jc w:val="both"/>
        <w:textAlignment w:val="baseline"/>
        <w:rPr>
          <w:rFonts w:ascii="Roboto Cn" w:eastAsiaTheme="minorEastAsia" w:hAnsi="Roboto Cn"/>
          <w:color w:val="000000" w:themeColor="text1"/>
          <w:kern w:val="24"/>
          <w:sz w:val="22"/>
        </w:rPr>
      </w:pPr>
    </w:p>
    <w:p w:rsidR="00B7326C" w:rsidRPr="00B90953" w:rsidRDefault="00B7326C" w:rsidP="00B7326C">
      <w:pPr>
        <w:pStyle w:val="Heading1"/>
        <w:rPr>
          <w:rFonts w:eastAsiaTheme="minorEastAsia"/>
        </w:rPr>
      </w:pPr>
      <w:r w:rsidRPr="00B90953">
        <w:rPr>
          <w:rFonts w:eastAsiaTheme="minorEastAsia"/>
        </w:rPr>
        <w:t>Sissejuhatus</w:t>
      </w:r>
    </w:p>
    <w:p w:rsidR="00B7326C" w:rsidRDefault="00B7326C" w:rsidP="00B7326C">
      <w:r w:rsidRPr="00B90953">
        <w:t xml:space="preserve">Vaadeldud on lihatööstussektori ettevõtteid, mis kuuluvad </w:t>
      </w:r>
      <w:r w:rsidRPr="00B90953">
        <w:rPr>
          <w:bCs/>
        </w:rPr>
        <w:t>Eesti majanduse tegevusalade klassifikaatori (EMTAK 2008) tabeli järgi kategooria C101 (</w:t>
      </w:r>
      <w:r w:rsidRPr="00B90953">
        <w:t>liha töötlemine ja säilitamine ning lihatoodete tootmine) alla (</w:t>
      </w:r>
      <w:r w:rsidRPr="00B90953">
        <w:rPr>
          <w:i/>
        </w:rPr>
        <w:t>edaspidi lihatööstussektor</w:t>
      </w:r>
      <w:r w:rsidRPr="00B90953">
        <w:t>). Käsitletud on nende positsiooni majanduses, olulisemaid majandusnäitajaid, investeeringuid, liha kokkuostu- ja jaehindu ning vähesel määral lihatööstussektori väliskaubandust. Ülevaate tegemisel on kasutatud Eesti Statistikaameti (SA) lühiajastatistika andmeid, EMORi andmeid ja Maaeluministeeriumi  arvutusi.</w:t>
      </w:r>
    </w:p>
    <w:p w:rsidR="00B7326C" w:rsidRPr="00B90953" w:rsidRDefault="00B7326C" w:rsidP="00B7326C">
      <w:r>
        <w:t>Liha</w:t>
      </w:r>
      <w:r w:rsidRPr="00EC4292">
        <w:t>töö</w:t>
      </w:r>
      <w:r>
        <w:t>stus</w:t>
      </w:r>
      <w:r w:rsidRPr="00EC4292">
        <w:t>sektori statistilisi näitajaid tõlgendades tuleb arvest</w:t>
      </w:r>
      <w:r>
        <w:t>ada, et valimisse kuulub ettevõtjad, kellel on põhitegevusele lisaks mitmeid lisategevusalasid (nt looma-, linnu- ja taimekasvatus; sööda tootmine; transporditeenused jm)</w:t>
      </w:r>
      <w:r w:rsidRPr="00EC4292">
        <w:t xml:space="preserve">. Seega on antud ülevaates käsitletud sektori näitajad kõigi valimisse kuuluvate ettevõtjate keskmised, mis ei pruugi seega kajastada kõigi sektori osapoolte olukorda võrdselt, vaid näitab valimi statistilist üldistust.  Üksikute ettevõtjate näitajad võivad ülevaates toodud </w:t>
      </w:r>
      <w:r>
        <w:t>arvude</w:t>
      </w:r>
      <w:r w:rsidRPr="00EC4292">
        <w:t>st teinekord oluliselt erineda.</w:t>
      </w:r>
    </w:p>
    <w:p w:rsidR="00B7326C" w:rsidRPr="00B90953" w:rsidRDefault="00B7326C" w:rsidP="00B7326C">
      <w:pPr>
        <w:pStyle w:val="Heading1"/>
        <w:rPr>
          <w:rFonts w:eastAsiaTheme="minorEastAsia"/>
        </w:rPr>
      </w:pPr>
      <w:r w:rsidRPr="00B90953">
        <w:rPr>
          <w:rFonts w:eastAsiaTheme="minorEastAsia"/>
        </w:rPr>
        <w:lastRenderedPageBreak/>
        <w:t>Positsioon majanduses</w:t>
      </w:r>
    </w:p>
    <w:p w:rsidR="00B7326C" w:rsidRPr="00B90953" w:rsidRDefault="00B7326C" w:rsidP="00B7326C">
      <w:r w:rsidRPr="00B90953">
        <w:t xml:space="preserve">Eesti lihatööstussektori ettevõtete arv on viimasel seitsmel aastal jäänud 54-60 ettevõtte vahele ning suuremate ettevõtete arv (üle  </w:t>
      </w:r>
      <w:r>
        <w:t>5</w:t>
      </w:r>
      <w:r w:rsidRPr="00B90953">
        <w:t xml:space="preserve">0 töötajaga) on jäänud vahemikku </w:t>
      </w:r>
      <w:r>
        <w:t>9-13</w:t>
      </w:r>
      <w:r w:rsidRPr="00B90953">
        <w:t>.</w:t>
      </w:r>
    </w:p>
    <w:p w:rsidR="00B7326C" w:rsidRPr="00B90953" w:rsidRDefault="00B7326C" w:rsidP="00B7326C">
      <w:r w:rsidRPr="00B90953">
        <w:t xml:space="preserve">Jätkuvalt iseloomustab Eesti lihatööstussektorit tihe konkurents siseturul. Välismaise kapitaliga ettevõtted omavad ~80-85% turuosast (2010. aastal oli see ligikaudu 80% ning 2011.-2012. aastal 75-80%, 2013.-2014. aastal 80-85%). </w:t>
      </w:r>
    </w:p>
    <w:p w:rsidR="00B7326C" w:rsidRPr="00B90953" w:rsidRDefault="00B7326C" w:rsidP="00B7326C">
      <w:r w:rsidRPr="00B90953">
        <w:t xml:space="preserve">SA esialgsetel andmetel tootis lihatööstussektor 138,1 miljoni euro väärtuses toodangut, mis eelmise aasta sama ajaga võrreldes suurenes 15,4%. Lihatööstussektori kogutoodangu osatähtsus oli toiduainete tööstuses 2015. aasta I poolaastal 20,1% (eelmisel aastal samal ajal 16,1%). Töötleva tööstuse kogutoodangust andis lihasektor 2015. aasta esimese 6 kuuga 3,0% (2011. aastal oli see 2,6% ja 2012. aastal 2,7%, 2013. aastal 2,6% ning 2014. aasta 2,8%). </w:t>
      </w:r>
    </w:p>
    <w:p w:rsidR="00B7326C" w:rsidRDefault="00B7326C" w:rsidP="00B7326C">
      <w:pPr>
        <w:pStyle w:val="Caption"/>
        <w:keepNext/>
      </w:pPr>
      <w:r>
        <w:t xml:space="preserve">Tabel </w:t>
      </w:r>
      <w:r>
        <w:fldChar w:fldCharType="begin"/>
      </w:r>
      <w:r>
        <w:instrText xml:space="preserve"> SEQ Tabel \* ARABIC </w:instrText>
      </w:r>
      <w:r>
        <w:fldChar w:fldCharType="separate"/>
      </w:r>
      <w:r>
        <w:rPr>
          <w:noProof/>
        </w:rPr>
        <w:t>1</w:t>
      </w:r>
      <w:r>
        <w:fldChar w:fldCharType="end"/>
      </w:r>
      <w:r>
        <w:t xml:space="preserve">. </w:t>
      </w:r>
      <w:r w:rsidRPr="00926326">
        <w:t>Tööstustoodangu struktuur (tuhat tonni) ja Eesti lihatoodang (tapakaalus) kokku (tuhat tonni) 2009-2015</w:t>
      </w:r>
    </w:p>
    <w:tbl>
      <w:tblPr>
        <w:tblStyle w:val="MediumShading1-Accent5"/>
        <w:tblW w:w="0" w:type="auto"/>
        <w:tblLook w:val="04A0" w:firstRow="1" w:lastRow="0" w:firstColumn="1" w:lastColumn="0" w:noHBand="0" w:noVBand="1"/>
      </w:tblPr>
      <w:tblGrid>
        <w:gridCol w:w="4111"/>
        <w:gridCol w:w="596"/>
        <w:gridCol w:w="596"/>
        <w:gridCol w:w="595"/>
        <w:gridCol w:w="595"/>
        <w:gridCol w:w="595"/>
        <w:gridCol w:w="671"/>
        <w:gridCol w:w="798"/>
      </w:tblGrid>
      <w:tr w:rsidR="00B7326C" w:rsidRPr="00B90953" w:rsidTr="007B7266">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noWrap/>
            <w:hideMark/>
          </w:tcPr>
          <w:p w:rsidR="00B7326C" w:rsidRPr="00B90953" w:rsidRDefault="00B7326C" w:rsidP="007B7266">
            <w:pPr>
              <w:pStyle w:val="Tabletext"/>
            </w:pPr>
            <w:r w:rsidRPr="00B90953">
              <w:t> </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2009</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2010</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2011</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2012</w:t>
            </w:r>
          </w:p>
        </w:tc>
        <w:tc>
          <w:tcPr>
            <w:tcW w:w="0" w:type="auto"/>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2013</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2014*</w:t>
            </w:r>
          </w:p>
        </w:tc>
        <w:tc>
          <w:tcPr>
            <w:tcW w:w="0" w:type="auto"/>
            <w:noWrap/>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pPr>
            <w:r w:rsidRPr="00B90953">
              <w:t xml:space="preserve">2015 </w:t>
            </w:r>
            <w:r>
              <w:br/>
            </w:r>
            <w:r w:rsidRPr="00B90953">
              <w:t>6 kuud*</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Eesti lihatoodang kokku</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76</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75.4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80.6</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78.4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79.8</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80.7</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Liha tööstustoodang</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44.9</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45.5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43.1</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Vorsttooted</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35.5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36.7</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36.5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34.5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33.5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31.9</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14.7</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keeduvorst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11.1</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10.8</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11.9</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sardellid</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3.8</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3.3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viinerid</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10.9</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12.4</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10.2</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9.8</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poolsuitsuvorst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6.3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4.7</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5.8</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4.4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4.2</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täissuitsuvorst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0.6</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0.7</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maksavorst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0.9</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1.1</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0.9</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verivorst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437199" w:rsidRDefault="00B7326C" w:rsidP="007B7266">
            <w:pPr>
              <w:pStyle w:val="Tabletext"/>
              <w:rPr>
                <w:b w:val="0"/>
                <w:iCs/>
              </w:rPr>
            </w:pPr>
            <w:r w:rsidRPr="00437199">
              <w:rPr>
                <w:b w:val="0"/>
                <w:iCs/>
              </w:rPr>
              <w:t>.. muud vorsttooted</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0.8</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1.9</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0.8</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1.5</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Termiliselt töötlemata naturaalsed pooltooted lihast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32.9</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34.5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29.5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29.3</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Termiliselt töödeldud tooted lihast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6.7</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7.6</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8.4</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8.1</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8.9</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Pelmeenid</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5.6</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5.9</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3.8</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3.5</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pPr>
            <w:r w:rsidRPr="00B90953">
              <w:t>Pasteet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0.3</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c>
          <w:tcPr>
            <w:tcW w:w="0" w:type="auto"/>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0" w:type="auto"/>
            <w:hideMark/>
          </w:tcPr>
          <w:p w:rsidR="00B7326C" w:rsidRPr="00B90953" w:rsidRDefault="00B7326C" w:rsidP="007B7266">
            <w:pPr>
              <w:pStyle w:val="Tabletext"/>
              <w:keepNext/>
            </w:pPr>
            <w:r w:rsidRPr="00B90953">
              <w:t>Suitsulihatooted***</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9.6</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9.9</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10.3</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9.6</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9.9</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w:t>
            </w:r>
          </w:p>
        </w:tc>
        <w:tc>
          <w:tcPr>
            <w:tcW w:w="0" w:type="auto"/>
            <w:noWrap/>
            <w:hideMark/>
          </w:tcPr>
          <w:p w:rsidR="00B7326C" w:rsidRPr="00B90953" w:rsidRDefault="00B7326C" w:rsidP="007B7266">
            <w:pPr>
              <w:pStyle w:val="Tabletext"/>
              <w:keepNext/>
              <w:cnfStyle w:val="000000010000" w:firstRow="0" w:lastRow="0" w:firstColumn="0" w:lastColumn="0" w:oddVBand="0" w:evenVBand="0" w:oddHBand="0" w:evenHBand="1" w:firstRowFirstColumn="0" w:firstRowLastColumn="0" w:lastRowFirstColumn="0" w:lastRowLastColumn="0"/>
            </w:pPr>
            <w:r w:rsidRPr="00B90953">
              <w:t>-</w:t>
            </w:r>
          </w:p>
        </w:tc>
      </w:tr>
    </w:tbl>
    <w:p w:rsidR="00B7326C" w:rsidRPr="00377F90" w:rsidRDefault="00B7326C" w:rsidP="00B7326C">
      <w:pPr>
        <w:pStyle w:val="CommentText"/>
        <w:keepLines/>
        <w:spacing w:after="120"/>
        <w:contextualSpacing/>
        <w:rPr>
          <w:i/>
        </w:rPr>
      </w:pPr>
      <w:r w:rsidRPr="00377F90">
        <w:rPr>
          <w:i/>
        </w:rPr>
        <w:t>Allikas: SA</w:t>
      </w:r>
    </w:p>
    <w:p w:rsidR="00B7326C" w:rsidRPr="00377F90" w:rsidRDefault="00B7326C" w:rsidP="00B7326C">
      <w:pPr>
        <w:pStyle w:val="CommentText"/>
        <w:keepLines/>
        <w:spacing w:after="120"/>
        <w:contextualSpacing/>
        <w:rPr>
          <w:i/>
        </w:rPr>
      </w:pPr>
      <w:r w:rsidRPr="00377F90">
        <w:rPr>
          <w:i/>
        </w:rPr>
        <w:t>Ühik: tuhat tonni</w:t>
      </w:r>
    </w:p>
    <w:p w:rsidR="00B7326C" w:rsidRPr="00377F90" w:rsidRDefault="00B7326C" w:rsidP="00B7326C">
      <w:pPr>
        <w:pStyle w:val="CommentText"/>
        <w:keepLines/>
        <w:spacing w:after="120"/>
        <w:contextualSpacing/>
        <w:rPr>
          <w:i/>
        </w:rPr>
      </w:pPr>
      <w:r>
        <w:rPr>
          <w:i/>
        </w:rPr>
        <w:t>* –</w:t>
      </w:r>
      <w:r w:rsidRPr="00377F90">
        <w:rPr>
          <w:i/>
        </w:rPr>
        <w:t xml:space="preserve"> andmed pole avaldatud</w:t>
      </w:r>
    </w:p>
    <w:p w:rsidR="00B7326C" w:rsidRPr="00377F90" w:rsidRDefault="00B7326C" w:rsidP="00B7326C">
      <w:pPr>
        <w:pStyle w:val="CommentText"/>
        <w:keepLines/>
        <w:spacing w:after="120"/>
        <w:contextualSpacing/>
        <w:rPr>
          <w:i/>
        </w:rPr>
      </w:pPr>
      <w:r w:rsidRPr="00377F90">
        <w:rPr>
          <w:i/>
        </w:rPr>
        <w:t>**</w:t>
      </w:r>
      <w:r>
        <w:rPr>
          <w:i/>
        </w:rPr>
        <w:t>*</w:t>
      </w:r>
      <w:r w:rsidRPr="00377F90">
        <w:rPr>
          <w:i/>
        </w:rPr>
        <w:t xml:space="preserve"> </w:t>
      </w:r>
      <w:r>
        <w:rPr>
          <w:i/>
        </w:rPr>
        <w:t>–</w:t>
      </w:r>
      <w:r w:rsidRPr="00377F90">
        <w:rPr>
          <w:i/>
        </w:rPr>
        <w:t xml:space="preserve"> aastast 2008 koos kuivatatud ja soolatud lihatoodetega</w:t>
      </w:r>
    </w:p>
    <w:p w:rsidR="00B7326C" w:rsidRPr="00B90953" w:rsidRDefault="00B7326C" w:rsidP="00B7326C">
      <w:bookmarkStart w:id="0" w:name="_MON_1457528433"/>
      <w:bookmarkEnd w:id="0"/>
      <w:r w:rsidRPr="00B90953">
        <w:t>2015. aasta esimese 6 kuuga tapeti tegevusloaga lihatöötlemisettevõtetes 18,8 tuhat veist ning neist saadi 4,7 tuhat tonni liha. Võrreldes 2014. aasta sama perioodiga suurenes tegevusloaga lihatöötlemisettevõtetes tapetud veiste arv 1500 veise võrra (8,7%) ja liha saadi 507 tonni rohkem (12,2%).</w:t>
      </w:r>
    </w:p>
    <w:p w:rsidR="00B7326C" w:rsidRPr="00B90953" w:rsidRDefault="00B7326C" w:rsidP="00B7326C">
      <w:r w:rsidRPr="00B90953">
        <w:lastRenderedPageBreak/>
        <w:t>Sigasid tapeti 267,0 tuhat ja neist saadi 21,0 tuhat tonni liha. See on eelmise aasta sama ajaga võrreldes 16,5 tuhat siga ja (6,6%) ja 1,1 tuhat tonni rohkem liha (5,3%).</w:t>
      </w:r>
    </w:p>
    <w:p w:rsidR="00B7326C" w:rsidRDefault="00B7326C" w:rsidP="00B7326C">
      <w:r w:rsidRPr="00B90953">
        <w:t>Lambaid ja kitsesid tapeti tegevusloaga lihatöötlemisettevõtetes 2000 looma, mis on võrreldes 2014. aasta I poolaastaga 700 looma vähem (26%). 2015. aasta 6 kuuga saadi lammastest ja kitsedest 37 tonni liha, mida on eelmise aasta sama perioodiga võrreldes 1 tonn vähem (2,6%).</w:t>
      </w:r>
    </w:p>
    <w:p w:rsidR="00B7326C" w:rsidRPr="00B90953" w:rsidRDefault="00B7326C" w:rsidP="00B7326C">
      <w:pPr>
        <w:pStyle w:val="Heading1"/>
        <w:rPr>
          <w:rFonts w:eastAsiaTheme="minorEastAsia"/>
        </w:rPr>
      </w:pPr>
      <w:r w:rsidRPr="00B90953">
        <w:rPr>
          <w:rFonts w:eastAsiaTheme="minorEastAsia"/>
        </w:rPr>
        <w:t>Majandusnäitajad</w:t>
      </w:r>
    </w:p>
    <w:p w:rsidR="00B7326C" w:rsidRPr="00B90953" w:rsidRDefault="00B7326C" w:rsidP="00B7326C">
      <w:pPr>
        <w:pStyle w:val="Heading2"/>
      </w:pPr>
      <w:r w:rsidRPr="00B90953">
        <w:t>Müügitulu, kogukulud ja kogukasum</w:t>
      </w:r>
    </w:p>
    <w:p w:rsidR="00B7326C" w:rsidRPr="00B90953" w:rsidRDefault="00B7326C" w:rsidP="00B7326C">
      <w:r w:rsidRPr="00B90953">
        <w:t xml:space="preserve">2015. aasta I poolaastal oli lihasektori käive 150,3 miljonit eurot, mis on 2014. aasta sama ajaga võrreldes 2,1 miljonit eurot (1,4%) rohkem. </w:t>
      </w:r>
    </w:p>
    <w:p w:rsidR="00B7326C" w:rsidRPr="00377F90" w:rsidRDefault="00B7326C" w:rsidP="00B7326C">
      <w:r w:rsidRPr="00377F90">
        <w:t>Lihatööstussektori 2015. aasta esimese 6 kuue kogukasum oli 8,3 miljonit eurot . Statistikaameti kogutava kogukasumi puhul ei ole tegemist puhaskasumiga (avaldatakse aastaandmetes, SA valem: kogukasum (-kahjum) = müügitulu – kulud kokku). Eelmise aasta sama perioodiga võrreldes on kogukasum kasvanud 3,3 miljonit eurot (66%). Majandusnäitajate võrdlemisel eelmise perioodiga tuleb arvestada asjaoluga, et Statistikaamet tegi mõningad muudatused lihatööstussektori ettevõtjate valimis, seetõttu pole andmed otseselt võrreldavad.</w:t>
      </w:r>
    </w:p>
    <w:p w:rsidR="00B7326C" w:rsidRDefault="00B7326C" w:rsidP="00B7326C">
      <w:pPr>
        <w:keepNext/>
        <w:jc w:val="both"/>
      </w:pPr>
      <w:r>
        <w:rPr>
          <w:rFonts w:ascii="Roboto Cn" w:hAnsi="Roboto Cn" w:cs="Arial"/>
          <w:noProof/>
          <w:sz w:val="22"/>
        </w:rPr>
        <w:drawing>
          <wp:inline distT="0" distB="0" distL="0" distR="0" wp14:anchorId="4476F165" wp14:editId="221794B2">
            <wp:extent cx="5753735" cy="3950970"/>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326C" w:rsidRDefault="00B7326C" w:rsidP="00B7326C">
      <w:pPr>
        <w:pStyle w:val="Caption"/>
        <w:jc w:val="both"/>
      </w:pPr>
      <w:r>
        <w:t xml:space="preserve">Joonis </w:t>
      </w:r>
      <w:r>
        <w:fldChar w:fldCharType="begin"/>
      </w:r>
      <w:r>
        <w:instrText xml:space="preserve"> SEQ Joonis \* ARABIC </w:instrText>
      </w:r>
      <w:r>
        <w:fldChar w:fldCharType="separate"/>
      </w:r>
      <w:r>
        <w:rPr>
          <w:noProof/>
        </w:rPr>
        <w:t>1</w:t>
      </w:r>
      <w:r>
        <w:fldChar w:fldCharType="end"/>
      </w:r>
      <w:r>
        <w:t xml:space="preserve">. </w:t>
      </w:r>
      <w:r w:rsidRPr="00AE371A">
        <w:t>Lihatööstussektori müügitulu, kogukulud ja -kasum I poolaasta 2009-2015, miljon eurot</w:t>
      </w:r>
    </w:p>
    <w:p w:rsidR="00B7326C" w:rsidRPr="00B90953" w:rsidRDefault="00B7326C" w:rsidP="00B7326C">
      <w:r w:rsidRPr="00B90953">
        <w:lastRenderedPageBreak/>
        <w:t>Lihatööstussektori tööjõukulud kasvasid 2015. aasta I poolaastal kiiremas tempos kui kogukulud. Tööjõukulud moodustasid 15,2% kogukuludest (eelmisel aastal samal perioodil oli see 12,6%) ning suurenesid aastaga 19,4%. Kogukulud olid I poolaastal 142 miljonit eurot, mis on 1,1 miljonit eurot (0,8%)</w:t>
      </w:r>
      <w:r>
        <w:t xml:space="preserve"> </w:t>
      </w:r>
      <w:r w:rsidRPr="00B90953">
        <w:t xml:space="preserve">vähem kui eelmisel aastal samal perioodil. Kogukulude vähenemise üheks põhjuseks võib olla see, et lihatööstused saavad varuda odavamalt toorainet. Seda tekkinud olukorra tõttu EL turul, kus endiselt kehtivad Venemaa sisseveopiirangud ELi liha ja –toodetele ning levib sigade Aafrika katk, mistõttu on ELis liha </w:t>
      </w:r>
      <w:r w:rsidRPr="000C023A">
        <w:t>ülepakkumine</w:t>
      </w:r>
      <w:r w:rsidRPr="00B90953">
        <w:t xml:space="preserve"> ning madalad liha hinnad.</w:t>
      </w:r>
    </w:p>
    <w:p w:rsidR="00B7326C" w:rsidRPr="00B90953" w:rsidRDefault="00B7326C" w:rsidP="00B7326C">
      <w:pPr>
        <w:pStyle w:val="Heading2"/>
      </w:pPr>
      <w:r w:rsidRPr="00B90953">
        <w:t>Puhas lisandväärtus ja tööviljakus</w:t>
      </w:r>
    </w:p>
    <w:p w:rsidR="00B7326C" w:rsidRPr="00C26F94" w:rsidRDefault="00B7326C" w:rsidP="00B7326C">
      <w:pPr>
        <w:rPr>
          <w:szCs w:val="24"/>
        </w:rPr>
      </w:pPr>
      <w:r w:rsidRPr="00B90953">
        <w:t xml:space="preserve">2015. aasta I poolaastal oli lihatööstussektori puhas lisandväärtus </w:t>
      </w:r>
      <w:r w:rsidRPr="00B90953">
        <w:rPr>
          <w:rStyle w:val="FootnoteReference"/>
          <w:rFonts w:ascii="Roboto Cn" w:hAnsi="Roboto Cn"/>
          <w:sz w:val="22"/>
        </w:rPr>
        <w:footnoteReference w:id="1"/>
      </w:r>
      <w:r w:rsidRPr="00B90953">
        <w:t xml:space="preserve"> 29,9 miljonit eurot, mis on eelmise aasta sama perioodiga võrreldes 6,8 miljonit eurot (29,4%) rohkem.</w:t>
      </w:r>
    </w:p>
    <w:p w:rsidR="00B7326C" w:rsidRDefault="00B7326C" w:rsidP="00B7326C">
      <w:pPr>
        <w:keepNext/>
        <w:jc w:val="both"/>
      </w:pPr>
      <w:r>
        <w:rPr>
          <w:rFonts w:ascii="Roboto Cn" w:hAnsi="Roboto Cn"/>
          <w:noProof/>
          <w:sz w:val="22"/>
        </w:rPr>
        <w:drawing>
          <wp:inline distT="0" distB="0" distL="0" distR="0" wp14:anchorId="28BB634F" wp14:editId="37DD9A34">
            <wp:extent cx="5772150" cy="407860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326C" w:rsidRPr="00C26F94" w:rsidRDefault="00B7326C" w:rsidP="00B7326C">
      <w:pPr>
        <w:pStyle w:val="Caption"/>
        <w:jc w:val="both"/>
        <w:rPr>
          <w:rFonts w:cs="Times New Roman"/>
          <w:lang w:eastAsia="et-EE"/>
        </w:rPr>
      </w:pPr>
      <w:r>
        <w:t xml:space="preserve">Joonis </w:t>
      </w:r>
      <w:r>
        <w:fldChar w:fldCharType="begin"/>
      </w:r>
      <w:r>
        <w:instrText xml:space="preserve"> SEQ Joonis \* ARABIC </w:instrText>
      </w:r>
      <w:r>
        <w:fldChar w:fldCharType="separate"/>
      </w:r>
      <w:r>
        <w:rPr>
          <w:noProof/>
        </w:rPr>
        <w:t>2</w:t>
      </w:r>
      <w:r>
        <w:fldChar w:fldCharType="end"/>
      </w:r>
      <w:r>
        <w:t xml:space="preserve">. </w:t>
      </w:r>
      <w:r w:rsidRPr="00D62872">
        <w:t>Lihatööstussektori puhas lisandväärtus (miljon eurot) ja osatähtsus töötlevas tööstuses ja toiduainetööstuse lisandväärtusest I poolaasta 2009-2015</w:t>
      </w:r>
    </w:p>
    <w:p w:rsidR="00B7326C" w:rsidRDefault="00B7326C" w:rsidP="00B7326C">
      <w:pPr>
        <w:keepNext/>
        <w:spacing w:before="86"/>
        <w:jc w:val="both"/>
        <w:textAlignment w:val="baseline"/>
      </w:pPr>
      <w:r>
        <w:rPr>
          <w:rFonts w:ascii="Roboto Cn" w:eastAsiaTheme="minorEastAsia" w:hAnsi="Roboto Cn"/>
          <w:noProof/>
          <w:color w:val="000000" w:themeColor="text1"/>
          <w:kern w:val="24"/>
          <w:sz w:val="22"/>
        </w:rPr>
        <w:lastRenderedPageBreak/>
        <w:drawing>
          <wp:inline distT="0" distB="0" distL="0" distR="0" wp14:anchorId="6F4AE26A" wp14:editId="26DCE93B">
            <wp:extent cx="5848985" cy="3459480"/>
            <wp:effectExtent l="0" t="0" r="0" b="762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326C" w:rsidRDefault="00B7326C" w:rsidP="00B7326C">
      <w:pPr>
        <w:pStyle w:val="Caption"/>
        <w:jc w:val="both"/>
      </w:pPr>
      <w:r>
        <w:t xml:space="preserve">Joonis </w:t>
      </w:r>
      <w:r>
        <w:fldChar w:fldCharType="begin"/>
      </w:r>
      <w:r>
        <w:instrText xml:space="preserve"> SEQ Joonis \* ARABIC </w:instrText>
      </w:r>
      <w:r>
        <w:fldChar w:fldCharType="separate"/>
      </w:r>
      <w:r>
        <w:rPr>
          <w:noProof/>
        </w:rPr>
        <w:t>3</w:t>
      </w:r>
      <w:r>
        <w:fldChar w:fldCharType="end"/>
      </w:r>
      <w:r>
        <w:t xml:space="preserve">. </w:t>
      </w:r>
      <w:r w:rsidRPr="00852FDB">
        <w:t>Tööviljakus hõivatu kohta puhta lisandväärtuse alusel (tuhat eurot) I poolaasta 2009-2015</w:t>
      </w:r>
    </w:p>
    <w:p w:rsidR="00B7326C" w:rsidRPr="00B90953" w:rsidRDefault="00B7326C" w:rsidP="00B7326C">
      <w:r w:rsidRPr="00B90953">
        <w:t>Tööviljakus</w:t>
      </w:r>
      <w:r w:rsidRPr="00B90953">
        <w:rPr>
          <w:rStyle w:val="FootnoteReference"/>
          <w:rFonts w:ascii="Roboto Cn" w:hAnsi="Roboto Cn"/>
          <w:sz w:val="22"/>
        </w:rPr>
        <w:footnoteReference w:id="2"/>
      </w:r>
      <w:r w:rsidRPr="00B90953">
        <w:t xml:space="preserve">  hõivatu kohta puhta lisandväärtuse alusel oli 2015. aasta I poolaastal 10,1 tuhat eurot, mis on 2014. aasta esimese poolaastaga võrreldes 1,8 tuhat eurot suurem (21,7%). </w:t>
      </w:r>
    </w:p>
    <w:p w:rsidR="00B7326C" w:rsidRPr="00B90953" w:rsidRDefault="00B7326C" w:rsidP="00B7326C">
      <w:pPr>
        <w:pStyle w:val="Heading2"/>
      </w:pPr>
      <w:r w:rsidRPr="00B90953">
        <w:t>Tööga hõivatute arv ja töötasu</w:t>
      </w:r>
    </w:p>
    <w:p w:rsidR="00B7326C" w:rsidRPr="00B90953" w:rsidRDefault="00B7326C" w:rsidP="00B7326C">
      <w:r w:rsidRPr="00B90953">
        <w:t>2015. aasta I poolaastal oli SA andmetel lihasektoris keskmiselt tööga hõivatute isikute</w:t>
      </w:r>
      <w:r w:rsidRPr="00B90953">
        <w:rPr>
          <w:rStyle w:val="FootnoteReference"/>
          <w:rFonts w:ascii="Roboto Cn" w:hAnsi="Roboto Cn"/>
          <w:sz w:val="22"/>
        </w:rPr>
        <w:footnoteReference w:id="3"/>
      </w:r>
      <w:r w:rsidRPr="00B90953">
        <w:t xml:space="preserve"> arv 2958 inimest. Võrreldes 2014. aasta sama perioodiga on keskmiselt tööga hõivatute arv suurenenud 206 inimese võrra (7,5%). </w:t>
      </w:r>
    </w:p>
    <w:p w:rsidR="00B7326C" w:rsidRPr="00C26F94" w:rsidRDefault="00B7326C" w:rsidP="00B7326C">
      <w:pPr>
        <w:rPr>
          <w:rFonts w:cs="Times New Roman"/>
          <w:szCs w:val="24"/>
        </w:rPr>
      </w:pPr>
      <w:r w:rsidRPr="00B90953">
        <w:t>Lihatööstussektoris keskmiselt tööga hõivatute arv moodustas 2015. aasta esimese 6 kuuga 19,6% toiduainetööstuses hõivatud inimestest (2014. aastal oli see 19,3%) ning töötlevas tööstuses hõivatud inimestest 2,8% (2014. aastal oli see 2,7%).</w:t>
      </w:r>
    </w:p>
    <w:p w:rsidR="00B7326C" w:rsidRDefault="00B7326C" w:rsidP="00B7326C">
      <w:pPr>
        <w:keepNext/>
        <w:jc w:val="both"/>
      </w:pPr>
      <w:r w:rsidRPr="00854EFC">
        <w:rPr>
          <w:noProof/>
          <w:sz w:val="22"/>
        </w:rPr>
        <w:lastRenderedPageBreak/>
        <w:drawing>
          <wp:inline distT="0" distB="0" distL="0" distR="0" wp14:anchorId="0AED1A5E" wp14:editId="45193E2C">
            <wp:extent cx="5934075" cy="3545205"/>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326C" w:rsidRDefault="00B7326C" w:rsidP="00B7326C">
      <w:pPr>
        <w:pStyle w:val="Caption"/>
        <w:jc w:val="both"/>
      </w:pPr>
      <w:r>
        <w:t xml:space="preserve">Joonis </w:t>
      </w:r>
      <w:r>
        <w:fldChar w:fldCharType="begin"/>
      </w:r>
      <w:r>
        <w:instrText xml:space="preserve"> SEQ Joonis \* ARABIC </w:instrText>
      </w:r>
      <w:r>
        <w:fldChar w:fldCharType="separate"/>
      </w:r>
      <w:r>
        <w:rPr>
          <w:noProof/>
        </w:rPr>
        <w:t>4</w:t>
      </w:r>
      <w:r>
        <w:fldChar w:fldCharType="end"/>
      </w:r>
      <w:r>
        <w:t>.</w:t>
      </w:r>
      <w:r w:rsidRPr="00B62EDE">
        <w:t>Lihatööstussektoris keskmine tööga hõivatud isikute arv ja selle osatähtsus töötlevas tööstuses ja toiduainetööstuses, I poolaasta 2009-2015</w:t>
      </w:r>
    </w:p>
    <w:p w:rsidR="00B7326C" w:rsidRPr="00C26F94" w:rsidRDefault="00B7326C" w:rsidP="00B7326C">
      <w:pPr>
        <w:rPr>
          <w:szCs w:val="24"/>
        </w:rPr>
      </w:pPr>
      <w:r w:rsidRPr="00B90953">
        <w:t>Maaeluministeeriumi arvutuste kohaselt oli 2015. aasta I poolaastal lihatööstussektori keskmine tunni brutotöötasu 6,1 eurot, mis on 2014. aasta sama perioodiga võrreldes 0,6 eurot (10,9%) rohkem.</w:t>
      </w:r>
    </w:p>
    <w:bookmarkStart w:id="1" w:name="_MON_1505032770"/>
    <w:bookmarkEnd w:id="1"/>
    <w:p w:rsidR="00B7326C" w:rsidRDefault="00B7326C" w:rsidP="00B7326C">
      <w:pPr>
        <w:keepNext/>
        <w:jc w:val="both"/>
      </w:pPr>
      <w:r w:rsidRPr="00854EFC">
        <w:rPr>
          <w:rFonts w:cs="Arial"/>
          <w:sz w:val="22"/>
        </w:rPr>
        <w:object w:dxaOrig="11039" w:dyaOrig="6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14.95pt" o:ole="">
            <v:imagedata r:id="rId12" o:title=""/>
          </v:shape>
          <o:OLEObject Type="Embed" ProgID="Excel.Sheet.12" ShapeID="_x0000_i1025" DrawAspect="Content" ObjectID="_1505909449" r:id="rId13"/>
        </w:object>
      </w:r>
    </w:p>
    <w:p w:rsidR="00B7326C" w:rsidRDefault="00B7326C" w:rsidP="00B7326C">
      <w:pPr>
        <w:pStyle w:val="Caption"/>
        <w:jc w:val="both"/>
      </w:pPr>
      <w:r>
        <w:t xml:space="preserve">Joonis </w:t>
      </w:r>
      <w:r>
        <w:fldChar w:fldCharType="begin"/>
      </w:r>
      <w:r>
        <w:instrText xml:space="preserve"> SEQ Joonis \* ARABIC </w:instrText>
      </w:r>
      <w:r>
        <w:fldChar w:fldCharType="separate"/>
      </w:r>
      <w:r>
        <w:rPr>
          <w:noProof/>
        </w:rPr>
        <w:t>5</w:t>
      </w:r>
      <w:r>
        <w:fldChar w:fldCharType="end"/>
      </w:r>
      <w:r>
        <w:t xml:space="preserve">. </w:t>
      </w:r>
      <w:r w:rsidRPr="00D316DD">
        <w:t>Keskmine tunni töötasu kuus (bruto), eurot, I poolaastal 2009-2015</w:t>
      </w:r>
    </w:p>
    <w:p w:rsidR="00B7326C" w:rsidRPr="00B90953" w:rsidRDefault="00B7326C" w:rsidP="00B7326C">
      <w:r w:rsidRPr="00B90953">
        <w:lastRenderedPageBreak/>
        <w:t>2015. aasta esimesel poolaastal oli lihatööstussektori keskmine tunni töötasu 9,7% madalam (eelmisel aastal 14,6% madalam) töötleva tööstuse keskmisest tunnitöötasust ja 3,6% madalam toiduainetööstuse keskmisest tunnitöötasust (eelmisel aastal 6,8</w:t>
      </w:r>
      <w:r>
        <w:t>% madalam).</w:t>
      </w:r>
    </w:p>
    <w:p w:rsidR="00B7326C" w:rsidRPr="00B90953" w:rsidRDefault="00B7326C" w:rsidP="00B7326C">
      <w:pPr>
        <w:pStyle w:val="Heading2"/>
        <w:rPr>
          <w:noProof/>
        </w:rPr>
      </w:pPr>
      <w:r w:rsidRPr="00B90953">
        <w:t>Investeeringud</w:t>
      </w:r>
    </w:p>
    <w:p w:rsidR="00B7326C" w:rsidRPr="00B90953" w:rsidRDefault="00B7326C" w:rsidP="00B7326C">
      <w:pPr>
        <w:rPr>
          <w:rFonts w:cs="Arial"/>
        </w:rPr>
      </w:pPr>
      <w:r w:rsidRPr="00B90953">
        <w:t>2015. aasta I poolaastal investeeriti lihatööstussektoris 2,3 miljonit eurot, mida on 2014. aasta sama perioodi investeeringutega võrreldes 2,1 miljonit eurot (47,7%) vähem. Suurimad investeeringud tehti 2015. aasta I poolaastal muude masinate ja seadmete, inventari soetamiseks (va arvutid ja transpordivahendid).</w:t>
      </w:r>
    </w:p>
    <w:p w:rsidR="00B7326C" w:rsidRDefault="00B7326C" w:rsidP="00B7326C">
      <w:pPr>
        <w:keepNext/>
        <w:jc w:val="both"/>
      </w:pPr>
      <w:r w:rsidRPr="00B7326C">
        <w:rPr>
          <w:rFonts w:ascii="Roboto Cn" w:hAnsi="Roboto Cn" w:cs="Arial"/>
          <w:noProof/>
        </w:rPr>
        <w:drawing>
          <wp:inline distT="0" distB="0" distL="0" distR="0" wp14:anchorId="71E82984" wp14:editId="728DB2FF">
            <wp:extent cx="5657850" cy="5278755"/>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326C" w:rsidRPr="00462853" w:rsidRDefault="00B7326C" w:rsidP="00B7326C">
      <w:pPr>
        <w:pStyle w:val="Caption"/>
        <w:jc w:val="both"/>
        <w:rPr>
          <w:rFonts w:cs="Times New Roman"/>
          <w:lang w:eastAsia="et-EE"/>
        </w:rPr>
      </w:pPr>
      <w:r>
        <w:t xml:space="preserve">Joonis </w:t>
      </w:r>
      <w:r>
        <w:fldChar w:fldCharType="begin"/>
      </w:r>
      <w:r>
        <w:instrText xml:space="preserve"> SEQ Joonis \* ARABIC </w:instrText>
      </w:r>
      <w:r>
        <w:fldChar w:fldCharType="separate"/>
      </w:r>
      <w:r>
        <w:rPr>
          <w:noProof/>
        </w:rPr>
        <w:t>6</w:t>
      </w:r>
      <w:r>
        <w:fldChar w:fldCharType="end"/>
      </w:r>
      <w:r>
        <w:t xml:space="preserve">. </w:t>
      </w:r>
      <w:r w:rsidRPr="00C73D2C">
        <w:t>Lihatööstussektori investeeringud I poolaasta 2009-2015, tuhat eurot</w:t>
      </w:r>
    </w:p>
    <w:p w:rsidR="00B7326C" w:rsidRDefault="00B7326C" w:rsidP="00B7326C">
      <w:pPr>
        <w:keepNext/>
        <w:jc w:val="both"/>
      </w:pPr>
      <w:r>
        <w:rPr>
          <w:rFonts w:ascii="Roboto Cn" w:hAnsi="Roboto Cn"/>
          <w:noProof/>
          <w:sz w:val="22"/>
        </w:rPr>
        <w:lastRenderedPageBreak/>
        <w:drawing>
          <wp:inline distT="0" distB="0" distL="0" distR="0" wp14:anchorId="5AE2D14C" wp14:editId="4A843444">
            <wp:extent cx="5676900" cy="2859405"/>
            <wp:effectExtent l="0" t="0" r="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326C" w:rsidRDefault="00B7326C" w:rsidP="00B7326C">
      <w:pPr>
        <w:pStyle w:val="Caption"/>
        <w:keepNext/>
        <w:jc w:val="both"/>
      </w:pPr>
      <w:r>
        <w:t xml:space="preserve">Joonis </w:t>
      </w:r>
      <w:r>
        <w:fldChar w:fldCharType="begin"/>
      </w:r>
      <w:r>
        <w:instrText xml:space="preserve"> SEQ Joonis \* ARABIC </w:instrText>
      </w:r>
      <w:r>
        <w:fldChar w:fldCharType="separate"/>
      </w:r>
      <w:r>
        <w:rPr>
          <w:noProof/>
        </w:rPr>
        <w:t>7</w:t>
      </w:r>
      <w:r>
        <w:fldChar w:fldCharType="end"/>
      </w:r>
      <w:r>
        <w:t xml:space="preserve">. </w:t>
      </w:r>
      <w:r w:rsidRPr="00CF5B0F">
        <w:t>Lihatööstussektori investeeringud 2015 I poolaastal</w:t>
      </w:r>
    </w:p>
    <w:p w:rsidR="00B7326C" w:rsidRPr="00462853" w:rsidRDefault="00B7326C" w:rsidP="00B7326C">
      <w:pPr>
        <w:pStyle w:val="CommentText"/>
        <w:keepLines/>
        <w:spacing w:after="120"/>
        <w:contextualSpacing/>
        <w:rPr>
          <w:i/>
        </w:rPr>
      </w:pPr>
      <w:r w:rsidRPr="00462853">
        <w:rPr>
          <w:i/>
        </w:rPr>
        <w:t>Allikas: SA</w:t>
      </w:r>
    </w:p>
    <w:p w:rsidR="00B7326C" w:rsidRPr="00462853" w:rsidRDefault="00B7326C" w:rsidP="00B7326C">
      <w:pPr>
        <w:pStyle w:val="CommentText"/>
        <w:keepLines/>
        <w:spacing w:after="120"/>
        <w:contextualSpacing/>
        <w:rPr>
          <w:rFonts w:cs="Times New Roman"/>
          <w:i/>
          <w:lang w:eastAsia="et-EE"/>
        </w:rPr>
      </w:pPr>
      <w:r w:rsidRPr="00462853">
        <w:rPr>
          <w:i/>
        </w:rPr>
        <w:t>* - v.a arvutid, arvutisüsteemid ja transpordivahendid</w:t>
      </w:r>
    </w:p>
    <w:p w:rsidR="00B7326C" w:rsidRPr="00B90953" w:rsidRDefault="00B7326C" w:rsidP="00B7326C">
      <w:pPr>
        <w:pStyle w:val="Heading1"/>
      </w:pPr>
      <w:r w:rsidRPr="00B90953">
        <w:t>Hinnad</w:t>
      </w:r>
    </w:p>
    <w:p w:rsidR="00B7326C" w:rsidRPr="00B90953" w:rsidRDefault="00B7326C" w:rsidP="00B7326C">
      <w:pPr>
        <w:pStyle w:val="Heading2"/>
      </w:pPr>
      <w:r w:rsidRPr="00B90953">
        <w:t>Liha jae- ja kokkuostuhinnad</w:t>
      </w:r>
    </w:p>
    <w:p w:rsidR="00B7326C" w:rsidRPr="00854EFC" w:rsidRDefault="00B7326C" w:rsidP="00B7326C">
      <w:pPr>
        <w:rPr>
          <w:szCs w:val="24"/>
        </w:rPr>
      </w:pPr>
      <w:r w:rsidRPr="00B90953">
        <w:t>2015. aasta esimese 6 kuu andmete järgi oli sealiha jaehind võrreldes 2014. aasta esimese poolaastaga 0,21 eurot (12,8%) madalam ja veiseliha jaehind 0,20 eurot (9,4%) madalam.</w:t>
      </w:r>
      <w:r>
        <w:t xml:space="preserve"> </w:t>
      </w:r>
    </w:p>
    <w:p w:rsidR="00B7326C" w:rsidRDefault="00B7326C" w:rsidP="00B7326C">
      <w:pPr>
        <w:keepNext/>
        <w:autoSpaceDE w:val="0"/>
        <w:autoSpaceDN w:val="0"/>
        <w:adjustRightInd w:val="0"/>
        <w:spacing w:line="252" w:lineRule="auto"/>
        <w:jc w:val="both"/>
      </w:pPr>
      <w:r>
        <w:rPr>
          <w:rFonts w:ascii="Roboto Cn" w:hAnsi="Roboto Cn" w:cs="Arial"/>
          <w:noProof/>
          <w:color w:val="000000"/>
          <w:sz w:val="22"/>
        </w:rPr>
        <w:drawing>
          <wp:inline distT="0" distB="0" distL="0" distR="0" wp14:anchorId="757F2D42" wp14:editId="2AF84366">
            <wp:extent cx="5831205" cy="305371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326C" w:rsidRDefault="00B7326C" w:rsidP="00B7326C">
      <w:pPr>
        <w:pStyle w:val="Caption"/>
        <w:jc w:val="both"/>
      </w:pPr>
      <w:r>
        <w:t xml:space="preserve">Joonis </w:t>
      </w:r>
      <w:r>
        <w:fldChar w:fldCharType="begin"/>
      </w:r>
      <w:r>
        <w:instrText xml:space="preserve"> SEQ Joonis \* ARABIC </w:instrText>
      </w:r>
      <w:r>
        <w:fldChar w:fldCharType="separate"/>
      </w:r>
      <w:r>
        <w:rPr>
          <w:noProof/>
        </w:rPr>
        <w:t>8</w:t>
      </w:r>
      <w:r>
        <w:fldChar w:fldCharType="end"/>
      </w:r>
      <w:r>
        <w:t xml:space="preserve">. </w:t>
      </w:r>
      <w:r w:rsidRPr="00F965A7">
        <w:t>Sea- ja veiseliha jae- ja kokkuostuhinnad, eurot/kilogramm, 2009-2015</w:t>
      </w:r>
    </w:p>
    <w:p w:rsidR="00B7326C" w:rsidRPr="00B90953" w:rsidRDefault="00B7326C" w:rsidP="00B7326C">
      <w:pPr>
        <w:pStyle w:val="Heading1"/>
      </w:pPr>
      <w:r w:rsidRPr="00B90953">
        <w:lastRenderedPageBreak/>
        <w:t>Kaubandus</w:t>
      </w:r>
    </w:p>
    <w:p w:rsidR="00B7326C" w:rsidRDefault="00B7326C" w:rsidP="00B7326C">
      <w:r w:rsidRPr="00B90953">
        <w:t xml:space="preserve">SA esialgse statistika andmetel eksportis lihatööstussektor 2015. aasta esimese 6 kuuga 23,5 miljoni euro väärtuses toodangut, mida oli 30% rohkem kui eelmisel aastal </w:t>
      </w:r>
      <w:bookmarkStart w:id="2" w:name="_GoBack"/>
      <w:bookmarkEnd w:id="2"/>
      <w:r w:rsidRPr="00B90953">
        <w:t xml:space="preserve">samal perioodil. </w:t>
      </w:r>
    </w:p>
    <w:p w:rsidR="00B7326C" w:rsidRPr="00B90953" w:rsidRDefault="00B7326C" w:rsidP="00B7326C">
      <w:pPr>
        <w:pStyle w:val="Heading1"/>
      </w:pPr>
      <w:r w:rsidRPr="00B90953">
        <w:t>Majandusnäitajate üldtabel</w:t>
      </w:r>
    </w:p>
    <w:p w:rsidR="00B7326C" w:rsidRDefault="00B7326C" w:rsidP="00B7326C">
      <w:pPr>
        <w:pStyle w:val="Caption"/>
        <w:keepNext/>
      </w:pPr>
      <w:r>
        <w:t xml:space="preserve">Tabel </w:t>
      </w:r>
      <w:r>
        <w:fldChar w:fldCharType="begin"/>
      </w:r>
      <w:r>
        <w:instrText xml:space="preserve"> SEQ Tabel \* ARABIC </w:instrText>
      </w:r>
      <w:r>
        <w:fldChar w:fldCharType="separate"/>
      </w:r>
      <w:r>
        <w:rPr>
          <w:noProof/>
        </w:rPr>
        <w:t>2</w:t>
      </w:r>
      <w:r>
        <w:fldChar w:fldCharType="end"/>
      </w:r>
      <w:r>
        <w:t xml:space="preserve">. </w:t>
      </w:r>
      <w:r w:rsidRPr="004D20F4">
        <w:t>Lihatööstussektori olulisemad näitajad ja muutus I poolaastal 2014-2015</w:t>
      </w:r>
    </w:p>
    <w:tbl>
      <w:tblPr>
        <w:tblStyle w:val="MediumShading1-Accent5"/>
        <w:tblW w:w="7479" w:type="dxa"/>
        <w:tblLook w:val="04A0" w:firstRow="1" w:lastRow="0" w:firstColumn="1" w:lastColumn="0" w:noHBand="0" w:noVBand="1"/>
      </w:tblPr>
      <w:tblGrid>
        <w:gridCol w:w="1548"/>
        <w:gridCol w:w="3320"/>
        <w:gridCol w:w="807"/>
        <w:gridCol w:w="807"/>
        <w:gridCol w:w="997"/>
      </w:tblGrid>
      <w:tr w:rsidR="00B7326C" w:rsidRPr="00B90953" w:rsidTr="007B726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68" w:type="dxa"/>
            <w:gridSpan w:val="2"/>
            <w:noWrap/>
            <w:hideMark/>
          </w:tcPr>
          <w:p w:rsidR="00B7326C" w:rsidRPr="00B90953" w:rsidRDefault="00B7326C" w:rsidP="007B7266">
            <w:pPr>
              <w:pStyle w:val="Tabletext"/>
              <w:rPr>
                <w:b w:val="0"/>
                <w:bCs w:val="0"/>
              </w:rPr>
            </w:pPr>
            <w:r w:rsidRPr="00B90953">
              <w:t> </w:t>
            </w:r>
          </w:p>
        </w:tc>
        <w:tc>
          <w:tcPr>
            <w:tcW w:w="807" w:type="dxa"/>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B90953">
              <w:t xml:space="preserve">2014 </w:t>
            </w:r>
            <w:r>
              <w:br/>
            </w:r>
            <w:r w:rsidRPr="00B90953">
              <w:t>6 kuud</w:t>
            </w:r>
          </w:p>
        </w:tc>
        <w:tc>
          <w:tcPr>
            <w:tcW w:w="807" w:type="dxa"/>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B90953">
              <w:t xml:space="preserve">2015 </w:t>
            </w:r>
            <w:r>
              <w:br/>
            </w:r>
            <w:r w:rsidRPr="00B90953">
              <w:t>6 kuud</w:t>
            </w:r>
          </w:p>
        </w:tc>
        <w:tc>
          <w:tcPr>
            <w:tcW w:w="997" w:type="dxa"/>
            <w:hideMark/>
          </w:tcPr>
          <w:p w:rsidR="00B7326C" w:rsidRPr="00B90953" w:rsidRDefault="00B7326C" w:rsidP="007B7266">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B90953">
              <w:t xml:space="preserve">Muutus </w:t>
            </w:r>
            <w:r>
              <w:br/>
            </w:r>
            <w:r w:rsidRPr="00B90953">
              <w:t>(%)</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9" w:type="dxa"/>
            <w:gridSpan w:val="5"/>
            <w:hideMark/>
          </w:tcPr>
          <w:p w:rsidR="00B7326C" w:rsidRPr="00B90953" w:rsidRDefault="00B7326C" w:rsidP="007B7266">
            <w:pPr>
              <w:pStyle w:val="Tabletext"/>
            </w:pPr>
            <w:r w:rsidRPr="00B90953">
              <w:t>Positsioon majanduses</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Toodangu väärtus, mln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119.7</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138.1</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15.4</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Lihatööstussektori toodangu osatähtsus (%):</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 </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 </w:t>
            </w:r>
          </w:p>
        </w:tc>
        <w:tc>
          <w:tcPr>
            <w:tcW w:w="997" w:type="dxa"/>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 </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Pr>
                <w:b w:val="0"/>
              </w:rPr>
              <w:t xml:space="preserve">… </w:t>
            </w:r>
            <w:r w:rsidRPr="00854EFC">
              <w:rPr>
                <w:b w:val="0"/>
              </w:rPr>
              <w:t>töötlevas tööstuses</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2.6</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3.0</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15.4</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Pr>
                <w:b w:val="0"/>
              </w:rPr>
              <w:t xml:space="preserve">… </w:t>
            </w:r>
            <w:r w:rsidRPr="00854EFC">
              <w:rPr>
                <w:b w:val="0"/>
              </w:rPr>
              <w:t>toiduainetööstuses</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16.1</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20.1</w:t>
            </w:r>
          </w:p>
        </w:tc>
        <w:tc>
          <w:tcPr>
            <w:tcW w:w="997" w:type="dxa"/>
            <w:shd w:val="clear" w:color="auto" w:fill="D6E3BC" w:themeFill="accent3"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24.8</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9" w:type="dxa"/>
            <w:gridSpan w:val="5"/>
            <w:hideMark/>
          </w:tcPr>
          <w:p w:rsidR="00B7326C" w:rsidRPr="00854EFC" w:rsidRDefault="00B7326C" w:rsidP="007B7266">
            <w:pPr>
              <w:pStyle w:val="Tabletext"/>
            </w:pPr>
            <w:r w:rsidRPr="00B90953">
              <w:t>Majandusnäitajad</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Müügitulu, mln eurot</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148.2</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150.3</w:t>
            </w:r>
          </w:p>
        </w:tc>
        <w:tc>
          <w:tcPr>
            <w:tcW w:w="997" w:type="dxa"/>
            <w:shd w:val="clear" w:color="auto" w:fill="D6E3BC" w:themeFill="accent3"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1.4</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Kogukulud, mln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143.2</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142.0</w:t>
            </w:r>
          </w:p>
        </w:tc>
        <w:tc>
          <w:tcPr>
            <w:tcW w:w="997" w:type="dxa"/>
            <w:shd w:val="clear" w:color="auto" w:fill="E5B8B7" w:themeFill="accent2"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w:t>
            </w:r>
            <w:r w:rsidRPr="00854EFC">
              <w:rPr>
                <w:shd w:val="clear" w:color="auto" w:fill="E5B8B7" w:themeFill="accent2" w:themeFillTint="66"/>
              </w:rPr>
              <w:t>0.8</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Kogukasum, mln eurot</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5.0</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8.3</w:t>
            </w:r>
          </w:p>
        </w:tc>
        <w:tc>
          <w:tcPr>
            <w:tcW w:w="997" w:type="dxa"/>
            <w:shd w:val="clear" w:color="auto" w:fill="D6E3BC" w:themeFill="accent3"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66.0</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Puhas lisandväärtus, mln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23.1</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29.9</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29.4</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Lihatööstussektori lisandväärtuse osakaal (%):</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 </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 </w:t>
            </w:r>
          </w:p>
        </w:tc>
        <w:tc>
          <w:tcPr>
            <w:tcW w:w="997" w:type="dxa"/>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 </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töötlevas tööstuses</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2.0</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2.6</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30.0</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toiduainetööstuses</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15.4</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18.0</w:t>
            </w:r>
          </w:p>
        </w:tc>
        <w:tc>
          <w:tcPr>
            <w:tcW w:w="997" w:type="dxa"/>
            <w:shd w:val="clear" w:color="auto" w:fill="D6E3BC" w:themeFill="accent3"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16.9</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Tööviljakus hõivatu kohta puhta lisandväärtuse alusel, tuhat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8.3</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10.1</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21.7</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Töötajate arv</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2752</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2958</w:t>
            </w:r>
          </w:p>
        </w:tc>
        <w:tc>
          <w:tcPr>
            <w:tcW w:w="997" w:type="dxa"/>
            <w:shd w:val="clear" w:color="auto" w:fill="D6E3BC" w:themeFill="accent3"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854EFC">
              <w:t>7.5</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Keskmine kuu tunnitöötasu (bruto),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5.5</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6.1</w:t>
            </w:r>
          </w:p>
        </w:tc>
        <w:tc>
          <w:tcPr>
            <w:tcW w:w="997" w:type="dxa"/>
            <w:shd w:val="clear" w:color="auto" w:fill="D6E3BC" w:themeFill="accent3"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10.9</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9" w:type="dxa"/>
            <w:gridSpan w:val="5"/>
            <w:hideMark/>
          </w:tcPr>
          <w:p w:rsidR="00B7326C" w:rsidRPr="00854EFC" w:rsidRDefault="00B7326C" w:rsidP="007B7266">
            <w:pPr>
              <w:pStyle w:val="Tabletext"/>
            </w:pPr>
            <w:r w:rsidRPr="00B90953">
              <w:t xml:space="preserve">Investeeringud </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Investeeringud materiaalsesse põhivarasse, mln eurot</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4.4</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2.3</w:t>
            </w:r>
          </w:p>
        </w:tc>
        <w:tc>
          <w:tcPr>
            <w:tcW w:w="997" w:type="dxa"/>
            <w:shd w:val="clear" w:color="auto" w:fill="E5B8B7" w:themeFill="accent2"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854EFC">
              <w:t>-</w:t>
            </w:r>
            <w:r w:rsidRPr="00854EFC">
              <w:rPr>
                <w:shd w:val="clear" w:color="auto" w:fill="E5B8B7" w:themeFill="accent2" w:themeFillTint="66"/>
              </w:rPr>
              <w:t>47.7</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9" w:type="dxa"/>
            <w:gridSpan w:val="5"/>
            <w:hideMark/>
          </w:tcPr>
          <w:p w:rsidR="00B7326C" w:rsidRPr="00854EFC" w:rsidRDefault="00B7326C" w:rsidP="007B7266">
            <w:pPr>
              <w:pStyle w:val="Tabletext"/>
            </w:pPr>
            <w:r w:rsidRPr="00B90953">
              <w:t>Hinnad</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Sealiha kokkuostuhind, eurot kilogramm</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1.64</w:t>
            </w:r>
          </w:p>
        </w:tc>
        <w:tc>
          <w:tcPr>
            <w:tcW w:w="807" w:type="dxa"/>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1.43</w:t>
            </w:r>
          </w:p>
        </w:tc>
        <w:tc>
          <w:tcPr>
            <w:tcW w:w="997" w:type="dxa"/>
            <w:shd w:val="clear" w:color="auto" w:fill="E5B8B7" w:themeFill="accent2"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rPr>
                <w:shd w:val="clear" w:color="auto" w:fill="E5B8B7" w:themeFill="accent2" w:themeFillTint="66"/>
              </w:rPr>
            </w:pPr>
            <w:r w:rsidRPr="00854EFC">
              <w:rPr>
                <w:shd w:val="clear" w:color="auto" w:fill="E5B8B7" w:themeFill="accent2" w:themeFillTint="66"/>
              </w:rPr>
              <w:t>-12.8</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hideMark/>
          </w:tcPr>
          <w:p w:rsidR="00B7326C" w:rsidRPr="00854EFC" w:rsidRDefault="00B7326C" w:rsidP="007B7266">
            <w:pPr>
              <w:pStyle w:val="Tabletext"/>
              <w:rPr>
                <w:b w:val="0"/>
              </w:rPr>
            </w:pPr>
            <w:r w:rsidRPr="00854EFC">
              <w:rPr>
                <w:b w:val="0"/>
              </w:rPr>
              <w:t>Veiseliha kokkuostuhind, eurot kilogramm</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2.23</w:t>
            </w:r>
          </w:p>
        </w:tc>
        <w:tc>
          <w:tcPr>
            <w:tcW w:w="807" w:type="dxa"/>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2.02</w:t>
            </w:r>
          </w:p>
        </w:tc>
        <w:tc>
          <w:tcPr>
            <w:tcW w:w="997" w:type="dxa"/>
            <w:shd w:val="clear" w:color="auto" w:fill="E5B8B7" w:themeFill="accent2"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rPr>
                <w:shd w:val="clear" w:color="auto" w:fill="E5B8B7" w:themeFill="accent2" w:themeFillTint="66"/>
              </w:rPr>
            </w:pPr>
            <w:r w:rsidRPr="00854EFC">
              <w:rPr>
                <w:shd w:val="clear" w:color="auto" w:fill="E5B8B7" w:themeFill="accent2" w:themeFillTint="66"/>
              </w:rPr>
              <w:t>-9.4</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tcBorders>
              <w:bottom w:val="single" w:sz="8" w:space="0" w:color="78C0D4" w:themeColor="accent5" w:themeTint="BF"/>
            </w:tcBorders>
            <w:hideMark/>
          </w:tcPr>
          <w:p w:rsidR="00B7326C" w:rsidRPr="00854EFC" w:rsidRDefault="00B7326C" w:rsidP="007B7266">
            <w:pPr>
              <w:pStyle w:val="Tabletext"/>
              <w:rPr>
                <w:b w:val="0"/>
              </w:rPr>
            </w:pPr>
            <w:r w:rsidRPr="00854EFC">
              <w:rPr>
                <w:b w:val="0"/>
              </w:rPr>
              <w:t>Sealiha jaehind, eurot kilogramm</w:t>
            </w:r>
          </w:p>
        </w:tc>
        <w:tc>
          <w:tcPr>
            <w:tcW w:w="807" w:type="dxa"/>
            <w:tcBorders>
              <w:bottom w:val="single" w:sz="8" w:space="0" w:color="78C0D4" w:themeColor="accent5" w:themeTint="BF"/>
            </w:tcBorders>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5.35</w:t>
            </w:r>
          </w:p>
        </w:tc>
        <w:tc>
          <w:tcPr>
            <w:tcW w:w="807" w:type="dxa"/>
            <w:tcBorders>
              <w:bottom w:val="single" w:sz="8" w:space="0" w:color="78C0D4" w:themeColor="accent5" w:themeTint="BF"/>
            </w:tcBorders>
            <w:noWrap/>
            <w:hideMark/>
          </w:tcPr>
          <w:p w:rsidR="00B7326C" w:rsidRPr="00B90953" w:rsidRDefault="00B7326C" w:rsidP="007B7266">
            <w:pPr>
              <w:pStyle w:val="Tabletext"/>
              <w:cnfStyle w:val="000000010000" w:firstRow="0" w:lastRow="0" w:firstColumn="0" w:lastColumn="0" w:oddVBand="0" w:evenVBand="0" w:oddHBand="0" w:evenHBand="1" w:firstRowFirstColumn="0" w:firstRowLastColumn="0" w:lastRowFirstColumn="0" w:lastRowLastColumn="0"/>
            </w:pPr>
            <w:r w:rsidRPr="00B90953">
              <w:t>4.74</w:t>
            </w:r>
          </w:p>
        </w:tc>
        <w:tc>
          <w:tcPr>
            <w:tcW w:w="997" w:type="dxa"/>
            <w:tcBorders>
              <w:bottom w:val="single" w:sz="8" w:space="0" w:color="78C0D4" w:themeColor="accent5" w:themeTint="BF"/>
            </w:tcBorders>
            <w:shd w:val="clear" w:color="auto" w:fill="E5B8B7" w:themeFill="accent2" w:themeFillTint="66"/>
            <w:noWrap/>
            <w:hideMark/>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rPr>
                <w:shd w:val="clear" w:color="auto" w:fill="E5B8B7" w:themeFill="accent2" w:themeFillTint="66"/>
              </w:rPr>
            </w:pPr>
            <w:r w:rsidRPr="00854EFC">
              <w:rPr>
                <w:shd w:val="clear" w:color="auto" w:fill="E5B8B7" w:themeFill="accent2" w:themeFillTint="66"/>
              </w:rPr>
              <w:t>-11.4</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8" w:type="dxa"/>
            <w:gridSpan w:val="2"/>
            <w:tcBorders>
              <w:bottom w:val="single" w:sz="8" w:space="0" w:color="78C0D4" w:themeColor="accent5" w:themeTint="BF"/>
            </w:tcBorders>
            <w:hideMark/>
          </w:tcPr>
          <w:p w:rsidR="00B7326C" w:rsidRPr="00854EFC" w:rsidRDefault="00B7326C" w:rsidP="007B7266">
            <w:pPr>
              <w:pStyle w:val="Tabletext"/>
              <w:rPr>
                <w:b w:val="0"/>
              </w:rPr>
            </w:pPr>
            <w:r w:rsidRPr="00854EFC">
              <w:rPr>
                <w:b w:val="0"/>
              </w:rPr>
              <w:t>Veiseliha jaehind, eurot kilogramm</w:t>
            </w:r>
          </w:p>
        </w:tc>
        <w:tc>
          <w:tcPr>
            <w:tcW w:w="807" w:type="dxa"/>
            <w:tcBorders>
              <w:bottom w:val="single" w:sz="8" w:space="0" w:color="78C0D4" w:themeColor="accent5" w:themeTint="BF"/>
            </w:tcBorders>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8.47</w:t>
            </w:r>
          </w:p>
        </w:tc>
        <w:tc>
          <w:tcPr>
            <w:tcW w:w="807" w:type="dxa"/>
            <w:tcBorders>
              <w:bottom w:val="single" w:sz="8" w:space="0" w:color="78C0D4" w:themeColor="accent5" w:themeTint="BF"/>
            </w:tcBorders>
            <w:noWrap/>
            <w:hideMark/>
          </w:tcPr>
          <w:p w:rsidR="00B7326C" w:rsidRPr="00B90953" w:rsidRDefault="00B7326C" w:rsidP="007B7266">
            <w:pPr>
              <w:pStyle w:val="Tabletext"/>
              <w:cnfStyle w:val="000000100000" w:firstRow="0" w:lastRow="0" w:firstColumn="0" w:lastColumn="0" w:oddVBand="0" w:evenVBand="0" w:oddHBand="1" w:evenHBand="0" w:firstRowFirstColumn="0" w:firstRowLastColumn="0" w:lastRowFirstColumn="0" w:lastRowLastColumn="0"/>
            </w:pPr>
            <w:r w:rsidRPr="00B90953">
              <w:t>7.39</w:t>
            </w:r>
          </w:p>
        </w:tc>
        <w:tc>
          <w:tcPr>
            <w:tcW w:w="997" w:type="dxa"/>
            <w:tcBorders>
              <w:bottom w:val="single" w:sz="8" w:space="0" w:color="78C0D4" w:themeColor="accent5" w:themeTint="BF"/>
            </w:tcBorders>
            <w:shd w:val="clear" w:color="auto" w:fill="E5B8B7" w:themeFill="accent2" w:themeFillTint="66"/>
            <w:noWrap/>
            <w:hideMark/>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rPr>
                <w:shd w:val="clear" w:color="auto" w:fill="E5B8B7" w:themeFill="accent2" w:themeFillTint="66"/>
              </w:rPr>
            </w:pPr>
            <w:r w:rsidRPr="00854EFC">
              <w:rPr>
                <w:shd w:val="clear" w:color="auto" w:fill="E5B8B7" w:themeFill="accent2" w:themeFillTint="66"/>
              </w:rPr>
              <w:t>-12.8</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9" w:type="dxa"/>
            <w:gridSpan w:val="5"/>
            <w:tcBorders>
              <w:top w:val="single" w:sz="8" w:space="0" w:color="78C0D4" w:themeColor="accent5" w:themeTint="BF"/>
              <w:left w:val="nil"/>
              <w:bottom w:val="nil"/>
              <w:right w:val="nil"/>
            </w:tcBorders>
            <w:shd w:val="clear" w:color="auto" w:fill="FFFFFF" w:themeFill="background1"/>
            <w:noWrap/>
          </w:tcPr>
          <w:p w:rsidR="00B7326C" w:rsidRPr="00854EFC" w:rsidRDefault="00B7326C" w:rsidP="007B7266">
            <w:pPr>
              <w:pStyle w:val="Tabletext"/>
            </w:pPr>
            <w:r>
              <w:t>Legend</w:t>
            </w:r>
          </w:p>
        </w:tc>
      </w:tr>
      <w:tr w:rsidR="00B7326C" w:rsidRPr="00B90953" w:rsidTr="007B72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tcBorders>
            <w:shd w:val="clear" w:color="auto" w:fill="D6E3BC" w:themeFill="accent3" w:themeFillTint="66"/>
            <w:noWrap/>
            <w:hideMark/>
          </w:tcPr>
          <w:p w:rsidR="00B7326C" w:rsidRPr="00854EFC" w:rsidRDefault="00B7326C" w:rsidP="007B7266">
            <w:pPr>
              <w:pStyle w:val="Tabletext"/>
              <w:rPr>
                <w:b w:val="0"/>
                <w:bCs w:val="0"/>
              </w:rPr>
            </w:pPr>
            <w:r w:rsidRPr="00854EFC">
              <w:t> </w:t>
            </w:r>
          </w:p>
        </w:tc>
        <w:tc>
          <w:tcPr>
            <w:tcW w:w="5931" w:type="dxa"/>
            <w:gridSpan w:val="4"/>
            <w:tcBorders>
              <w:top w:val="nil"/>
              <w:bottom w:val="nil"/>
              <w:right w:val="nil"/>
            </w:tcBorders>
            <w:shd w:val="clear" w:color="auto" w:fill="auto"/>
          </w:tcPr>
          <w:p w:rsidR="00B7326C" w:rsidRPr="00854EFC" w:rsidRDefault="00B7326C" w:rsidP="007B7266">
            <w:pPr>
              <w:pStyle w:val="Tabletext"/>
              <w:cnfStyle w:val="000000100000" w:firstRow="0" w:lastRow="0" w:firstColumn="0" w:lastColumn="0" w:oddVBand="0" w:evenVBand="0" w:oddHBand="1" w:evenHBand="0" w:firstRowFirstColumn="0" w:firstRowLastColumn="0" w:lastRowFirstColumn="0" w:lastRowLastColumn="0"/>
            </w:pPr>
            <w:r>
              <w:t>suurenenud</w:t>
            </w:r>
          </w:p>
        </w:tc>
      </w:tr>
      <w:tr w:rsidR="00B7326C" w:rsidRPr="00B90953" w:rsidTr="007B726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48" w:type="dxa"/>
            <w:tcBorders>
              <w:top w:val="nil"/>
              <w:left w:val="nil"/>
              <w:bottom w:val="nil"/>
            </w:tcBorders>
            <w:shd w:val="clear" w:color="auto" w:fill="E5B8B7" w:themeFill="accent2" w:themeFillTint="66"/>
            <w:noWrap/>
            <w:hideMark/>
          </w:tcPr>
          <w:p w:rsidR="00B7326C" w:rsidRPr="00854EFC" w:rsidRDefault="00B7326C" w:rsidP="007B7266">
            <w:pPr>
              <w:pStyle w:val="Tabletext"/>
              <w:rPr>
                <w:b w:val="0"/>
                <w:bCs w:val="0"/>
              </w:rPr>
            </w:pPr>
            <w:r w:rsidRPr="00854EFC">
              <w:t> </w:t>
            </w:r>
          </w:p>
        </w:tc>
        <w:tc>
          <w:tcPr>
            <w:tcW w:w="5931" w:type="dxa"/>
            <w:gridSpan w:val="4"/>
            <w:tcBorders>
              <w:top w:val="nil"/>
              <w:bottom w:val="nil"/>
              <w:right w:val="nil"/>
            </w:tcBorders>
            <w:shd w:val="clear" w:color="auto" w:fill="auto"/>
          </w:tcPr>
          <w:p w:rsidR="00B7326C" w:rsidRPr="00854EFC" w:rsidRDefault="00B7326C" w:rsidP="007B7266">
            <w:pPr>
              <w:pStyle w:val="Tabletext"/>
              <w:cnfStyle w:val="000000010000" w:firstRow="0" w:lastRow="0" w:firstColumn="0" w:lastColumn="0" w:oddVBand="0" w:evenVBand="0" w:oddHBand="0" w:evenHBand="1" w:firstRowFirstColumn="0" w:firstRowLastColumn="0" w:lastRowFirstColumn="0" w:lastRowLastColumn="0"/>
            </w:pPr>
            <w:r>
              <w:t>vähenenud</w:t>
            </w:r>
          </w:p>
        </w:tc>
      </w:tr>
    </w:tbl>
    <w:p w:rsidR="00B7326C" w:rsidRPr="00B90953" w:rsidRDefault="00B7326C" w:rsidP="00B7326C">
      <w:pPr>
        <w:autoSpaceDE w:val="0"/>
        <w:autoSpaceDN w:val="0"/>
        <w:adjustRightInd w:val="0"/>
        <w:jc w:val="both"/>
        <w:rPr>
          <w:rFonts w:ascii="Roboto Cn" w:hAnsi="Roboto Cn"/>
          <w:sz w:val="22"/>
        </w:rPr>
      </w:pPr>
    </w:p>
    <w:p w:rsidR="00B7326C" w:rsidRDefault="00B7326C" w:rsidP="00B7326C"/>
    <w:p w:rsidR="00E119CF" w:rsidRPr="00B7326C" w:rsidRDefault="00E119CF" w:rsidP="00B7326C"/>
    <w:sectPr w:rsidR="00E119CF" w:rsidRPr="00B7326C" w:rsidSect="007D67E9">
      <w:headerReference w:type="default" r:id="rId17"/>
      <w:footerReference w:type="default" r:id="rId18"/>
      <w:pgSz w:w="11906" w:h="16838"/>
      <w:pgMar w:top="2268" w:right="1021"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98" w:rsidRDefault="00404098" w:rsidP="00C80D96">
      <w:pPr>
        <w:spacing w:after="0"/>
      </w:pPr>
      <w:r>
        <w:separator/>
      </w:r>
    </w:p>
  </w:endnote>
  <w:endnote w:type="continuationSeparator" w:id="0">
    <w:p w:rsidR="00404098" w:rsidRDefault="00404098" w:rsidP="00C80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Light">
    <w:panose1 w:val="02000000000000000000"/>
    <w:charset w:val="BA"/>
    <w:family w:val="auto"/>
    <w:pitch w:val="variable"/>
    <w:sig w:usb0="E00002FF" w:usb1="5000205B" w:usb2="00000020" w:usb3="00000000" w:csb0="0000019F" w:csb1="00000000"/>
  </w:font>
  <w:font w:name="Roboto Condensed">
    <w:panose1 w:val="02000000000000000000"/>
    <w:charset w:val="BA"/>
    <w:family w:val="auto"/>
    <w:pitch w:val="variable"/>
    <w:sig w:usb0="E00002FF" w:usb1="5000205B" w:usb2="00000020" w:usb3="00000000" w:csb0="0000019F" w:csb1="00000000"/>
  </w:font>
  <w:font w:name="Tahoma">
    <w:panose1 w:val="020B0604030504040204"/>
    <w:charset w:val="BA"/>
    <w:family w:val="swiss"/>
    <w:pitch w:val="variable"/>
    <w:sig w:usb0="E1002EFF" w:usb1="C000605B" w:usb2="00000029" w:usb3="00000000" w:csb0="000101FF" w:csb1="00000000"/>
  </w:font>
  <w:font w:name="Roboto Cn">
    <w:panose1 w:val="00000000000000000000"/>
    <w:charset w:val="BA"/>
    <w:family w:val="auto"/>
    <w:pitch w:val="variable"/>
    <w:sig w:usb0="E00002EF" w:usb1="4800205B" w:usb2="14A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408907"/>
      <w:docPartObj>
        <w:docPartGallery w:val="Page Numbers (Bottom of Page)"/>
        <w:docPartUnique/>
      </w:docPartObj>
    </w:sdtPr>
    <w:sdtEndPr/>
    <w:sdtContent>
      <w:sdt>
        <w:sdtPr>
          <w:id w:val="-1669238322"/>
          <w:docPartObj>
            <w:docPartGallery w:val="Page Numbers (Top of Page)"/>
            <w:docPartUnique/>
          </w:docPartObj>
        </w:sdtPr>
        <w:sdtEndPr/>
        <w:sdtContent>
          <w:p w:rsidR="006D654D" w:rsidRDefault="006D654D">
            <w:pPr>
              <w:pStyle w:val="Footer"/>
              <w:jc w:val="center"/>
            </w:pPr>
            <w:r>
              <w:t xml:space="preserve">Lk </w:t>
            </w:r>
            <w:r>
              <w:rPr>
                <w:b/>
                <w:bCs/>
                <w:sz w:val="24"/>
                <w:szCs w:val="24"/>
              </w:rPr>
              <w:fldChar w:fldCharType="begin"/>
            </w:r>
            <w:r>
              <w:rPr>
                <w:b/>
                <w:bCs/>
              </w:rPr>
              <w:instrText>PAGE</w:instrText>
            </w:r>
            <w:r>
              <w:rPr>
                <w:b/>
                <w:bCs/>
                <w:sz w:val="24"/>
                <w:szCs w:val="24"/>
              </w:rPr>
              <w:fldChar w:fldCharType="separate"/>
            </w:r>
            <w:r w:rsidR="00B7326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7326C">
              <w:rPr>
                <w:b/>
                <w:bCs/>
                <w:noProof/>
              </w:rPr>
              <w:t>9</w:t>
            </w:r>
            <w:r>
              <w:rPr>
                <w:b/>
                <w:bCs/>
                <w:sz w:val="24"/>
                <w:szCs w:val="24"/>
              </w:rPr>
              <w:fldChar w:fldCharType="end"/>
            </w:r>
          </w:p>
        </w:sdtContent>
      </w:sdt>
    </w:sdtContent>
  </w:sdt>
  <w:p w:rsidR="006D654D" w:rsidRDefault="006D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98" w:rsidRDefault="00404098" w:rsidP="00C80D96">
      <w:pPr>
        <w:spacing w:after="0"/>
      </w:pPr>
      <w:r>
        <w:separator/>
      </w:r>
    </w:p>
  </w:footnote>
  <w:footnote w:type="continuationSeparator" w:id="0">
    <w:p w:rsidR="00404098" w:rsidRDefault="00404098" w:rsidP="00C80D96">
      <w:pPr>
        <w:spacing w:after="0"/>
      </w:pPr>
      <w:r>
        <w:continuationSeparator/>
      </w:r>
    </w:p>
  </w:footnote>
  <w:footnote w:id="1">
    <w:p w:rsidR="00B7326C" w:rsidRDefault="00B7326C" w:rsidP="00B7326C">
      <w:pPr>
        <w:pStyle w:val="FootnoteText"/>
      </w:pPr>
      <w:r>
        <w:rPr>
          <w:rStyle w:val="FootnoteReference"/>
        </w:rPr>
        <w:footnoteRef/>
      </w:r>
      <w:r>
        <w:t xml:space="preserve"> Puhas lisandväärtus = (müügitulu – kulud kokku) + tööjõukulud</w:t>
      </w:r>
    </w:p>
  </w:footnote>
  <w:footnote w:id="2">
    <w:p w:rsidR="00B7326C" w:rsidRDefault="00B7326C" w:rsidP="00B7326C">
      <w:pPr>
        <w:pStyle w:val="FootnoteText"/>
      </w:pPr>
      <w:r>
        <w:rPr>
          <w:rStyle w:val="FootnoteReference"/>
        </w:rPr>
        <w:footnoteRef/>
      </w:r>
      <w:r>
        <w:t xml:space="preserve"> Tööviljakus = puhas lisandväärtus / tööga hõivatud inimeste arv </w:t>
      </w:r>
    </w:p>
  </w:footnote>
  <w:footnote w:id="3">
    <w:p w:rsidR="00B7326C" w:rsidRDefault="00B7326C" w:rsidP="00B7326C">
      <w:pPr>
        <w:pStyle w:val="FootnoteText"/>
      </w:pPr>
      <w:r>
        <w:rPr>
          <w:rStyle w:val="FootnoteReference"/>
        </w:rPr>
        <w:footnoteRef/>
      </w:r>
      <w:r>
        <w:t xml:space="preserve"> Tööga hõivatud isikud – kõigi ettevõttes töötavate isikute arv, olenemata töönädala pikkusest (sh omanikud ja nende tasuta töötavad pereliikmed, osaajaga töötajad, hooajatöötajad jt)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6C" w:rsidRDefault="00E46D6C" w:rsidP="00E46D6C">
    <w:pPr>
      <w:pStyle w:val="Header"/>
      <w:jc w:val="right"/>
    </w:pPr>
    <w:r>
      <w:rPr>
        <w:noProof/>
        <w:szCs w:val="20"/>
        <w:lang w:eastAsia="et-EE"/>
      </w:rPr>
      <w:drawing>
        <wp:anchor distT="0" distB="0" distL="114300" distR="114300" simplePos="0" relativeHeight="251659264" behindDoc="0" locked="0" layoutInCell="1" allowOverlap="1" wp14:anchorId="65406E6F" wp14:editId="73D977B5">
          <wp:simplePos x="0" y="0"/>
          <wp:positionH relativeFrom="column">
            <wp:posOffset>-742315</wp:posOffset>
          </wp:positionH>
          <wp:positionV relativeFrom="paragraph">
            <wp:posOffset>-182245</wp:posOffset>
          </wp:positionV>
          <wp:extent cx="2621280" cy="1049655"/>
          <wp:effectExtent l="0" t="0" r="7620" b="0"/>
          <wp:wrapTopAndBottom/>
          <wp:docPr id="1" name="Picture 5" descr="C:\Users\kavaartnou\Documents\MinVeeb\valitsuslogo failid\Logod - Maaeluministeerium\maaeluministeerium-3lovi-est-rgb-slid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21280" cy="1049655"/>
                  </a:xfrm>
                  <a:prstGeom prst="rect">
                    <a:avLst/>
                  </a:prstGeom>
                  <a:noFill/>
                  <a:ln>
                    <a:noFill/>
                    <a:prstDash/>
                  </a:ln>
                </pic:spPr>
              </pic:pic>
            </a:graphicData>
          </a:graphic>
        </wp:anchor>
      </w:drawing>
    </w:r>
    <w:r>
      <w:t>07.10.2015</w:t>
    </w:r>
    <w:r>
      <w:br/>
      <w:t>turu arendamise büroo</w:t>
    </w:r>
    <w:r>
      <w:br/>
      <w:t>Martin Pretke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D46F7"/>
    <w:multiLevelType w:val="hybridMultilevel"/>
    <w:tmpl w:val="6EB0AE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3747EC3"/>
    <w:multiLevelType w:val="hybridMultilevel"/>
    <w:tmpl w:val="BA7E0A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4E36854"/>
    <w:multiLevelType w:val="hybridMultilevel"/>
    <w:tmpl w:val="77B025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96"/>
    <w:rsid w:val="00114040"/>
    <w:rsid w:val="0014139B"/>
    <w:rsid w:val="001413E5"/>
    <w:rsid w:val="00381E75"/>
    <w:rsid w:val="00404098"/>
    <w:rsid w:val="00444ABA"/>
    <w:rsid w:val="00483C4D"/>
    <w:rsid w:val="00524B89"/>
    <w:rsid w:val="005B57A0"/>
    <w:rsid w:val="00606943"/>
    <w:rsid w:val="006B5FB6"/>
    <w:rsid w:val="006D654D"/>
    <w:rsid w:val="006E1898"/>
    <w:rsid w:val="00787ACC"/>
    <w:rsid w:val="007D67E9"/>
    <w:rsid w:val="008B1EB6"/>
    <w:rsid w:val="008F7DE3"/>
    <w:rsid w:val="00957DF5"/>
    <w:rsid w:val="009E3859"/>
    <w:rsid w:val="00A67BAC"/>
    <w:rsid w:val="00B25EF7"/>
    <w:rsid w:val="00B7326C"/>
    <w:rsid w:val="00C80D96"/>
    <w:rsid w:val="00D42AD6"/>
    <w:rsid w:val="00E119CF"/>
    <w:rsid w:val="00E46D6C"/>
    <w:rsid w:val="00EC42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B6"/>
    <w:pPr>
      <w:spacing w:after="120" w:line="240" w:lineRule="auto"/>
    </w:pPr>
    <w:rPr>
      <w:rFonts w:ascii="Roboto Condensed Light" w:hAnsi="Roboto Condensed Light"/>
      <w:sz w:val="24"/>
    </w:rPr>
  </w:style>
  <w:style w:type="paragraph" w:styleId="Heading1">
    <w:name w:val="heading 1"/>
    <w:basedOn w:val="Normal"/>
    <w:link w:val="Heading1Char"/>
    <w:uiPriority w:val="9"/>
    <w:qFormat/>
    <w:rsid w:val="00C80D96"/>
    <w:pPr>
      <w:keepNext/>
      <w:spacing w:before="100" w:beforeAutospacing="1" w:after="100" w:afterAutospacing="1"/>
      <w:outlineLvl w:val="0"/>
    </w:pPr>
    <w:rPr>
      <w:rFonts w:ascii="Roboto Condensed" w:eastAsia="Times New Roman" w:hAnsi="Roboto Condensed" w:cs="Times New Roman"/>
      <w:b/>
      <w:bCs/>
      <w:color w:val="0070C0"/>
      <w:kern w:val="36"/>
      <w:sz w:val="36"/>
      <w:szCs w:val="48"/>
      <w:lang w:eastAsia="et-EE"/>
    </w:rPr>
  </w:style>
  <w:style w:type="paragraph" w:styleId="Heading2">
    <w:name w:val="heading 2"/>
    <w:basedOn w:val="Normal"/>
    <w:next w:val="Normal"/>
    <w:link w:val="Heading2Char"/>
    <w:uiPriority w:val="9"/>
    <w:qFormat/>
    <w:rsid w:val="00957DF5"/>
    <w:pPr>
      <w:keepNext/>
      <w:keepLines/>
      <w:spacing w:before="200"/>
      <w:outlineLvl w:val="1"/>
    </w:pPr>
    <w:rPr>
      <w:rFonts w:ascii="Roboto Condensed" w:eastAsia="Times New Roman" w:hAnsi="Roboto Condensed" w:cs="Times New Roman"/>
      <w:b/>
      <w:bCs/>
      <w:color w:val="0070C0"/>
      <w:sz w:val="28"/>
      <w:szCs w:val="26"/>
    </w:rPr>
  </w:style>
  <w:style w:type="paragraph" w:styleId="Heading3">
    <w:name w:val="heading 3"/>
    <w:basedOn w:val="Normal"/>
    <w:next w:val="Normal"/>
    <w:link w:val="Heading3Char"/>
    <w:uiPriority w:val="9"/>
    <w:unhideWhenUsed/>
    <w:qFormat/>
    <w:rsid w:val="006B5FB6"/>
    <w:pPr>
      <w:keepNext/>
      <w:keepLines/>
      <w:spacing w:before="200" w:after="0"/>
      <w:outlineLvl w:val="2"/>
    </w:pPr>
    <w:rPr>
      <w:rFonts w:ascii="Roboto Condensed" w:eastAsiaTheme="majorEastAsia" w:hAnsi="Roboto Condensed" w:cstheme="majorBidi"/>
      <w:b/>
      <w:bCs/>
      <w:i/>
      <w:color w:val="0070C0"/>
    </w:rPr>
  </w:style>
  <w:style w:type="paragraph" w:styleId="Heading4">
    <w:name w:val="heading 4"/>
    <w:basedOn w:val="Normal"/>
    <w:next w:val="Normal"/>
    <w:link w:val="Heading4Char"/>
    <w:uiPriority w:val="9"/>
    <w:semiHidden/>
    <w:unhideWhenUsed/>
    <w:qFormat/>
    <w:rsid w:val="00A67BAC"/>
    <w:pPr>
      <w:keepNext/>
      <w:keepLines/>
      <w:spacing w:before="200" w:after="0"/>
      <w:outlineLvl w:val="3"/>
    </w:pPr>
    <w:rPr>
      <w:rFonts w:ascii="Roboto Condensed" w:eastAsiaTheme="majorEastAsia" w:hAnsi="Roboto Condensed"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96"/>
    <w:rPr>
      <w:rFonts w:ascii="Roboto Condensed" w:eastAsia="Times New Roman" w:hAnsi="Roboto Condensed" w:cs="Times New Roman"/>
      <w:b/>
      <w:bCs/>
      <w:color w:val="0070C0"/>
      <w:kern w:val="36"/>
      <w:sz w:val="36"/>
      <w:szCs w:val="48"/>
      <w:lang w:eastAsia="et-EE"/>
    </w:rPr>
  </w:style>
  <w:style w:type="paragraph" w:styleId="Title">
    <w:name w:val="Title"/>
    <w:basedOn w:val="Normal"/>
    <w:next w:val="Normal"/>
    <w:link w:val="TitleChar"/>
    <w:qFormat/>
    <w:rsid w:val="00A67BAC"/>
    <w:pPr>
      <w:spacing w:after="300"/>
      <w:contextualSpacing/>
    </w:pPr>
    <w:rPr>
      <w:rFonts w:ascii="Roboto Condensed" w:eastAsiaTheme="majorEastAsia" w:hAnsi="Roboto Condensed" w:cstheme="majorBidi"/>
      <w:b/>
      <w:color w:val="0070C0"/>
      <w:spacing w:val="5"/>
      <w:kern w:val="28"/>
      <w:sz w:val="52"/>
      <w:szCs w:val="52"/>
    </w:rPr>
  </w:style>
  <w:style w:type="character" w:customStyle="1" w:styleId="TitleChar">
    <w:name w:val="Title Char"/>
    <w:basedOn w:val="DefaultParagraphFont"/>
    <w:link w:val="Title"/>
    <w:rsid w:val="00A67BAC"/>
    <w:rPr>
      <w:rFonts w:ascii="Roboto Condensed" w:eastAsiaTheme="majorEastAsia" w:hAnsi="Roboto Condensed" w:cstheme="majorBidi"/>
      <w:b/>
      <w:color w:val="0070C0"/>
      <w:spacing w:val="5"/>
      <w:kern w:val="28"/>
      <w:sz w:val="52"/>
      <w:szCs w:val="52"/>
    </w:rPr>
  </w:style>
  <w:style w:type="character" w:customStyle="1" w:styleId="Heading2Char">
    <w:name w:val="Heading 2 Char"/>
    <w:basedOn w:val="DefaultParagraphFont"/>
    <w:link w:val="Heading2"/>
    <w:uiPriority w:val="9"/>
    <w:rsid w:val="00957DF5"/>
    <w:rPr>
      <w:rFonts w:ascii="Roboto Condensed" w:eastAsia="Times New Roman" w:hAnsi="Roboto Condensed" w:cs="Times New Roman"/>
      <w:b/>
      <w:bCs/>
      <w:color w:val="0070C0"/>
      <w:sz w:val="28"/>
      <w:szCs w:val="26"/>
    </w:rPr>
  </w:style>
  <w:style w:type="character" w:customStyle="1" w:styleId="Heading3Char">
    <w:name w:val="Heading 3 Char"/>
    <w:basedOn w:val="DefaultParagraphFont"/>
    <w:link w:val="Heading3"/>
    <w:uiPriority w:val="9"/>
    <w:rsid w:val="006B5FB6"/>
    <w:rPr>
      <w:rFonts w:ascii="Roboto Condensed" w:eastAsiaTheme="majorEastAsia" w:hAnsi="Roboto Condensed" w:cstheme="majorBidi"/>
      <w:b/>
      <w:bCs/>
      <w:i/>
      <w:color w:val="0070C0"/>
      <w:sz w:val="24"/>
    </w:rPr>
  </w:style>
  <w:style w:type="paragraph" w:styleId="ListParagraph">
    <w:name w:val="List Paragraph"/>
    <w:basedOn w:val="Normal"/>
    <w:uiPriority w:val="34"/>
    <w:qFormat/>
    <w:rsid w:val="00A67BAC"/>
    <w:pPr>
      <w:ind w:left="720"/>
      <w:contextualSpacing/>
    </w:pPr>
  </w:style>
  <w:style w:type="character" w:customStyle="1" w:styleId="Heading4Char">
    <w:name w:val="Heading 4 Char"/>
    <w:basedOn w:val="DefaultParagraphFont"/>
    <w:link w:val="Heading4"/>
    <w:uiPriority w:val="9"/>
    <w:semiHidden/>
    <w:rsid w:val="00A67BAC"/>
    <w:rPr>
      <w:rFonts w:ascii="Roboto Condensed" w:eastAsiaTheme="majorEastAsia" w:hAnsi="Roboto Condensed" w:cstheme="majorBidi"/>
      <w:bCs/>
      <w:i/>
      <w:iCs/>
      <w:color w:val="4F81BD" w:themeColor="accent1"/>
      <w:sz w:val="24"/>
    </w:rPr>
  </w:style>
  <w:style w:type="paragraph" w:customStyle="1" w:styleId="Tabletext">
    <w:name w:val="Table text"/>
    <w:basedOn w:val="Normal"/>
    <w:qFormat/>
    <w:rsid w:val="00B25EF7"/>
    <w:pPr>
      <w:spacing w:after="0"/>
    </w:pPr>
    <w:rPr>
      <w:sz w:val="20"/>
    </w:rPr>
  </w:style>
  <w:style w:type="paragraph" w:styleId="Caption">
    <w:name w:val="caption"/>
    <w:basedOn w:val="Normal"/>
    <w:next w:val="Normal"/>
    <w:uiPriority w:val="35"/>
    <w:unhideWhenUsed/>
    <w:qFormat/>
    <w:rsid w:val="00A67BAC"/>
    <w:pPr>
      <w:spacing w:after="200"/>
    </w:pPr>
    <w:rPr>
      <w:b/>
      <w:bCs/>
      <w:szCs w:val="18"/>
    </w:rPr>
  </w:style>
  <w:style w:type="paragraph" w:styleId="CommentText">
    <w:name w:val="annotation text"/>
    <w:basedOn w:val="Normal"/>
    <w:link w:val="CommentTextChar"/>
    <w:uiPriority w:val="99"/>
    <w:unhideWhenUsed/>
    <w:rsid w:val="00A67BAC"/>
    <w:pPr>
      <w:spacing w:after="200"/>
    </w:pPr>
    <w:rPr>
      <w:sz w:val="20"/>
      <w:szCs w:val="20"/>
    </w:rPr>
  </w:style>
  <w:style w:type="character" w:customStyle="1" w:styleId="CommentTextChar">
    <w:name w:val="Comment Text Char"/>
    <w:basedOn w:val="DefaultParagraphFont"/>
    <w:link w:val="CommentText"/>
    <w:uiPriority w:val="99"/>
    <w:rsid w:val="00A67BAC"/>
    <w:rPr>
      <w:rFonts w:ascii="Roboto Condensed Light" w:hAnsi="Roboto Condensed Light"/>
      <w:sz w:val="20"/>
      <w:szCs w:val="20"/>
    </w:rPr>
  </w:style>
  <w:style w:type="paragraph" w:styleId="Header">
    <w:name w:val="header"/>
    <w:basedOn w:val="Normal"/>
    <w:link w:val="HeaderChar"/>
    <w:uiPriority w:val="99"/>
    <w:unhideWhenUsed/>
    <w:rsid w:val="00A67BAC"/>
    <w:pPr>
      <w:tabs>
        <w:tab w:val="center" w:pos="4536"/>
        <w:tab w:val="right" w:pos="9072"/>
      </w:tabs>
      <w:spacing w:after="0"/>
    </w:pPr>
  </w:style>
  <w:style w:type="character" w:customStyle="1" w:styleId="HeaderChar">
    <w:name w:val="Header Char"/>
    <w:basedOn w:val="DefaultParagraphFont"/>
    <w:link w:val="Header"/>
    <w:uiPriority w:val="99"/>
    <w:rsid w:val="00A67BAC"/>
    <w:rPr>
      <w:rFonts w:ascii="Roboto Condensed Light" w:hAnsi="Roboto Condensed Light"/>
      <w:sz w:val="24"/>
    </w:rPr>
  </w:style>
  <w:style w:type="paragraph" w:styleId="Footer">
    <w:name w:val="footer"/>
    <w:basedOn w:val="Normal"/>
    <w:link w:val="FooterChar"/>
    <w:uiPriority w:val="99"/>
    <w:unhideWhenUsed/>
    <w:rsid w:val="00A67BAC"/>
    <w:pPr>
      <w:tabs>
        <w:tab w:val="center" w:pos="4536"/>
        <w:tab w:val="right" w:pos="9072"/>
      </w:tabs>
      <w:spacing w:after="0"/>
    </w:pPr>
    <w:rPr>
      <w:sz w:val="20"/>
    </w:rPr>
  </w:style>
  <w:style w:type="character" w:customStyle="1" w:styleId="FooterChar">
    <w:name w:val="Footer Char"/>
    <w:basedOn w:val="DefaultParagraphFont"/>
    <w:link w:val="Footer"/>
    <w:uiPriority w:val="99"/>
    <w:rsid w:val="00A67BAC"/>
    <w:rPr>
      <w:rFonts w:ascii="Roboto Condensed Light" w:hAnsi="Roboto Condensed Light"/>
      <w:sz w:val="20"/>
    </w:rPr>
  </w:style>
  <w:style w:type="paragraph" w:styleId="FootnoteText">
    <w:name w:val="footnote text"/>
    <w:basedOn w:val="Normal"/>
    <w:link w:val="FootnoteTextChar"/>
    <w:uiPriority w:val="99"/>
    <w:unhideWhenUsed/>
    <w:rsid w:val="00957DF5"/>
    <w:pPr>
      <w:spacing w:after="0"/>
    </w:pPr>
    <w:rPr>
      <w:sz w:val="20"/>
      <w:szCs w:val="20"/>
    </w:rPr>
  </w:style>
  <w:style w:type="character" w:customStyle="1" w:styleId="FootnoteTextChar">
    <w:name w:val="Footnote Text Char"/>
    <w:basedOn w:val="DefaultParagraphFont"/>
    <w:link w:val="FootnoteText"/>
    <w:uiPriority w:val="99"/>
    <w:rsid w:val="00957DF5"/>
    <w:rPr>
      <w:rFonts w:ascii="Roboto Condensed Light" w:hAnsi="Roboto Condensed Light"/>
      <w:sz w:val="20"/>
      <w:szCs w:val="20"/>
    </w:rPr>
  </w:style>
  <w:style w:type="character" w:styleId="FootnoteReference">
    <w:name w:val="footnote reference"/>
    <w:basedOn w:val="DefaultParagraphFont"/>
    <w:uiPriority w:val="99"/>
    <w:unhideWhenUsed/>
    <w:rsid w:val="00C80D96"/>
    <w:rPr>
      <w:vertAlign w:val="superscript"/>
    </w:rPr>
  </w:style>
  <w:style w:type="paragraph" w:styleId="BalloonText">
    <w:name w:val="Balloon Text"/>
    <w:basedOn w:val="Normal"/>
    <w:link w:val="BalloonTextChar"/>
    <w:uiPriority w:val="99"/>
    <w:semiHidden/>
    <w:unhideWhenUsed/>
    <w:rsid w:val="00C80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96"/>
    <w:rPr>
      <w:rFonts w:ascii="Tahoma" w:hAnsi="Tahoma" w:cs="Tahoma"/>
      <w:sz w:val="16"/>
      <w:szCs w:val="16"/>
    </w:rPr>
  </w:style>
  <w:style w:type="table" w:styleId="TableGrid">
    <w:name w:val="Table Grid"/>
    <w:basedOn w:val="TableNormal"/>
    <w:uiPriority w:val="59"/>
    <w:rsid w:val="00C8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C80D9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B6"/>
    <w:pPr>
      <w:spacing w:after="120" w:line="240" w:lineRule="auto"/>
    </w:pPr>
    <w:rPr>
      <w:rFonts w:ascii="Roboto Condensed Light" w:hAnsi="Roboto Condensed Light"/>
      <w:sz w:val="24"/>
    </w:rPr>
  </w:style>
  <w:style w:type="paragraph" w:styleId="Heading1">
    <w:name w:val="heading 1"/>
    <w:basedOn w:val="Normal"/>
    <w:link w:val="Heading1Char"/>
    <w:uiPriority w:val="9"/>
    <w:qFormat/>
    <w:rsid w:val="00C80D96"/>
    <w:pPr>
      <w:keepNext/>
      <w:spacing w:before="100" w:beforeAutospacing="1" w:after="100" w:afterAutospacing="1"/>
      <w:outlineLvl w:val="0"/>
    </w:pPr>
    <w:rPr>
      <w:rFonts w:ascii="Roboto Condensed" w:eastAsia="Times New Roman" w:hAnsi="Roboto Condensed" w:cs="Times New Roman"/>
      <w:b/>
      <w:bCs/>
      <w:color w:val="0070C0"/>
      <w:kern w:val="36"/>
      <w:sz w:val="36"/>
      <w:szCs w:val="48"/>
      <w:lang w:eastAsia="et-EE"/>
    </w:rPr>
  </w:style>
  <w:style w:type="paragraph" w:styleId="Heading2">
    <w:name w:val="heading 2"/>
    <w:basedOn w:val="Normal"/>
    <w:next w:val="Normal"/>
    <w:link w:val="Heading2Char"/>
    <w:uiPriority w:val="9"/>
    <w:qFormat/>
    <w:rsid w:val="00957DF5"/>
    <w:pPr>
      <w:keepNext/>
      <w:keepLines/>
      <w:spacing w:before="200"/>
      <w:outlineLvl w:val="1"/>
    </w:pPr>
    <w:rPr>
      <w:rFonts w:ascii="Roboto Condensed" w:eastAsia="Times New Roman" w:hAnsi="Roboto Condensed" w:cs="Times New Roman"/>
      <w:b/>
      <w:bCs/>
      <w:color w:val="0070C0"/>
      <w:sz w:val="28"/>
      <w:szCs w:val="26"/>
    </w:rPr>
  </w:style>
  <w:style w:type="paragraph" w:styleId="Heading3">
    <w:name w:val="heading 3"/>
    <w:basedOn w:val="Normal"/>
    <w:next w:val="Normal"/>
    <w:link w:val="Heading3Char"/>
    <w:uiPriority w:val="9"/>
    <w:unhideWhenUsed/>
    <w:qFormat/>
    <w:rsid w:val="006B5FB6"/>
    <w:pPr>
      <w:keepNext/>
      <w:keepLines/>
      <w:spacing w:before="200" w:after="0"/>
      <w:outlineLvl w:val="2"/>
    </w:pPr>
    <w:rPr>
      <w:rFonts w:ascii="Roboto Condensed" w:eastAsiaTheme="majorEastAsia" w:hAnsi="Roboto Condensed" w:cstheme="majorBidi"/>
      <w:b/>
      <w:bCs/>
      <w:i/>
      <w:color w:val="0070C0"/>
    </w:rPr>
  </w:style>
  <w:style w:type="paragraph" w:styleId="Heading4">
    <w:name w:val="heading 4"/>
    <w:basedOn w:val="Normal"/>
    <w:next w:val="Normal"/>
    <w:link w:val="Heading4Char"/>
    <w:uiPriority w:val="9"/>
    <w:semiHidden/>
    <w:unhideWhenUsed/>
    <w:qFormat/>
    <w:rsid w:val="00A67BAC"/>
    <w:pPr>
      <w:keepNext/>
      <w:keepLines/>
      <w:spacing w:before="200" w:after="0"/>
      <w:outlineLvl w:val="3"/>
    </w:pPr>
    <w:rPr>
      <w:rFonts w:ascii="Roboto Condensed" w:eastAsiaTheme="majorEastAsia" w:hAnsi="Roboto Condensed"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D96"/>
    <w:rPr>
      <w:rFonts w:ascii="Roboto Condensed" w:eastAsia="Times New Roman" w:hAnsi="Roboto Condensed" w:cs="Times New Roman"/>
      <w:b/>
      <w:bCs/>
      <w:color w:val="0070C0"/>
      <w:kern w:val="36"/>
      <w:sz w:val="36"/>
      <w:szCs w:val="48"/>
      <w:lang w:eastAsia="et-EE"/>
    </w:rPr>
  </w:style>
  <w:style w:type="paragraph" w:styleId="Title">
    <w:name w:val="Title"/>
    <w:basedOn w:val="Normal"/>
    <w:next w:val="Normal"/>
    <w:link w:val="TitleChar"/>
    <w:qFormat/>
    <w:rsid w:val="00A67BAC"/>
    <w:pPr>
      <w:spacing w:after="300"/>
      <w:contextualSpacing/>
    </w:pPr>
    <w:rPr>
      <w:rFonts w:ascii="Roboto Condensed" w:eastAsiaTheme="majorEastAsia" w:hAnsi="Roboto Condensed" w:cstheme="majorBidi"/>
      <w:b/>
      <w:color w:val="0070C0"/>
      <w:spacing w:val="5"/>
      <w:kern w:val="28"/>
      <w:sz w:val="52"/>
      <w:szCs w:val="52"/>
    </w:rPr>
  </w:style>
  <w:style w:type="character" w:customStyle="1" w:styleId="TitleChar">
    <w:name w:val="Title Char"/>
    <w:basedOn w:val="DefaultParagraphFont"/>
    <w:link w:val="Title"/>
    <w:rsid w:val="00A67BAC"/>
    <w:rPr>
      <w:rFonts w:ascii="Roboto Condensed" w:eastAsiaTheme="majorEastAsia" w:hAnsi="Roboto Condensed" w:cstheme="majorBidi"/>
      <w:b/>
      <w:color w:val="0070C0"/>
      <w:spacing w:val="5"/>
      <w:kern w:val="28"/>
      <w:sz w:val="52"/>
      <w:szCs w:val="52"/>
    </w:rPr>
  </w:style>
  <w:style w:type="character" w:customStyle="1" w:styleId="Heading2Char">
    <w:name w:val="Heading 2 Char"/>
    <w:basedOn w:val="DefaultParagraphFont"/>
    <w:link w:val="Heading2"/>
    <w:uiPriority w:val="9"/>
    <w:rsid w:val="00957DF5"/>
    <w:rPr>
      <w:rFonts w:ascii="Roboto Condensed" w:eastAsia="Times New Roman" w:hAnsi="Roboto Condensed" w:cs="Times New Roman"/>
      <w:b/>
      <w:bCs/>
      <w:color w:val="0070C0"/>
      <w:sz w:val="28"/>
      <w:szCs w:val="26"/>
    </w:rPr>
  </w:style>
  <w:style w:type="character" w:customStyle="1" w:styleId="Heading3Char">
    <w:name w:val="Heading 3 Char"/>
    <w:basedOn w:val="DefaultParagraphFont"/>
    <w:link w:val="Heading3"/>
    <w:uiPriority w:val="9"/>
    <w:rsid w:val="006B5FB6"/>
    <w:rPr>
      <w:rFonts w:ascii="Roboto Condensed" w:eastAsiaTheme="majorEastAsia" w:hAnsi="Roboto Condensed" w:cstheme="majorBidi"/>
      <w:b/>
      <w:bCs/>
      <w:i/>
      <w:color w:val="0070C0"/>
      <w:sz w:val="24"/>
    </w:rPr>
  </w:style>
  <w:style w:type="paragraph" w:styleId="ListParagraph">
    <w:name w:val="List Paragraph"/>
    <w:basedOn w:val="Normal"/>
    <w:uiPriority w:val="34"/>
    <w:qFormat/>
    <w:rsid w:val="00A67BAC"/>
    <w:pPr>
      <w:ind w:left="720"/>
      <w:contextualSpacing/>
    </w:pPr>
  </w:style>
  <w:style w:type="character" w:customStyle="1" w:styleId="Heading4Char">
    <w:name w:val="Heading 4 Char"/>
    <w:basedOn w:val="DefaultParagraphFont"/>
    <w:link w:val="Heading4"/>
    <w:uiPriority w:val="9"/>
    <w:semiHidden/>
    <w:rsid w:val="00A67BAC"/>
    <w:rPr>
      <w:rFonts w:ascii="Roboto Condensed" w:eastAsiaTheme="majorEastAsia" w:hAnsi="Roboto Condensed" w:cstheme="majorBidi"/>
      <w:bCs/>
      <w:i/>
      <w:iCs/>
      <w:color w:val="4F81BD" w:themeColor="accent1"/>
      <w:sz w:val="24"/>
    </w:rPr>
  </w:style>
  <w:style w:type="paragraph" w:customStyle="1" w:styleId="Tabletext">
    <w:name w:val="Table text"/>
    <w:basedOn w:val="Normal"/>
    <w:qFormat/>
    <w:rsid w:val="00B25EF7"/>
    <w:pPr>
      <w:spacing w:after="0"/>
    </w:pPr>
    <w:rPr>
      <w:sz w:val="20"/>
    </w:rPr>
  </w:style>
  <w:style w:type="paragraph" w:styleId="Caption">
    <w:name w:val="caption"/>
    <w:basedOn w:val="Normal"/>
    <w:next w:val="Normal"/>
    <w:uiPriority w:val="35"/>
    <w:unhideWhenUsed/>
    <w:qFormat/>
    <w:rsid w:val="00A67BAC"/>
    <w:pPr>
      <w:spacing w:after="200"/>
    </w:pPr>
    <w:rPr>
      <w:b/>
      <w:bCs/>
      <w:szCs w:val="18"/>
    </w:rPr>
  </w:style>
  <w:style w:type="paragraph" w:styleId="CommentText">
    <w:name w:val="annotation text"/>
    <w:basedOn w:val="Normal"/>
    <w:link w:val="CommentTextChar"/>
    <w:uiPriority w:val="99"/>
    <w:unhideWhenUsed/>
    <w:rsid w:val="00A67BAC"/>
    <w:pPr>
      <w:spacing w:after="200"/>
    </w:pPr>
    <w:rPr>
      <w:sz w:val="20"/>
      <w:szCs w:val="20"/>
    </w:rPr>
  </w:style>
  <w:style w:type="character" w:customStyle="1" w:styleId="CommentTextChar">
    <w:name w:val="Comment Text Char"/>
    <w:basedOn w:val="DefaultParagraphFont"/>
    <w:link w:val="CommentText"/>
    <w:uiPriority w:val="99"/>
    <w:rsid w:val="00A67BAC"/>
    <w:rPr>
      <w:rFonts w:ascii="Roboto Condensed Light" w:hAnsi="Roboto Condensed Light"/>
      <w:sz w:val="20"/>
      <w:szCs w:val="20"/>
    </w:rPr>
  </w:style>
  <w:style w:type="paragraph" w:styleId="Header">
    <w:name w:val="header"/>
    <w:basedOn w:val="Normal"/>
    <w:link w:val="HeaderChar"/>
    <w:uiPriority w:val="99"/>
    <w:unhideWhenUsed/>
    <w:rsid w:val="00A67BAC"/>
    <w:pPr>
      <w:tabs>
        <w:tab w:val="center" w:pos="4536"/>
        <w:tab w:val="right" w:pos="9072"/>
      </w:tabs>
      <w:spacing w:after="0"/>
    </w:pPr>
  </w:style>
  <w:style w:type="character" w:customStyle="1" w:styleId="HeaderChar">
    <w:name w:val="Header Char"/>
    <w:basedOn w:val="DefaultParagraphFont"/>
    <w:link w:val="Header"/>
    <w:uiPriority w:val="99"/>
    <w:rsid w:val="00A67BAC"/>
    <w:rPr>
      <w:rFonts w:ascii="Roboto Condensed Light" w:hAnsi="Roboto Condensed Light"/>
      <w:sz w:val="24"/>
    </w:rPr>
  </w:style>
  <w:style w:type="paragraph" w:styleId="Footer">
    <w:name w:val="footer"/>
    <w:basedOn w:val="Normal"/>
    <w:link w:val="FooterChar"/>
    <w:uiPriority w:val="99"/>
    <w:unhideWhenUsed/>
    <w:rsid w:val="00A67BAC"/>
    <w:pPr>
      <w:tabs>
        <w:tab w:val="center" w:pos="4536"/>
        <w:tab w:val="right" w:pos="9072"/>
      </w:tabs>
      <w:spacing w:after="0"/>
    </w:pPr>
    <w:rPr>
      <w:sz w:val="20"/>
    </w:rPr>
  </w:style>
  <w:style w:type="character" w:customStyle="1" w:styleId="FooterChar">
    <w:name w:val="Footer Char"/>
    <w:basedOn w:val="DefaultParagraphFont"/>
    <w:link w:val="Footer"/>
    <w:uiPriority w:val="99"/>
    <w:rsid w:val="00A67BAC"/>
    <w:rPr>
      <w:rFonts w:ascii="Roboto Condensed Light" w:hAnsi="Roboto Condensed Light"/>
      <w:sz w:val="20"/>
    </w:rPr>
  </w:style>
  <w:style w:type="paragraph" w:styleId="FootnoteText">
    <w:name w:val="footnote text"/>
    <w:basedOn w:val="Normal"/>
    <w:link w:val="FootnoteTextChar"/>
    <w:uiPriority w:val="99"/>
    <w:unhideWhenUsed/>
    <w:rsid w:val="00957DF5"/>
    <w:pPr>
      <w:spacing w:after="0"/>
    </w:pPr>
    <w:rPr>
      <w:sz w:val="20"/>
      <w:szCs w:val="20"/>
    </w:rPr>
  </w:style>
  <w:style w:type="character" w:customStyle="1" w:styleId="FootnoteTextChar">
    <w:name w:val="Footnote Text Char"/>
    <w:basedOn w:val="DefaultParagraphFont"/>
    <w:link w:val="FootnoteText"/>
    <w:uiPriority w:val="99"/>
    <w:rsid w:val="00957DF5"/>
    <w:rPr>
      <w:rFonts w:ascii="Roboto Condensed Light" w:hAnsi="Roboto Condensed Light"/>
      <w:sz w:val="20"/>
      <w:szCs w:val="20"/>
    </w:rPr>
  </w:style>
  <w:style w:type="character" w:styleId="FootnoteReference">
    <w:name w:val="footnote reference"/>
    <w:basedOn w:val="DefaultParagraphFont"/>
    <w:uiPriority w:val="99"/>
    <w:unhideWhenUsed/>
    <w:rsid w:val="00C80D96"/>
    <w:rPr>
      <w:vertAlign w:val="superscript"/>
    </w:rPr>
  </w:style>
  <w:style w:type="paragraph" w:styleId="BalloonText">
    <w:name w:val="Balloon Text"/>
    <w:basedOn w:val="Normal"/>
    <w:link w:val="BalloonTextChar"/>
    <w:uiPriority w:val="99"/>
    <w:semiHidden/>
    <w:unhideWhenUsed/>
    <w:rsid w:val="00C80D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96"/>
    <w:rPr>
      <w:rFonts w:ascii="Tahoma" w:hAnsi="Tahoma" w:cs="Tahoma"/>
      <w:sz w:val="16"/>
      <w:szCs w:val="16"/>
    </w:rPr>
  </w:style>
  <w:style w:type="table" w:styleId="TableGrid">
    <w:name w:val="Table Grid"/>
    <w:basedOn w:val="TableNormal"/>
    <w:uiPriority w:val="59"/>
    <w:rsid w:val="00C8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C80D9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Microsoft_Excel_Worksheet5.xlsx"/><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72598686130733"/>
          <c:y val="3.2962303389807247E-2"/>
          <c:w val="0.64431827876839354"/>
          <c:h val="0.70859513071263081"/>
        </c:manualLayout>
      </c:layout>
      <c:barChart>
        <c:barDir val="col"/>
        <c:grouping val="clustered"/>
        <c:varyColors val="0"/>
        <c:ser>
          <c:idx val="1"/>
          <c:order val="0"/>
          <c:tx>
            <c:strRef>
              <c:f>'müügitulu ja kogukasum'!$N$367</c:f>
              <c:strCache>
                <c:ptCount val="1"/>
                <c:pt idx="0">
                  <c:v>Müügitulu, mln eurot</c:v>
                </c:pt>
              </c:strCache>
            </c:strRef>
          </c:tx>
          <c:spPr>
            <a:solidFill>
              <a:schemeClr val="tx1"/>
            </a:solidFill>
            <a:ln w="7015">
              <a:solidFill>
                <a:sysClr val="windowText" lastClr="000000"/>
              </a:solidFill>
              <a:prstDash val="solid"/>
            </a:ln>
          </c:spPr>
          <c:invertIfNegative val="0"/>
          <c:cat>
            <c:multiLvlStrRef>
              <c:f>'müügitulu ja kogukasum'!$L$377:$M$383</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'müügitulu ja kogukasum'!$N$377:$N$383</c:f>
              <c:numCache>
                <c:formatCode>0.0</c:formatCode>
                <c:ptCount val="7"/>
                <c:pt idx="0">
                  <c:v>118.81989999999999</c:v>
                </c:pt>
                <c:pt idx="1">
                  <c:v>107.99469999999999</c:v>
                </c:pt>
                <c:pt idx="2">
                  <c:v>110.60910000000001</c:v>
                </c:pt>
                <c:pt idx="3">
                  <c:v>119.4208</c:v>
                </c:pt>
                <c:pt idx="4">
                  <c:v>145.36340000000001</c:v>
                </c:pt>
                <c:pt idx="5">
                  <c:v>148.1652</c:v>
                </c:pt>
                <c:pt idx="6">
                  <c:v>150.31370000000001</c:v>
                </c:pt>
              </c:numCache>
            </c:numRef>
          </c:val>
        </c:ser>
        <c:ser>
          <c:idx val="2"/>
          <c:order val="1"/>
          <c:tx>
            <c:strRef>
              <c:f>'müügitulu ja kogukasum'!$O$367</c:f>
              <c:strCache>
                <c:ptCount val="1"/>
                <c:pt idx="0">
                  <c:v>Kulud kokku, mln eurot</c:v>
                </c:pt>
              </c:strCache>
            </c:strRef>
          </c:tx>
          <c:spPr>
            <a:solidFill>
              <a:schemeClr val="accent1"/>
            </a:solidFill>
            <a:ln w="7015">
              <a:solidFill>
                <a:schemeClr val="accent1"/>
              </a:solidFill>
              <a:prstDash val="solid"/>
            </a:ln>
          </c:spPr>
          <c:invertIfNegative val="0"/>
          <c:cat>
            <c:multiLvlStrRef>
              <c:f>'müügitulu ja kogukasum'!$L$377:$M$383</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'müügitulu ja kogukasum'!$O$377:$O$383</c:f>
              <c:numCache>
                <c:formatCode>0.0</c:formatCode>
                <c:ptCount val="7"/>
                <c:pt idx="0">
                  <c:v>116.8062</c:v>
                </c:pt>
                <c:pt idx="1">
                  <c:v>106.9918</c:v>
                </c:pt>
                <c:pt idx="2">
                  <c:v>111.63549999999999</c:v>
                </c:pt>
                <c:pt idx="3">
                  <c:v>116.6996</c:v>
                </c:pt>
                <c:pt idx="4">
                  <c:v>140.19990000000001</c:v>
                </c:pt>
                <c:pt idx="5">
                  <c:v>143.16410000000002</c:v>
                </c:pt>
                <c:pt idx="6">
                  <c:v>142.03229999999999</c:v>
                </c:pt>
              </c:numCache>
            </c:numRef>
          </c:val>
        </c:ser>
        <c:dLbls>
          <c:showLegendKey val="0"/>
          <c:showVal val="0"/>
          <c:showCatName val="0"/>
          <c:showSerName val="0"/>
          <c:showPercent val="0"/>
          <c:showBubbleSize val="0"/>
        </c:dLbls>
        <c:gapWidth val="150"/>
        <c:axId val="251653120"/>
        <c:axId val="252298368"/>
      </c:barChart>
      <c:lineChart>
        <c:grouping val="standard"/>
        <c:varyColors val="0"/>
        <c:ser>
          <c:idx val="3"/>
          <c:order val="2"/>
          <c:tx>
            <c:strRef>
              <c:f>'müügitulu ja kogukasum'!$P$367</c:f>
              <c:strCache>
                <c:ptCount val="1"/>
                <c:pt idx="0">
                  <c:v>Kogukasum (-kahjum), mln eurot</c:v>
                </c:pt>
              </c:strCache>
            </c:strRef>
          </c:tx>
          <c:spPr>
            <a:ln w="42087">
              <a:solidFill>
                <a:schemeClr val="accent2"/>
              </a:solidFill>
            </a:ln>
          </c:spPr>
          <c:marker>
            <c:symbol val="none"/>
          </c:marker>
          <c:cat>
            <c:multiLvlStrRef>
              <c:f>'müügitulu ja kogukasum'!$L$377:$M$383</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'müügitulu ja kogukasum'!$P$377:$P$383</c:f>
              <c:numCache>
                <c:formatCode>0.0</c:formatCode>
                <c:ptCount val="7"/>
                <c:pt idx="0">
                  <c:v>2.0137</c:v>
                </c:pt>
                <c:pt idx="1">
                  <c:v>1.0029000000000001</c:v>
                </c:pt>
                <c:pt idx="2">
                  <c:v>-1.0264000000000002</c:v>
                </c:pt>
                <c:pt idx="3">
                  <c:v>2.7213000000000003</c:v>
                </c:pt>
                <c:pt idx="4">
                  <c:v>5.1633999999999993</c:v>
                </c:pt>
                <c:pt idx="5">
                  <c:v>5.0011000000000001</c:v>
                </c:pt>
                <c:pt idx="6">
                  <c:v>8.2812999999999999</c:v>
                </c:pt>
              </c:numCache>
            </c:numRef>
          </c:val>
          <c:smooth val="0"/>
        </c:ser>
        <c:dLbls>
          <c:showLegendKey val="0"/>
          <c:showVal val="0"/>
          <c:showCatName val="0"/>
          <c:showSerName val="0"/>
          <c:showPercent val="0"/>
          <c:showBubbleSize val="0"/>
        </c:dLbls>
        <c:marker val="1"/>
        <c:smooth val="0"/>
        <c:axId val="252300288"/>
        <c:axId val="252351232"/>
      </c:lineChart>
      <c:catAx>
        <c:axId val="251653120"/>
        <c:scaling>
          <c:orientation val="minMax"/>
        </c:scaling>
        <c:delete val="0"/>
        <c:axPos val="b"/>
        <c:majorGridlines>
          <c:spPr>
            <a:ln w="1754">
              <a:solidFill>
                <a:schemeClr val="tx1">
                  <a:lumMod val="50000"/>
                  <a:lumOff val="50000"/>
                </a:schemeClr>
              </a:solidFill>
              <a:prstDash val="solid"/>
            </a:ln>
          </c:spPr>
        </c:majorGridlines>
        <c:title>
          <c:tx>
            <c:rich>
              <a:bodyPr/>
              <a:lstStyle/>
              <a:p>
                <a:pPr>
                  <a:defRPr/>
                </a:pPr>
                <a:r>
                  <a:rPr lang="et-EE"/>
                  <a:t>Allikas: SA  lüh. statistika</a:t>
                </a:r>
              </a:p>
            </c:rich>
          </c:tx>
          <c:layout>
            <c:manualLayout>
              <c:xMode val="edge"/>
              <c:yMode val="edge"/>
              <c:x val="5.4765797095559761E-3"/>
              <c:y val="0.94736938911625723"/>
            </c:manualLayout>
          </c:layout>
          <c:overlay val="0"/>
          <c:spPr>
            <a:noFill/>
            <a:ln w="14029">
              <a:noFill/>
            </a:ln>
          </c:spPr>
        </c:title>
        <c:numFmt formatCode="General" sourceLinked="1"/>
        <c:majorTickMark val="out"/>
        <c:minorTickMark val="none"/>
        <c:tickLblPos val="nextTo"/>
        <c:spPr>
          <a:ln w="1754">
            <a:solidFill>
              <a:srgbClr val="000000"/>
            </a:solidFill>
            <a:prstDash val="solid"/>
          </a:ln>
        </c:spPr>
        <c:txPr>
          <a:bodyPr rot="0" vert="horz"/>
          <a:lstStyle/>
          <a:p>
            <a:pPr>
              <a:defRPr/>
            </a:pPr>
            <a:endParaRPr lang="et-EE"/>
          </a:p>
        </c:txPr>
        <c:crossAx val="252298368"/>
        <c:crosses val="autoZero"/>
        <c:auto val="0"/>
        <c:lblAlgn val="ctr"/>
        <c:lblOffset val="100"/>
        <c:tickLblSkip val="1"/>
        <c:tickMarkSkip val="1"/>
        <c:noMultiLvlLbl val="0"/>
      </c:catAx>
      <c:valAx>
        <c:axId val="252298368"/>
        <c:scaling>
          <c:orientation val="minMax"/>
        </c:scaling>
        <c:delete val="0"/>
        <c:axPos val="l"/>
        <c:majorGridlines>
          <c:spPr>
            <a:ln w="1754">
              <a:solidFill>
                <a:schemeClr val="tx1">
                  <a:lumMod val="50000"/>
                  <a:lumOff val="50000"/>
                </a:schemeClr>
              </a:solidFill>
              <a:prstDash val="solid"/>
            </a:ln>
          </c:spPr>
        </c:majorGridlines>
        <c:title>
          <c:tx>
            <c:rich>
              <a:bodyPr/>
              <a:lstStyle/>
              <a:p>
                <a:pPr>
                  <a:defRPr/>
                </a:pPr>
                <a:r>
                  <a:rPr lang="et-EE"/>
                  <a:t>müügitulu, kulud</a:t>
                </a:r>
              </a:p>
            </c:rich>
          </c:tx>
          <c:layout>
            <c:manualLayout>
              <c:xMode val="edge"/>
              <c:yMode val="edge"/>
              <c:x val="8.3192242811450795E-3"/>
              <c:y val="0.343859908265993"/>
            </c:manualLayout>
          </c:layout>
          <c:overlay val="0"/>
          <c:spPr>
            <a:noFill/>
            <a:ln w="14029">
              <a:noFill/>
            </a:ln>
          </c:spPr>
        </c:title>
        <c:numFmt formatCode="General" sourceLinked="0"/>
        <c:majorTickMark val="out"/>
        <c:minorTickMark val="none"/>
        <c:tickLblPos val="nextTo"/>
        <c:spPr>
          <a:ln w="1754">
            <a:solidFill>
              <a:srgbClr val="000000"/>
            </a:solidFill>
            <a:prstDash val="solid"/>
          </a:ln>
        </c:spPr>
        <c:txPr>
          <a:bodyPr rot="0" vert="horz"/>
          <a:lstStyle/>
          <a:p>
            <a:pPr>
              <a:defRPr/>
            </a:pPr>
            <a:endParaRPr lang="et-EE"/>
          </a:p>
        </c:txPr>
        <c:crossAx val="251653120"/>
        <c:crosses val="autoZero"/>
        <c:crossBetween val="between"/>
      </c:valAx>
      <c:catAx>
        <c:axId val="252300288"/>
        <c:scaling>
          <c:orientation val="minMax"/>
        </c:scaling>
        <c:delete val="1"/>
        <c:axPos val="b"/>
        <c:majorTickMark val="out"/>
        <c:minorTickMark val="none"/>
        <c:tickLblPos val="nextTo"/>
        <c:crossAx val="252351232"/>
        <c:crosses val="autoZero"/>
        <c:auto val="1"/>
        <c:lblAlgn val="ctr"/>
        <c:lblOffset val="100"/>
        <c:noMultiLvlLbl val="0"/>
      </c:catAx>
      <c:valAx>
        <c:axId val="252351232"/>
        <c:scaling>
          <c:orientation val="minMax"/>
        </c:scaling>
        <c:delete val="0"/>
        <c:axPos val="r"/>
        <c:title>
          <c:tx>
            <c:rich>
              <a:bodyPr rot="-5400000" vert="horz"/>
              <a:lstStyle/>
              <a:p>
                <a:pPr>
                  <a:defRPr/>
                </a:pPr>
                <a:r>
                  <a:rPr lang="et-EE"/>
                  <a:t>kasum</a:t>
                </a:r>
              </a:p>
            </c:rich>
          </c:tx>
          <c:layout>
            <c:manualLayout>
              <c:xMode val="edge"/>
              <c:yMode val="edge"/>
              <c:x val="0.96526092212907477"/>
              <c:y val="0.36364958616694865"/>
            </c:manualLayout>
          </c:layout>
          <c:overlay val="0"/>
        </c:title>
        <c:numFmt formatCode="0.0" sourceLinked="1"/>
        <c:majorTickMark val="out"/>
        <c:minorTickMark val="none"/>
        <c:tickLblPos val="nextTo"/>
        <c:crossAx val="252300288"/>
        <c:crosses val="max"/>
        <c:crossBetween val="between"/>
      </c:valAx>
      <c:dTable>
        <c:showHorzBorder val="1"/>
        <c:showVertBorder val="1"/>
        <c:showOutline val="1"/>
        <c:showKeys val="1"/>
        <c:spPr>
          <a:ln w="1754">
            <a:solidFill>
              <a:srgbClr val="000000"/>
            </a:solidFill>
            <a:prstDash val="solid"/>
          </a:ln>
        </c:spPr>
      </c:dTable>
      <c:spPr>
        <a:solidFill>
          <a:schemeClr val="bg1"/>
        </a:solidFill>
        <a:ln w="14029">
          <a:noFill/>
        </a:ln>
      </c:spPr>
    </c:plotArea>
    <c:plotVisOnly val="1"/>
    <c:dispBlanksAs val="gap"/>
    <c:showDLblsOverMax val="0"/>
  </c:chart>
  <c:spPr>
    <a:solidFill>
      <a:srgbClr val="FFFFFF"/>
    </a:solidFill>
    <a:ln>
      <a:noFill/>
    </a:ln>
  </c:spPr>
  <c:txPr>
    <a:bodyPr/>
    <a:lstStyle/>
    <a:p>
      <a:pPr>
        <a:defRPr sz="663" b="0" i="0" u="none" strike="noStrike" baseline="0">
          <a:solidFill>
            <a:srgbClr val="000000"/>
          </a:solidFill>
          <a:latin typeface="Roboto Condensed Light" panose="02000000000000000000" pitchFamily="2" charset="0"/>
          <a:ea typeface="Roboto Condensed Light" panose="02000000000000000000" pitchFamily="2" charset="0"/>
          <a:cs typeface="Arial"/>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497955545232209"/>
          <c:y val="2.7292770221904076E-2"/>
          <c:w val="0.58629914328490618"/>
          <c:h val="0.54286614173228354"/>
        </c:manualLayout>
      </c:layout>
      <c:barChart>
        <c:barDir val="col"/>
        <c:grouping val="clustered"/>
        <c:varyColors val="0"/>
        <c:ser>
          <c:idx val="1"/>
          <c:order val="0"/>
          <c:tx>
            <c:strRef>
              <c:f>lisandväärtus!$W$200</c:f>
              <c:strCache>
                <c:ptCount val="1"/>
                <c:pt idx="0">
                  <c:v>Lihatööstussektori puhas lisandväärtus</c:v>
                </c:pt>
              </c:strCache>
            </c:strRef>
          </c:tx>
          <c:spPr>
            <a:solidFill>
              <a:srgbClr val="4BACC6">
                <a:lumMod val="60000"/>
                <a:lumOff val="40000"/>
              </a:srgbClr>
            </a:solidFill>
          </c:spPr>
          <c:invertIfNegative val="0"/>
          <c:cat>
            <c:multiLvlStrRef>
              <c:f>lisandväärtus!$U$202:$V$208</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lisandväärtus!$W$202:$W$208</c:f>
              <c:numCache>
                <c:formatCode>0.0</c:formatCode>
                <c:ptCount val="7"/>
                <c:pt idx="0">
                  <c:v>18.26842572</c:v>
                </c:pt>
                <c:pt idx="1">
                  <c:v>15.860033999999999</c:v>
                </c:pt>
                <c:pt idx="2">
                  <c:v>13.356477499999999</c:v>
                </c:pt>
                <c:pt idx="3">
                  <c:v>18.051953999999999</c:v>
                </c:pt>
                <c:pt idx="4">
                  <c:v>21.439172899999999</c:v>
                </c:pt>
                <c:pt idx="5">
                  <c:v>23.1037</c:v>
                </c:pt>
                <c:pt idx="6">
                  <c:v>29.902800000000003</c:v>
                </c:pt>
              </c:numCache>
            </c:numRef>
          </c:val>
        </c:ser>
        <c:dLbls>
          <c:showLegendKey val="0"/>
          <c:showVal val="0"/>
          <c:showCatName val="0"/>
          <c:showSerName val="0"/>
          <c:showPercent val="0"/>
          <c:showBubbleSize val="0"/>
        </c:dLbls>
        <c:gapWidth val="150"/>
        <c:axId val="283173632"/>
        <c:axId val="283175552"/>
      </c:barChart>
      <c:lineChart>
        <c:grouping val="standard"/>
        <c:varyColors val="0"/>
        <c:ser>
          <c:idx val="0"/>
          <c:order val="1"/>
          <c:tx>
            <c:strRef>
              <c:f>lisandväärtus!$X$200</c:f>
              <c:strCache>
                <c:ptCount val="1"/>
                <c:pt idx="0">
                  <c:v>osatähtsus töötlevas tööstuses</c:v>
                </c:pt>
              </c:strCache>
            </c:strRef>
          </c:tx>
          <c:spPr>
            <a:ln w="35183">
              <a:solidFill>
                <a:schemeClr val="tx2"/>
              </a:solidFill>
            </a:ln>
          </c:spPr>
          <c:marker>
            <c:symbol val="none"/>
          </c:marker>
          <c:cat>
            <c:multiLvlStrRef>
              <c:f>lisandväärtus!$U$202:$V$208</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lisandväärtus!$X$202:$X$208</c:f>
              <c:numCache>
                <c:formatCode>0.0</c:formatCode>
                <c:ptCount val="7"/>
                <c:pt idx="0">
                  <c:v>2.905808638537922</c:v>
                </c:pt>
                <c:pt idx="1">
                  <c:v>2.0584796005959025</c:v>
                </c:pt>
                <c:pt idx="2">
                  <c:v>1.3019912237449511</c:v>
                </c:pt>
                <c:pt idx="3">
                  <c:v>1.7512490993076022</c:v>
                </c:pt>
                <c:pt idx="4">
                  <c:v>2.0328653066472784</c:v>
                </c:pt>
                <c:pt idx="5">
                  <c:v>2.0334738934084631</c:v>
                </c:pt>
                <c:pt idx="6">
                  <c:v>2.6332493120729956</c:v>
                </c:pt>
              </c:numCache>
            </c:numRef>
          </c:val>
          <c:smooth val="0"/>
        </c:ser>
        <c:ser>
          <c:idx val="4"/>
          <c:order val="2"/>
          <c:tx>
            <c:strRef>
              <c:f>lisandväärtus!$Y$200</c:f>
              <c:strCache>
                <c:ptCount val="1"/>
                <c:pt idx="0">
                  <c:v>osatähtsus toiduainetööstuses</c:v>
                </c:pt>
              </c:strCache>
            </c:strRef>
          </c:tx>
          <c:spPr>
            <a:ln w="35183">
              <a:solidFill>
                <a:schemeClr val="accent2"/>
              </a:solidFill>
            </a:ln>
          </c:spPr>
          <c:marker>
            <c:symbol val="none"/>
          </c:marker>
          <c:cat>
            <c:multiLvlStrRef>
              <c:f>lisandväärtus!$U$202:$V$208</c:f>
              <c:multiLvlStrCache>
                <c:ptCount val="7"/>
                <c:lvl>
                  <c:pt idx="0">
                    <c:v>I poolaasta</c:v>
                  </c:pt>
                  <c:pt idx="1">
                    <c:v>I poolaasta</c:v>
                  </c:pt>
                  <c:pt idx="2">
                    <c:v>I poolaasta</c:v>
                  </c:pt>
                  <c:pt idx="3">
                    <c:v>I poolaasta</c:v>
                  </c:pt>
                  <c:pt idx="4">
                    <c:v>I poolaasta</c:v>
                  </c:pt>
                  <c:pt idx="5">
                    <c:v>I poolaasta</c:v>
                  </c:pt>
                  <c:pt idx="6">
                    <c:v>I poolaasta</c:v>
                  </c:pt>
                </c:lvl>
                <c:lvl>
                  <c:pt idx="0">
                    <c:v>2009</c:v>
                  </c:pt>
                  <c:pt idx="1">
                    <c:v>2010</c:v>
                  </c:pt>
                  <c:pt idx="2">
                    <c:v>2011</c:v>
                  </c:pt>
                  <c:pt idx="3">
                    <c:v>2012</c:v>
                  </c:pt>
                  <c:pt idx="4">
                    <c:v>2013</c:v>
                  </c:pt>
                  <c:pt idx="5">
                    <c:v>2014</c:v>
                  </c:pt>
                  <c:pt idx="6">
                    <c:v>2015</c:v>
                  </c:pt>
                </c:lvl>
              </c:multiLvlStrCache>
            </c:multiLvlStrRef>
          </c:cat>
          <c:val>
            <c:numRef>
              <c:f>lisandväärtus!$Y$202:$Y$208</c:f>
              <c:numCache>
                <c:formatCode>0.0</c:formatCode>
                <c:ptCount val="7"/>
                <c:pt idx="0">
                  <c:v>15.337164703987085</c:v>
                </c:pt>
                <c:pt idx="1">
                  <c:v>15.586622048664454</c:v>
                </c:pt>
                <c:pt idx="2">
                  <c:v>11.915564964526586</c:v>
                </c:pt>
                <c:pt idx="3">
                  <c:v>13.904020154872862</c:v>
                </c:pt>
                <c:pt idx="4">
                  <c:v>16.933725787041752</c:v>
                </c:pt>
                <c:pt idx="5">
                  <c:v>15.430797611080614</c:v>
                </c:pt>
                <c:pt idx="6">
                  <c:v>18.015102351142318</c:v>
                </c:pt>
              </c:numCache>
            </c:numRef>
          </c:val>
          <c:smooth val="0"/>
        </c:ser>
        <c:dLbls>
          <c:showLegendKey val="0"/>
          <c:showVal val="0"/>
          <c:showCatName val="0"/>
          <c:showSerName val="0"/>
          <c:showPercent val="0"/>
          <c:showBubbleSize val="0"/>
        </c:dLbls>
        <c:marker val="1"/>
        <c:smooth val="0"/>
        <c:axId val="283247360"/>
        <c:axId val="283248896"/>
      </c:lineChart>
      <c:catAx>
        <c:axId val="283173632"/>
        <c:scaling>
          <c:orientation val="minMax"/>
        </c:scaling>
        <c:delete val="0"/>
        <c:axPos val="b"/>
        <c:majorGridlines>
          <c:spPr>
            <a:ln>
              <a:solidFill>
                <a:schemeClr val="tx1">
                  <a:lumMod val="50000"/>
                  <a:lumOff val="50000"/>
                </a:schemeClr>
              </a:solidFill>
            </a:ln>
          </c:spPr>
        </c:majorGridlines>
        <c:title>
          <c:tx>
            <c:rich>
              <a:bodyPr/>
              <a:lstStyle/>
              <a:p>
                <a:pPr>
                  <a:defRPr/>
                </a:pPr>
                <a:r>
                  <a:rPr lang="et-EE"/>
                  <a:t>Allikas: SA * lüh. statistika</a:t>
                </a:r>
              </a:p>
            </c:rich>
          </c:tx>
          <c:layout>
            <c:manualLayout>
              <c:xMode val="edge"/>
              <c:yMode val="edge"/>
              <c:x val="6.0095330022684659E-3"/>
              <c:y val="0.92384053063119553"/>
            </c:manualLayout>
          </c:layout>
          <c:overlay val="0"/>
        </c:title>
        <c:numFmt formatCode="General" sourceLinked="1"/>
        <c:majorTickMark val="out"/>
        <c:minorTickMark val="none"/>
        <c:tickLblPos val="nextTo"/>
        <c:txPr>
          <a:bodyPr rot="0" vert="horz"/>
          <a:lstStyle/>
          <a:p>
            <a:pPr>
              <a:defRPr/>
            </a:pPr>
            <a:endParaRPr lang="et-EE"/>
          </a:p>
        </c:txPr>
        <c:crossAx val="283175552"/>
        <c:crosses val="autoZero"/>
        <c:auto val="0"/>
        <c:lblAlgn val="ctr"/>
        <c:lblOffset val="100"/>
        <c:noMultiLvlLbl val="0"/>
      </c:catAx>
      <c:valAx>
        <c:axId val="283175552"/>
        <c:scaling>
          <c:orientation val="minMax"/>
        </c:scaling>
        <c:delete val="0"/>
        <c:axPos val="l"/>
        <c:majorGridlines>
          <c:spPr>
            <a:ln>
              <a:solidFill>
                <a:schemeClr val="tx1">
                  <a:lumMod val="50000"/>
                  <a:lumOff val="50000"/>
                </a:schemeClr>
              </a:solidFill>
            </a:ln>
          </c:spPr>
        </c:majorGridlines>
        <c:title>
          <c:tx>
            <c:rich>
              <a:bodyPr/>
              <a:lstStyle/>
              <a:p>
                <a:pPr>
                  <a:defRPr/>
                </a:pPr>
                <a:r>
                  <a:rPr lang="et-EE"/>
                  <a:t>lisandväärtus, mln eurot</a:t>
                </a:r>
              </a:p>
            </c:rich>
          </c:tx>
          <c:layout>
            <c:manualLayout>
              <c:xMode val="edge"/>
              <c:yMode val="edge"/>
              <c:x val="2.0432547099939375E-2"/>
              <c:y val="0.22619106025722643"/>
            </c:manualLayout>
          </c:layout>
          <c:overlay val="0"/>
        </c:title>
        <c:numFmt formatCode="0" sourceLinked="0"/>
        <c:majorTickMark val="out"/>
        <c:minorTickMark val="none"/>
        <c:tickLblPos val="nextTo"/>
        <c:txPr>
          <a:bodyPr rot="0" vert="horz"/>
          <a:lstStyle/>
          <a:p>
            <a:pPr>
              <a:defRPr/>
            </a:pPr>
            <a:endParaRPr lang="et-EE"/>
          </a:p>
        </c:txPr>
        <c:crossAx val="283173632"/>
        <c:crosses val="autoZero"/>
        <c:crossBetween val="between"/>
      </c:valAx>
      <c:catAx>
        <c:axId val="283247360"/>
        <c:scaling>
          <c:orientation val="minMax"/>
        </c:scaling>
        <c:delete val="1"/>
        <c:axPos val="b"/>
        <c:majorTickMark val="out"/>
        <c:minorTickMark val="none"/>
        <c:tickLblPos val="nextTo"/>
        <c:crossAx val="283248896"/>
        <c:crosses val="autoZero"/>
        <c:auto val="0"/>
        <c:lblAlgn val="ctr"/>
        <c:lblOffset val="100"/>
        <c:noMultiLvlLbl val="0"/>
      </c:catAx>
      <c:valAx>
        <c:axId val="283248896"/>
        <c:scaling>
          <c:orientation val="minMax"/>
        </c:scaling>
        <c:delete val="0"/>
        <c:axPos val="r"/>
        <c:title>
          <c:tx>
            <c:rich>
              <a:bodyPr rot="-5400000" vert="horz"/>
              <a:lstStyle/>
              <a:p>
                <a:pPr>
                  <a:defRPr/>
                </a:pPr>
                <a:r>
                  <a:rPr lang="et-EE"/>
                  <a:t>osakaal (%)</a:t>
                </a:r>
              </a:p>
            </c:rich>
          </c:tx>
          <c:layout>
            <c:manualLayout>
              <c:xMode val="edge"/>
              <c:yMode val="edge"/>
              <c:x val="0.96503222533139443"/>
              <c:y val="0.31659335346853595"/>
            </c:manualLayout>
          </c:layout>
          <c:overlay val="0"/>
        </c:title>
        <c:numFmt formatCode="0" sourceLinked="0"/>
        <c:majorTickMark val="out"/>
        <c:minorTickMark val="none"/>
        <c:tickLblPos val="nextTo"/>
        <c:crossAx val="283247360"/>
        <c:crosses val="max"/>
        <c:crossBetween val="between"/>
      </c:valAx>
      <c:dTable>
        <c:showHorzBorder val="1"/>
        <c:showVertBorder val="1"/>
        <c:showOutline val="1"/>
        <c:showKeys val="1"/>
      </c:dTable>
      <c:spPr>
        <a:solidFill>
          <a:schemeClr val="bg1"/>
        </a:solidFill>
      </c:spPr>
    </c:plotArea>
    <c:plotVisOnly val="1"/>
    <c:dispBlanksAs val="gap"/>
    <c:showDLblsOverMax val="0"/>
  </c:chart>
  <c:spPr>
    <a:ln>
      <a:noFill/>
    </a:ln>
  </c:spPr>
  <c:txPr>
    <a:bodyPr/>
    <a:lstStyle/>
    <a:p>
      <a:pPr>
        <a:defRPr sz="700">
          <a:latin typeface="Roboto Condensed Light" panose="02000000000000000000" pitchFamily="2" charset="0"/>
          <a:ea typeface="Roboto Condensed Light" panose="02000000000000000000" pitchFamily="2" charset="0"/>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156297253888038"/>
          <c:y val="3.6687389110036411E-2"/>
          <c:w val="0.71505118588940952"/>
          <c:h val="0.68565539936575171"/>
        </c:manualLayout>
      </c:layout>
      <c:lineChart>
        <c:grouping val="standard"/>
        <c:varyColors val="0"/>
        <c:ser>
          <c:idx val="0"/>
          <c:order val="0"/>
          <c:tx>
            <c:strRef>
              <c:f>tööviljakus!$O$189</c:f>
              <c:strCache>
                <c:ptCount val="1"/>
                <c:pt idx="0">
                  <c:v>Töötlev tööstus</c:v>
                </c:pt>
              </c:strCache>
            </c:strRef>
          </c:tx>
          <c:spPr>
            <a:ln w="62054"/>
          </c:spPr>
          <c:marker>
            <c:symbol val="none"/>
          </c:marker>
          <c:cat>
            <c:numRef>
              <c:f>tööviljakus!$N$192:$N$198</c:f>
              <c:numCache>
                <c:formatCode>General</c:formatCode>
                <c:ptCount val="7"/>
                <c:pt idx="0">
                  <c:v>2009</c:v>
                </c:pt>
                <c:pt idx="1">
                  <c:v>2010</c:v>
                </c:pt>
                <c:pt idx="2">
                  <c:v>2011</c:v>
                </c:pt>
                <c:pt idx="3">
                  <c:v>2012</c:v>
                </c:pt>
                <c:pt idx="4">
                  <c:v>2013</c:v>
                </c:pt>
                <c:pt idx="5">
                  <c:v>2014</c:v>
                </c:pt>
                <c:pt idx="6">
                  <c:v>2015</c:v>
                </c:pt>
              </c:numCache>
            </c:numRef>
          </c:cat>
          <c:val>
            <c:numRef>
              <c:f>tööviljakus!$O$192:$O$198</c:f>
              <c:numCache>
                <c:formatCode>0.0</c:formatCode>
                <c:ptCount val="7"/>
                <c:pt idx="0">
                  <c:v>6.1954399999999996</c:v>
                </c:pt>
                <c:pt idx="1">
                  <c:v>8.5279100000000003</c:v>
                </c:pt>
                <c:pt idx="2">
                  <c:v>11.016300000000001</c:v>
                </c:pt>
                <c:pt idx="3">
                  <c:v>10.739519999999999</c:v>
                </c:pt>
                <c:pt idx="4">
                  <c:v>10.63813</c:v>
                </c:pt>
                <c:pt idx="5">
                  <c:v>11.338709999999999</c:v>
                </c:pt>
                <c:pt idx="6">
                  <c:v>10.84563</c:v>
                </c:pt>
              </c:numCache>
            </c:numRef>
          </c:val>
          <c:smooth val="0"/>
        </c:ser>
        <c:ser>
          <c:idx val="1"/>
          <c:order val="1"/>
          <c:tx>
            <c:strRef>
              <c:f>tööviljakus!$P$189</c:f>
              <c:strCache>
                <c:ptCount val="1"/>
                <c:pt idx="0">
                  <c:v>Toiduainetööstus</c:v>
                </c:pt>
              </c:strCache>
            </c:strRef>
          </c:tx>
          <c:spPr>
            <a:ln w="62054"/>
          </c:spPr>
          <c:marker>
            <c:symbol val="none"/>
          </c:marker>
          <c:cat>
            <c:numRef>
              <c:f>tööviljakus!$N$192:$N$198</c:f>
              <c:numCache>
                <c:formatCode>General</c:formatCode>
                <c:ptCount val="7"/>
                <c:pt idx="0">
                  <c:v>2009</c:v>
                </c:pt>
                <c:pt idx="1">
                  <c:v>2010</c:v>
                </c:pt>
                <c:pt idx="2">
                  <c:v>2011</c:v>
                </c:pt>
                <c:pt idx="3">
                  <c:v>2012</c:v>
                </c:pt>
                <c:pt idx="4">
                  <c:v>2013</c:v>
                </c:pt>
                <c:pt idx="5">
                  <c:v>2014</c:v>
                </c:pt>
                <c:pt idx="6">
                  <c:v>2015</c:v>
                </c:pt>
              </c:numCache>
            </c:numRef>
          </c:cat>
          <c:val>
            <c:numRef>
              <c:f>tööviljakus!$P$192:$P$198</c:f>
              <c:numCache>
                <c:formatCode>0.0</c:formatCode>
                <c:ptCount val="7"/>
                <c:pt idx="0">
                  <c:v>7.9540425603466458</c:v>
                </c:pt>
                <c:pt idx="1">
                  <c:v>7.4246768576609252</c:v>
                </c:pt>
                <c:pt idx="2">
                  <c:v>8.3963014000722946</c:v>
                </c:pt>
                <c:pt idx="3">
                  <c:v>9.6344372951292581</c:v>
                </c:pt>
                <c:pt idx="4">
                  <c:v>9.239888845921195</c:v>
                </c:pt>
                <c:pt idx="5">
                  <c:v>10.516583549905185</c:v>
                </c:pt>
                <c:pt idx="6">
                  <c:v>11.018400061436855</c:v>
                </c:pt>
              </c:numCache>
            </c:numRef>
          </c:val>
          <c:smooth val="0"/>
        </c:ser>
        <c:ser>
          <c:idx val="2"/>
          <c:order val="2"/>
          <c:tx>
            <c:strRef>
              <c:f>tööviljakus!$Q$189</c:f>
              <c:strCache>
                <c:ptCount val="1"/>
                <c:pt idx="0">
                  <c:v>Lihatööstussektor</c:v>
                </c:pt>
              </c:strCache>
            </c:strRef>
          </c:tx>
          <c:spPr>
            <a:ln w="62054"/>
          </c:spPr>
          <c:marker>
            <c:symbol val="none"/>
          </c:marker>
          <c:cat>
            <c:numRef>
              <c:f>tööviljakus!$N$192:$N$198</c:f>
              <c:numCache>
                <c:formatCode>General</c:formatCode>
                <c:ptCount val="7"/>
                <c:pt idx="0">
                  <c:v>2009</c:v>
                </c:pt>
                <c:pt idx="1">
                  <c:v>2010</c:v>
                </c:pt>
                <c:pt idx="2">
                  <c:v>2011</c:v>
                </c:pt>
                <c:pt idx="3">
                  <c:v>2012</c:v>
                </c:pt>
                <c:pt idx="4">
                  <c:v>2013</c:v>
                </c:pt>
                <c:pt idx="5">
                  <c:v>2014</c:v>
                </c:pt>
                <c:pt idx="6">
                  <c:v>2015</c:v>
                </c:pt>
              </c:numCache>
            </c:numRef>
          </c:cat>
          <c:val>
            <c:numRef>
              <c:f>tööviljakus!$Q$192:$Q$198</c:f>
              <c:numCache>
                <c:formatCode>0.0</c:formatCode>
                <c:ptCount val="7"/>
                <c:pt idx="0">
                  <c:v>6.0774900000000001</c:v>
                </c:pt>
                <c:pt idx="1">
                  <c:v>5.5134399999999992</c:v>
                </c:pt>
                <c:pt idx="2">
                  <c:v>4.7264499999999998</c:v>
                </c:pt>
                <c:pt idx="3">
                  <c:v>6.58439</c:v>
                </c:pt>
                <c:pt idx="4">
                  <c:v>7.8915300000000004</c:v>
                </c:pt>
                <c:pt idx="5">
                  <c:v>8.3158999999999992</c:v>
                </c:pt>
                <c:pt idx="6">
                  <c:v>10.10013</c:v>
                </c:pt>
              </c:numCache>
            </c:numRef>
          </c:val>
          <c:smooth val="0"/>
        </c:ser>
        <c:dLbls>
          <c:showLegendKey val="0"/>
          <c:showVal val="0"/>
          <c:showCatName val="0"/>
          <c:showSerName val="0"/>
          <c:showPercent val="0"/>
          <c:showBubbleSize val="0"/>
        </c:dLbls>
        <c:marker val="1"/>
        <c:smooth val="0"/>
        <c:axId val="286667904"/>
        <c:axId val="286669824"/>
      </c:lineChart>
      <c:catAx>
        <c:axId val="286667904"/>
        <c:scaling>
          <c:orientation val="minMax"/>
        </c:scaling>
        <c:delete val="0"/>
        <c:axPos val="b"/>
        <c:majorGridlines/>
        <c:title>
          <c:tx>
            <c:rich>
              <a:bodyPr/>
              <a:lstStyle/>
              <a:p>
                <a:pPr>
                  <a:defRPr/>
                </a:pPr>
                <a:r>
                  <a:rPr lang="et-EE"/>
                  <a:t>Allikas: SA, Maaeluministeeriumi arvutused</a:t>
                </a:r>
              </a:p>
            </c:rich>
          </c:tx>
          <c:layout>
            <c:manualLayout>
              <c:xMode val="edge"/>
              <c:yMode val="edge"/>
              <c:x val="7.2218832548200718E-2"/>
              <c:y val="0.9410659628827035"/>
            </c:manualLayout>
          </c:layout>
          <c:overlay val="0"/>
        </c:title>
        <c:numFmt formatCode="General" sourceLinked="1"/>
        <c:majorTickMark val="out"/>
        <c:minorTickMark val="none"/>
        <c:tickLblPos val="nextTo"/>
        <c:txPr>
          <a:bodyPr rot="0" vert="horz"/>
          <a:lstStyle/>
          <a:p>
            <a:pPr>
              <a:defRPr/>
            </a:pPr>
            <a:endParaRPr lang="et-EE"/>
          </a:p>
        </c:txPr>
        <c:crossAx val="286669824"/>
        <c:crosses val="autoZero"/>
        <c:auto val="1"/>
        <c:lblAlgn val="ctr"/>
        <c:lblOffset val="100"/>
        <c:noMultiLvlLbl val="0"/>
      </c:catAx>
      <c:valAx>
        <c:axId val="286669824"/>
        <c:scaling>
          <c:orientation val="minMax"/>
        </c:scaling>
        <c:delete val="0"/>
        <c:axPos val="l"/>
        <c:majorGridlines/>
        <c:title>
          <c:tx>
            <c:rich>
              <a:bodyPr/>
              <a:lstStyle/>
              <a:p>
                <a:pPr>
                  <a:defRPr/>
                </a:pPr>
                <a:r>
                  <a:rPr lang="et-EE"/>
                  <a:t>tööviljakus puhta lisandväärtuse alusel, tuhat eurot</a:t>
                </a:r>
              </a:p>
            </c:rich>
          </c:tx>
          <c:layout>
            <c:manualLayout>
              <c:xMode val="edge"/>
              <c:yMode val="edge"/>
              <c:x val="1.1940264430623388E-2"/>
              <c:y val="3.6687750473090738E-2"/>
            </c:manualLayout>
          </c:layout>
          <c:overlay val="0"/>
        </c:title>
        <c:numFmt formatCode="0.0" sourceLinked="1"/>
        <c:majorTickMark val="out"/>
        <c:minorTickMark val="none"/>
        <c:tickLblPos val="nextTo"/>
        <c:txPr>
          <a:bodyPr rot="0" vert="horz"/>
          <a:lstStyle/>
          <a:p>
            <a:pPr>
              <a:defRPr/>
            </a:pPr>
            <a:endParaRPr lang="et-EE"/>
          </a:p>
        </c:txPr>
        <c:crossAx val="286667904"/>
        <c:crosses val="autoZero"/>
        <c:crossBetween val="between"/>
      </c:valAx>
      <c:dTable>
        <c:showHorzBorder val="1"/>
        <c:showVertBorder val="1"/>
        <c:showOutline val="1"/>
        <c:showKeys val="1"/>
      </c:dTable>
      <c:spPr>
        <a:solidFill>
          <a:schemeClr val="bg1"/>
        </a:solidFill>
      </c:spPr>
    </c:plotArea>
    <c:plotVisOnly val="1"/>
    <c:dispBlanksAs val="gap"/>
    <c:showDLblsOverMax val="0"/>
  </c:chart>
  <c:spPr>
    <a:ln>
      <a:noFill/>
    </a:ln>
  </c:spPr>
  <c:txPr>
    <a:bodyPr/>
    <a:lstStyle/>
    <a:p>
      <a:pPr>
        <a:defRPr sz="814" b="0" i="0"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t-E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65417946352212"/>
          <c:y val="5.2301283440487366E-2"/>
          <c:w val="0.75200759599036848"/>
          <c:h val="0.76471830106740624"/>
        </c:manualLayout>
      </c:layout>
      <c:barChart>
        <c:barDir val="col"/>
        <c:grouping val="clustered"/>
        <c:varyColors val="0"/>
        <c:ser>
          <c:idx val="0"/>
          <c:order val="0"/>
          <c:tx>
            <c:strRef>
              <c:f>'sektori ettev ja töötajate arv'!$Q$167</c:f>
              <c:strCache>
                <c:ptCount val="1"/>
                <c:pt idx="0">
                  <c:v>Lihatööstussektor</c:v>
                </c:pt>
              </c:strCache>
            </c:strRef>
          </c:tx>
          <c:invertIfNegative val="0"/>
          <c:cat>
            <c:numRef>
              <c:f>'sektori ettev ja töötajate arv'!$N$170:$N$176</c:f>
              <c:numCache>
                <c:formatCode>General</c:formatCode>
                <c:ptCount val="7"/>
                <c:pt idx="0">
                  <c:v>2009</c:v>
                </c:pt>
                <c:pt idx="1">
                  <c:v>2010</c:v>
                </c:pt>
                <c:pt idx="2">
                  <c:v>2011</c:v>
                </c:pt>
                <c:pt idx="3">
                  <c:v>2012</c:v>
                </c:pt>
                <c:pt idx="4">
                  <c:v>2013</c:v>
                </c:pt>
                <c:pt idx="5">
                  <c:v>2014</c:v>
                </c:pt>
                <c:pt idx="6">
                  <c:v>2015</c:v>
                </c:pt>
              </c:numCache>
            </c:numRef>
          </c:cat>
          <c:val>
            <c:numRef>
              <c:f>'sektori ettev ja töötajate arv'!$Q$170:$Q$176</c:f>
              <c:numCache>
                <c:formatCode>0</c:formatCode>
                <c:ptCount val="7"/>
                <c:pt idx="0">
                  <c:v>3003.5</c:v>
                </c:pt>
                <c:pt idx="1">
                  <c:v>2875.9799000000003</c:v>
                </c:pt>
                <c:pt idx="2">
                  <c:v>2815.2845500000003</c:v>
                </c:pt>
                <c:pt idx="3">
                  <c:v>2743</c:v>
                </c:pt>
                <c:pt idx="4">
                  <c:v>2713.5005000000001</c:v>
                </c:pt>
                <c:pt idx="5">
                  <c:v>2752</c:v>
                </c:pt>
                <c:pt idx="6">
                  <c:v>2957.5</c:v>
                </c:pt>
              </c:numCache>
            </c:numRef>
          </c:val>
        </c:ser>
        <c:dLbls>
          <c:showLegendKey val="0"/>
          <c:showVal val="0"/>
          <c:showCatName val="0"/>
          <c:showSerName val="0"/>
          <c:showPercent val="0"/>
          <c:showBubbleSize val="0"/>
        </c:dLbls>
        <c:gapWidth val="150"/>
        <c:axId val="294375424"/>
        <c:axId val="294377344"/>
      </c:barChart>
      <c:lineChart>
        <c:grouping val="standard"/>
        <c:varyColors val="0"/>
        <c:ser>
          <c:idx val="1"/>
          <c:order val="1"/>
          <c:tx>
            <c:strRef>
              <c:f>'sektori ettev ja töötajate arv'!$R$167</c:f>
              <c:strCache>
                <c:ptCount val="1"/>
                <c:pt idx="0">
                  <c:v>osatähtsus töötlevas tööstuses</c:v>
                </c:pt>
              </c:strCache>
            </c:strRef>
          </c:tx>
          <c:spPr>
            <a:ln w="50833"/>
          </c:spPr>
          <c:marker>
            <c:symbol val="none"/>
          </c:marker>
          <c:dLbls>
            <c:dLblPos val="t"/>
            <c:showLegendKey val="0"/>
            <c:showVal val="1"/>
            <c:showCatName val="0"/>
            <c:showSerName val="0"/>
            <c:showPercent val="0"/>
            <c:showBubbleSize val="0"/>
            <c:showLeaderLines val="0"/>
          </c:dLbls>
          <c:cat>
            <c:numRef>
              <c:f>'sektori ettev ja töötajate arv'!$N$170:$N$176</c:f>
              <c:numCache>
                <c:formatCode>General</c:formatCode>
                <c:ptCount val="7"/>
                <c:pt idx="0">
                  <c:v>2009</c:v>
                </c:pt>
                <c:pt idx="1">
                  <c:v>2010</c:v>
                </c:pt>
                <c:pt idx="2">
                  <c:v>2011</c:v>
                </c:pt>
                <c:pt idx="3">
                  <c:v>2012</c:v>
                </c:pt>
                <c:pt idx="4">
                  <c:v>2013</c:v>
                </c:pt>
                <c:pt idx="5">
                  <c:v>2014</c:v>
                </c:pt>
                <c:pt idx="6">
                  <c:v>2015</c:v>
                </c:pt>
              </c:numCache>
            </c:numRef>
          </c:cat>
          <c:val>
            <c:numRef>
              <c:f>'sektori ettev ja töötajate arv'!$R$170:$R$176</c:f>
              <c:numCache>
                <c:formatCode>0.0</c:formatCode>
                <c:ptCount val="7"/>
                <c:pt idx="0">
                  <c:v>2.9520494228644845</c:v>
                </c:pt>
                <c:pt idx="1">
                  <c:v>3.1840906300205658</c:v>
                </c:pt>
                <c:pt idx="2">
                  <c:v>3.0250885938343073</c:v>
                </c:pt>
                <c:pt idx="3">
                  <c:v>2.8597351822876265</c:v>
                </c:pt>
                <c:pt idx="4">
                  <c:v>2.7381141432170248</c:v>
                </c:pt>
                <c:pt idx="5">
                  <c:v>2.7477410014477561</c:v>
                </c:pt>
                <c:pt idx="6">
                  <c:v>2.8244136297654521</c:v>
                </c:pt>
              </c:numCache>
            </c:numRef>
          </c:val>
          <c:smooth val="0"/>
        </c:ser>
        <c:ser>
          <c:idx val="2"/>
          <c:order val="2"/>
          <c:tx>
            <c:strRef>
              <c:f>'sektori ettev ja töötajate arv'!$S$167</c:f>
              <c:strCache>
                <c:ptCount val="1"/>
                <c:pt idx="0">
                  <c:v>osatähtsus toiduainetööstuses</c:v>
                </c:pt>
              </c:strCache>
            </c:strRef>
          </c:tx>
          <c:spPr>
            <a:ln w="50833"/>
          </c:spPr>
          <c:marker>
            <c:symbol val="none"/>
          </c:marker>
          <c:dLbls>
            <c:dLblPos val="t"/>
            <c:showLegendKey val="0"/>
            <c:showVal val="1"/>
            <c:showCatName val="0"/>
            <c:showSerName val="0"/>
            <c:showPercent val="0"/>
            <c:showBubbleSize val="0"/>
            <c:showLeaderLines val="0"/>
          </c:dLbls>
          <c:cat>
            <c:numRef>
              <c:f>'sektori ettev ja töötajate arv'!$N$170:$N$176</c:f>
              <c:numCache>
                <c:formatCode>General</c:formatCode>
                <c:ptCount val="7"/>
                <c:pt idx="0">
                  <c:v>2009</c:v>
                </c:pt>
                <c:pt idx="1">
                  <c:v>2010</c:v>
                </c:pt>
                <c:pt idx="2">
                  <c:v>2011</c:v>
                </c:pt>
                <c:pt idx="3">
                  <c:v>2012</c:v>
                </c:pt>
                <c:pt idx="4">
                  <c:v>2013</c:v>
                </c:pt>
                <c:pt idx="5">
                  <c:v>2014</c:v>
                </c:pt>
                <c:pt idx="6">
                  <c:v>2015</c:v>
                </c:pt>
              </c:numCache>
            </c:numRef>
          </c:cat>
          <c:val>
            <c:numRef>
              <c:f>'sektori ettev ja töötajate arv'!$S$170:$S$176</c:f>
              <c:numCache>
                <c:formatCode>0.0</c:formatCode>
                <c:ptCount val="7"/>
                <c:pt idx="0">
                  <c:v>20.056701199128629</c:v>
                </c:pt>
                <c:pt idx="1">
                  <c:v>20.985112111774903</c:v>
                </c:pt>
                <c:pt idx="2">
                  <c:v>21.087884723145521</c:v>
                </c:pt>
                <c:pt idx="3">
                  <c:v>20.354869979260851</c:v>
                </c:pt>
                <c:pt idx="4">
                  <c:v>19.803463343027978</c:v>
                </c:pt>
                <c:pt idx="5">
                  <c:v>19.329915010184731</c:v>
                </c:pt>
                <c:pt idx="6">
                  <c:v>19.632248000265523</c:v>
                </c:pt>
              </c:numCache>
            </c:numRef>
          </c:val>
          <c:smooth val="0"/>
        </c:ser>
        <c:dLbls>
          <c:showLegendKey val="0"/>
          <c:showVal val="0"/>
          <c:showCatName val="0"/>
          <c:showSerName val="0"/>
          <c:showPercent val="0"/>
          <c:showBubbleSize val="0"/>
        </c:dLbls>
        <c:marker val="1"/>
        <c:smooth val="0"/>
        <c:axId val="294383616"/>
        <c:axId val="294385152"/>
      </c:lineChart>
      <c:catAx>
        <c:axId val="294375424"/>
        <c:scaling>
          <c:orientation val="minMax"/>
        </c:scaling>
        <c:delete val="0"/>
        <c:axPos val="b"/>
        <c:majorGridlines/>
        <c:title>
          <c:tx>
            <c:rich>
              <a:bodyPr/>
              <a:lstStyle/>
              <a:p>
                <a:pPr>
                  <a:defRPr/>
                </a:pPr>
                <a:r>
                  <a:rPr lang="et-EE"/>
                  <a:t>Allikas: SA</a:t>
                </a:r>
              </a:p>
            </c:rich>
          </c:tx>
          <c:layout>
            <c:manualLayout>
              <c:xMode val="edge"/>
              <c:yMode val="edge"/>
              <c:x val="2.2275385784020101E-3"/>
              <c:y val="0.9459664937443244"/>
            </c:manualLayout>
          </c:layout>
          <c:overlay val="0"/>
        </c:title>
        <c:numFmt formatCode="General" sourceLinked="1"/>
        <c:majorTickMark val="out"/>
        <c:minorTickMark val="none"/>
        <c:tickLblPos val="nextTo"/>
        <c:crossAx val="294377344"/>
        <c:crosses val="autoZero"/>
        <c:auto val="1"/>
        <c:lblAlgn val="ctr"/>
        <c:lblOffset val="100"/>
        <c:noMultiLvlLbl val="0"/>
      </c:catAx>
      <c:valAx>
        <c:axId val="294377344"/>
        <c:scaling>
          <c:orientation val="minMax"/>
          <c:min val="0"/>
        </c:scaling>
        <c:delete val="0"/>
        <c:axPos val="l"/>
        <c:majorGridlines/>
        <c:title>
          <c:tx>
            <c:rich>
              <a:bodyPr/>
              <a:lstStyle/>
              <a:p>
                <a:pPr>
                  <a:defRPr/>
                </a:pPr>
                <a:r>
                  <a:rPr lang="et-EE"/>
                  <a:t>keskmiselt tööga hõivatute arv</a:t>
                </a:r>
              </a:p>
            </c:rich>
          </c:tx>
          <c:layout>
            <c:manualLayout>
              <c:xMode val="edge"/>
              <c:yMode val="edge"/>
              <c:x val="6.6376850433575501E-3"/>
              <c:y val="0.230534705824088"/>
            </c:manualLayout>
          </c:layout>
          <c:overlay val="0"/>
        </c:title>
        <c:numFmt formatCode="0" sourceLinked="1"/>
        <c:majorTickMark val="out"/>
        <c:minorTickMark val="none"/>
        <c:tickLblPos val="nextTo"/>
        <c:crossAx val="294375424"/>
        <c:crosses val="autoZero"/>
        <c:crossBetween val="between"/>
      </c:valAx>
      <c:catAx>
        <c:axId val="294383616"/>
        <c:scaling>
          <c:orientation val="minMax"/>
        </c:scaling>
        <c:delete val="1"/>
        <c:axPos val="b"/>
        <c:numFmt formatCode="General" sourceLinked="1"/>
        <c:majorTickMark val="out"/>
        <c:minorTickMark val="none"/>
        <c:tickLblPos val="nextTo"/>
        <c:crossAx val="294385152"/>
        <c:crosses val="autoZero"/>
        <c:auto val="1"/>
        <c:lblAlgn val="ctr"/>
        <c:lblOffset val="100"/>
        <c:noMultiLvlLbl val="0"/>
      </c:catAx>
      <c:valAx>
        <c:axId val="294385152"/>
        <c:scaling>
          <c:orientation val="minMax"/>
        </c:scaling>
        <c:delete val="0"/>
        <c:axPos val="r"/>
        <c:title>
          <c:tx>
            <c:rich>
              <a:bodyPr rot="-5400000" vert="horz"/>
              <a:lstStyle/>
              <a:p>
                <a:pPr>
                  <a:defRPr/>
                </a:pPr>
                <a:r>
                  <a:rPr lang="et-EE"/>
                  <a:t>osakaal, %</a:t>
                </a:r>
              </a:p>
            </c:rich>
          </c:tx>
          <c:layout>
            <c:manualLayout>
              <c:xMode val="edge"/>
              <c:yMode val="edge"/>
              <c:x val="0.96746892786724359"/>
              <c:y val="0.36308021041027289"/>
            </c:manualLayout>
          </c:layout>
          <c:overlay val="0"/>
        </c:title>
        <c:numFmt formatCode="0" sourceLinked="0"/>
        <c:majorTickMark val="out"/>
        <c:minorTickMark val="none"/>
        <c:tickLblPos val="nextTo"/>
        <c:crossAx val="294383616"/>
        <c:crosses val="max"/>
        <c:crossBetween val="between"/>
      </c:valAx>
      <c:spPr>
        <a:solidFill>
          <a:schemeClr val="bg1"/>
        </a:solidFill>
        <a:ln>
          <a:noFill/>
        </a:ln>
      </c:spPr>
    </c:plotArea>
    <c:legend>
      <c:legendPos val="b"/>
      <c:layout>
        <c:manualLayout>
          <c:xMode val="edge"/>
          <c:yMode val="edge"/>
          <c:x val="4.8337462027877968E-2"/>
          <c:y val="0.89882889912661745"/>
          <c:w val="0.89464828132438501"/>
          <c:h val="4.8708034953450108E-2"/>
        </c:manualLayout>
      </c:layout>
      <c:overlay val="0"/>
    </c:legend>
    <c:plotVisOnly val="1"/>
    <c:dispBlanksAs val="gap"/>
    <c:showDLblsOverMax val="0"/>
  </c:chart>
  <c:spPr>
    <a:ln>
      <a:noFill/>
    </a:ln>
  </c:spPr>
  <c:txPr>
    <a:bodyPr/>
    <a:lstStyle/>
    <a:p>
      <a:pPr>
        <a:defRPr>
          <a:latin typeface="Roboto Condensed Light" panose="02000000000000000000" pitchFamily="2" charset="0"/>
          <a:ea typeface="Roboto Condensed Light" panose="02000000000000000000" pitchFamily="2" charset="0"/>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192866917276364"/>
          <c:y val="3.9682789651293592E-2"/>
          <c:w val="0.62751522221338496"/>
          <c:h val="0.57628439788284658"/>
        </c:manualLayout>
      </c:layout>
      <c:barChart>
        <c:barDir val="col"/>
        <c:grouping val="stacked"/>
        <c:varyColors val="0"/>
        <c:ser>
          <c:idx val="3"/>
          <c:order val="0"/>
          <c:tx>
            <c:strRef>
              <c:f>'liha investeeringud'!$P$28</c:f>
              <c:strCache>
                <c:ptCount val="1"/>
                <c:pt idx="0">
                  <c:v>hoonete ja rajatiste soetamine</c:v>
                </c:pt>
              </c:strCache>
            </c:strRef>
          </c:tx>
          <c:spPr>
            <a:solidFill>
              <a:srgbClr val="FFFF00"/>
            </a:solidFill>
            <a:ln w="7699">
              <a:solidFill>
                <a:srgbClr val="000000"/>
              </a:solidFill>
              <a:prstDash val="solid"/>
            </a:ln>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investeeringud'!$P$37:$P$43</c:f>
              <c:numCache>
                <c:formatCode>0</c:formatCode>
                <c:ptCount val="7"/>
                <c:pt idx="0">
                  <c:v>39.753050000000002</c:v>
                </c:pt>
                <c:pt idx="1">
                  <c:v>211.548</c:v>
                </c:pt>
                <c:pt idx="2">
                  <c:v>10.039999999999999</c:v>
                </c:pt>
                <c:pt idx="3" formatCode="#,##0">
                  <c:v>14.6</c:v>
                </c:pt>
                <c:pt idx="4" formatCode="#,##0">
                  <c:v>3.5019999999999998</c:v>
                </c:pt>
                <c:pt idx="5" formatCode="#,##0">
                  <c:v>0</c:v>
                </c:pt>
                <c:pt idx="6" formatCode="0.0">
                  <c:v>0</c:v>
                </c:pt>
              </c:numCache>
            </c:numRef>
          </c:val>
        </c:ser>
        <c:ser>
          <c:idx val="1"/>
          <c:order val="1"/>
          <c:tx>
            <c:strRef>
              <c:f>'liha investeeringud'!$Q$28</c:f>
              <c:strCache>
                <c:ptCount val="1"/>
                <c:pt idx="0">
                  <c:v>hoonete ja rajatiste ehitamine ja rekonstrueerimine</c:v>
                </c:pt>
              </c:strCache>
            </c:strRef>
          </c:tx>
          <c:spPr>
            <a:solidFill>
              <a:srgbClr val="C00000"/>
            </a:solidFill>
            <a:ln w="7699">
              <a:solidFill>
                <a:srgbClr val="000000"/>
              </a:solidFill>
              <a:prstDash val="solid"/>
            </a:ln>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investeeringud'!$Q$37:$Q$43</c:f>
              <c:numCache>
                <c:formatCode>0</c:formatCode>
                <c:ptCount val="7"/>
                <c:pt idx="0">
                  <c:v>958.67472999999995</c:v>
                </c:pt>
                <c:pt idx="1">
                  <c:v>786.36900000000003</c:v>
                </c:pt>
                <c:pt idx="2">
                  <c:v>149.32300000000001</c:v>
                </c:pt>
                <c:pt idx="3" formatCode="#,##0">
                  <c:v>1397.3</c:v>
                </c:pt>
                <c:pt idx="4" formatCode="#,##0">
                  <c:v>1568.0940000000001</c:v>
                </c:pt>
                <c:pt idx="5" formatCode="#,##0">
                  <c:v>1680.9</c:v>
                </c:pt>
                <c:pt idx="6" formatCode="0.0">
                  <c:v>559.29999999999995</c:v>
                </c:pt>
              </c:numCache>
            </c:numRef>
          </c:val>
        </c:ser>
        <c:ser>
          <c:idx val="4"/>
          <c:order val="2"/>
          <c:tx>
            <c:strRef>
              <c:f>'liha investeeringud'!$R$28</c:f>
              <c:strCache>
                <c:ptCount val="1"/>
                <c:pt idx="0">
                  <c:v>transpordivahendid</c:v>
                </c:pt>
              </c:strCache>
            </c:strRef>
          </c:tx>
          <c:spPr>
            <a:pattFill prst="lgCheck">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7699">
              <a:solidFill>
                <a:srgbClr val="000000"/>
              </a:solidFill>
              <a:prstDash val="solid"/>
            </a:ln>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investeeringud'!$R$37:$R$43</c:f>
              <c:numCache>
                <c:formatCode>0</c:formatCode>
                <c:ptCount val="7"/>
                <c:pt idx="0">
                  <c:v>44.674239999999998</c:v>
                </c:pt>
                <c:pt idx="1">
                  <c:v>61.292000000000002</c:v>
                </c:pt>
                <c:pt idx="2">
                  <c:v>0.5</c:v>
                </c:pt>
                <c:pt idx="3" formatCode="#,##0">
                  <c:v>30.1</c:v>
                </c:pt>
                <c:pt idx="4" formatCode="#,##0">
                  <c:v>154.06299999999999</c:v>
                </c:pt>
                <c:pt idx="5" formatCode="#,##0">
                  <c:v>120.3</c:v>
                </c:pt>
                <c:pt idx="6" formatCode="0.0">
                  <c:v>122</c:v>
                </c:pt>
              </c:numCache>
            </c:numRef>
          </c:val>
        </c:ser>
        <c:ser>
          <c:idx val="0"/>
          <c:order val="3"/>
          <c:tx>
            <c:strRef>
              <c:f>'liha investeeringud'!$S$28</c:f>
              <c:strCache>
                <c:ptCount val="1"/>
                <c:pt idx="0">
                  <c:v>arvutid ja arvutisüsteemid</c:v>
                </c:pt>
              </c:strCache>
            </c:strRef>
          </c:tx>
          <c:spPr>
            <a:solidFill>
              <a:srgbClr val="9999FF"/>
            </a:solidFill>
            <a:ln w="7699">
              <a:solidFill>
                <a:srgbClr val="000000"/>
              </a:solidFill>
              <a:prstDash val="solid"/>
            </a:ln>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investeeringud'!$S$37:$S$43</c:f>
              <c:numCache>
                <c:formatCode>0</c:formatCode>
                <c:ptCount val="7"/>
                <c:pt idx="0">
                  <c:v>119.13131</c:v>
                </c:pt>
                <c:pt idx="1">
                  <c:v>173.26300000000001</c:v>
                </c:pt>
                <c:pt idx="2">
                  <c:v>31.301000000000002</c:v>
                </c:pt>
                <c:pt idx="3" formatCode="#,##0">
                  <c:v>88.9</c:v>
                </c:pt>
                <c:pt idx="4" formatCode="#,##0">
                  <c:v>16.334</c:v>
                </c:pt>
                <c:pt idx="5" formatCode="#,##0">
                  <c:v>20.200000000000003</c:v>
                </c:pt>
                <c:pt idx="6" formatCode="0.0">
                  <c:v>8.8000000000000007</c:v>
                </c:pt>
              </c:numCache>
            </c:numRef>
          </c:val>
        </c:ser>
        <c:ser>
          <c:idx val="2"/>
          <c:order val="4"/>
          <c:tx>
            <c:strRef>
              <c:f>'liha investeeringud'!$T$28</c:f>
              <c:strCache>
                <c:ptCount val="1"/>
                <c:pt idx="0">
                  <c:v>muud masinad ja seadmed, inventar*</c:v>
                </c:pt>
              </c:strCache>
            </c:strRef>
          </c:tx>
          <c:spPr>
            <a:solidFill>
              <a:schemeClr val="tx2"/>
            </a:solidFill>
            <a:ln w="7699">
              <a:solidFill>
                <a:schemeClr val="tx2"/>
              </a:solidFill>
              <a:prstDash val="solid"/>
            </a:ln>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investeeringud'!$T$37:$T$43</c:f>
              <c:numCache>
                <c:formatCode>0</c:formatCode>
                <c:ptCount val="7"/>
                <c:pt idx="0">
                  <c:v>1824.7414800000001</c:v>
                </c:pt>
                <c:pt idx="1">
                  <c:v>4623.8149999999996</c:v>
                </c:pt>
                <c:pt idx="2">
                  <c:v>1980.6752000000001</c:v>
                </c:pt>
                <c:pt idx="3" formatCode="#,##0">
                  <c:v>1761.9</c:v>
                </c:pt>
                <c:pt idx="4" formatCode="#,##0">
                  <c:v>1369.5433</c:v>
                </c:pt>
                <c:pt idx="5" formatCode="#,##0">
                  <c:v>2549.8000000000002</c:v>
                </c:pt>
                <c:pt idx="6" formatCode="0.0">
                  <c:v>1349.5</c:v>
                </c:pt>
              </c:numCache>
            </c:numRef>
          </c:val>
        </c:ser>
        <c:ser>
          <c:idx val="5"/>
          <c:order val="5"/>
          <c:tx>
            <c:strRef>
              <c:f>'liha investeeringud'!$U$28</c:f>
              <c:strCache>
                <c:ptCount val="1"/>
                <c:pt idx="0">
                  <c:v>maa</c:v>
                </c:pt>
              </c:strCache>
            </c:strRef>
          </c:tx>
          <c:spPr>
            <a:solidFill>
              <a:schemeClr val="accent3"/>
            </a:solidFill>
          </c:spPr>
          <c:invertIfNegative val="0"/>
          <c:cat>
            <c:numRef>
              <c:f>'liha investeeringud'!$N$37:$N$43</c:f>
              <c:numCache>
                <c:formatCode>General</c:formatCode>
                <c:ptCount val="7"/>
                <c:pt idx="0">
                  <c:v>2009</c:v>
                </c:pt>
                <c:pt idx="1">
                  <c:v>2010</c:v>
                </c:pt>
                <c:pt idx="2">
                  <c:v>2011</c:v>
                </c:pt>
                <c:pt idx="3">
                  <c:v>2012</c:v>
                </c:pt>
                <c:pt idx="4">
                  <c:v>2013</c:v>
                </c:pt>
                <c:pt idx="5">
                  <c:v>2014</c:v>
                </c:pt>
                <c:pt idx="6">
                  <c:v>2015</c:v>
                </c:pt>
              </c:numCache>
            </c:numRef>
          </c:cat>
          <c:val>
            <c:numRef>
              <c:f>'liha investeeringud'!$U$37:$U$43</c:f>
              <c:numCache>
                <c:formatCode>0</c:formatCode>
                <c:ptCount val="7"/>
                <c:pt idx="0">
                  <c:v>51.19323</c:v>
                </c:pt>
                <c:pt idx="1">
                  <c:v>0</c:v>
                </c:pt>
                <c:pt idx="2">
                  <c:v>2.133</c:v>
                </c:pt>
                <c:pt idx="3" formatCode="#,##0">
                  <c:v>693.5</c:v>
                </c:pt>
                <c:pt idx="4" formatCode="#,##0">
                  <c:v>28.483000000000001</c:v>
                </c:pt>
                <c:pt idx="5" formatCode="#,##0">
                  <c:v>0</c:v>
                </c:pt>
                <c:pt idx="6" formatCode="0.0">
                  <c:v>254.3</c:v>
                </c:pt>
              </c:numCache>
            </c:numRef>
          </c:val>
        </c:ser>
        <c:dLbls>
          <c:showLegendKey val="0"/>
          <c:showVal val="0"/>
          <c:showCatName val="0"/>
          <c:showSerName val="0"/>
          <c:showPercent val="0"/>
          <c:showBubbleSize val="0"/>
        </c:dLbls>
        <c:gapWidth val="150"/>
        <c:overlap val="100"/>
        <c:axId val="176485888"/>
        <c:axId val="176487808"/>
      </c:barChart>
      <c:catAx>
        <c:axId val="176485888"/>
        <c:scaling>
          <c:orientation val="minMax"/>
        </c:scaling>
        <c:delete val="0"/>
        <c:axPos val="b"/>
        <c:majorGridlines>
          <c:spPr>
            <a:ln w="1925">
              <a:solidFill>
                <a:schemeClr val="tx1">
                  <a:lumMod val="50000"/>
                  <a:lumOff val="50000"/>
                </a:schemeClr>
              </a:solidFill>
              <a:prstDash val="solid"/>
            </a:ln>
          </c:spPr>
        </c:majorGridlines>
        <c:title>
          <c:tx>
            <c:rich>
              <a:bodyPr/>
              <a:lstStyle/>
              <a:p>
                <a:pPr>
                  <a:defRPr/>
                </a:pPr>
                <a:r>
                  <a:rPr lang="et-EE"/>
                  <a:t>Allikas: SA lühiaja statistika * va arvutid ja transpordivahendid </a:t>
                </a:r>
              </a:p>
            </c:rich>
          </c:tx>
          <c:layout>
            <c:manualLayout>
              <c:xMode val="edge"/>
              <c:yMode val="edge"/>
              <c:x val="1.5466082203642071E-2"/>
              <c:y val="0.93902177767356432"/>
            </c:manualLayout>
          </c:layout>
          <c:overlay val="0"/>
          <c:spPr>
            <a:noFill/>
            <a:ln w="15399">
              <a:noFill/>
            </a:ln>
          </c:spPr>
        </c:title>
        <c:numFmt formatCode="General" sourceLinked="1"/>
        <c:majorTickMark val="out"/>
        <c:minorTickMark val="none"/>
        <c:tickLblPos val="nextTo"/>
        <c:spPr>
          <a:ln w="1925">
            <a:solidFill>
              <a:srgbClr val="000000"/>
            </a:solidFill>
            <a:prstDash val="solid"/>
          </a:ln>
        </c:spPr>
        <c:txPr>
          <a:bodyPr rot="0" vert="horz"/>
          <a:lstStyle/>
          <a:p>
            <a:pPr>
              <a:defRPr/>
            </a:pPr>
            <a:endParaRPr lang="et-EE"/>
          </a:p>
        </c:txPr>
        <c:crossAx val="176487808"/>
        <c:crosses val="autoZero"/>
        <c:auto val="1"/>
        <c:lblAlgn val="ctr"/>
        <c:lblOffset val="100"/>
        <c:noMultiLvlLbl val="0"/>
      </c:catAx>
      <c:valAx>
        <c:axId val="176487808"/>
        <c:scaling>
          <c:orientation val="minMax"/>
        </c:scaling>
        <c:delete val="0"/>
        <c:axPos val="l"/>
        <c:majorGridlines>
          <c:spPr>
            <a:ln w="1925">
              <a:solidFill>
                <a:schemeClr val="tx1">
                  <a:lumMod val="50000"/>
                  <a:lumOff val="50000"/>
                </a:schemeClr>
              </a:solidFill>
              <a:prstDash val="solid"/>
            </a:ln>
          </c:spPr>
        </c:majorGridlines>
        <c:title>
          <c:tx>
            <c:rich>
              <a:bodyPr/>
              <a:lstStyle/>
              <a:p>
                <a:pPr>
                  <a:defRPr/>
                </a:pPr>
                <a:r>
                  <a:rPr lang="et-EE"/>
                  <a:t>investeeringud, tuhat eurot</a:t>
                </a:r>
              </a:p>
            </c:rich>
          </c:tx>
          <c:layout>
            <c:manualLayout>
              <c:xMode val="edge"/>
              <c:yMode val="edge"/>
              <c:x val="1.8315014746867982E-2"/>
              <c:y val="0.14148688118430267"/>
            </c:manualLayout>
          </c:layout>
          <c:overlay val="0"/>
          <c:spPr>
            <a:noFill/>
            <a:ln w="15399">
              <a:noFill/>
            </a:ln>
          </c:spPr>
        </c:title>
        <c:numFmt formatCode="0" sourceLinked="0"/>
        <c:majorTickMark val="out"/>
        <c:minorTickMark val="none"/>
        <c:tickLblPos val="nextTo"/>
        <c:spPr>
          <a:ln w="1925">
            <a:solidFill>
              <a:srgbClr val="000000"/>
            </a:solidFill>
            <a:prstDash val="solid"/>
          </a:ln>
        </c:spPr>
        <c:txPr>
          <a:bodyPr rot="0" vert="horz"/>
          <a:lstStyle/>
          <a:p>
            <a:pPr>
              <a:defRPr/>
            </a:pPr>
            <a:endParaRPr lang="et-EE"/>
          </a:p>
        </c:txPr>
        <c:crossAx val="176485888"/>
        <c:crosses val="autoZero"/>
        <c:crossBetween val="between"/>
      </c:valAx>
      <c:dTable>
        <c:showHorzBorder val="1"/>
        <c:showVertBorder val="1"/>
        <c:showOutline val="1"/>
        <c:showKeys val="1"/>
        <c:spPr>
          <a:ln w="1925">
            <a:solidFill>
              <a:srgbClr val="000000"/>
            </a:solidFill>
            <a:prstDash val="solid"/>
          </a:ln>
        </c:spPr>
      </c:dTable>
      <c:spPr>
        <a:solidFill>
          <a:schemeClr val="bg1"/>
        </a:solidFill>
        <a:ln w="15399">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Roboto Condensed Light" panose="02000000000000000000" pitchFamily="2" charset="0"/>
          <a:ea typeface="Roboto Condensed Light" panose="02000000000000000000" pitchFamily="2" charset="0"/>
          <a:cs typeface="Arial"/>
        </a:defRPr>
      </a:pPr>
      <a:endParaRPr lang="et-E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6302662283030426E-2"/>
          <c:y val="0.19617275716132385"/>
          <c:w val="0.79031330818558698"/>
          <c:h val="0.53806181305192624"/>
        </c:manualLayout>
      </c:layout>
      <c:pie3DChart>
        <c:varyColors val="1"/>
        <c:ser>
          <c:idx val="0"/>
          <c:order val="0"/>
          <c:tx>
            <c:strRef>
              <c:f>'liha investeeringud'!$N$43</c:f>
              <c:strCache>
                <c:ptCount val="1"/>
                <c:pt idx="0">
                  <c:v>2015</c:v>
                </c:pt>
              </c:strCache>
            </c:strRef>
          </c:tx>
          <c:spPr>
            <a:ln w="10615">
              <a:solidFill>
                <a:srgbClr val="000000"/>
              </a:solidFill>
              <a:prstDash val="solid"/>
            </a:ln>
          </c:spPr>
          <c:explosion val="4"/>
          <c:dPt>
            <c:idx val="0"/>
            <c:bubble3D val="0"/>
            <c:spPr>
              <a:pattFill prst="trellis">
                <a:fgClr>
                  <a:srgbClr xmlns:mc="http://schemas.openxmlformats.org/markup-compatibility/2006" xmlns:a14="http://schemas.microsoft.com/office/drawing/2010/main" val="FFCC00" mc:Ignorable="a14" a14:legacySpreadsheetColorIndex="51"/>
                </a:fgClr>
                <a:bgClr>
                  <a:srgbClr xmlns:mc="http://schemas.openxmlformats.org/markup-compatibility/2006" xmlns:a14="http://schemas.microsoft.com/office/drawing/2010/main" val="9999FF" mc:Ignorable="a14" a14:legacySpreadsheetColorIndex="24"/>
                </a:bgClr>
              </a:pattFill>
              <a:ln w="10615">
                <a:solidFill>
                  <a:srgbClr val="000000"/>
                </a:solidFill>
                <a:prstDash val="solid"/>
              </a:ln>
            </c:spPr>
          </c:dPt>
          <c:dPt>
            <c:idx val="1"/>
            <c:bubble3D val="0"/>
            <c:spPr>
              <a:solidFill>
                <a:schemeClr val="accent2"/>
              </a:solidFill>
              <a:ln w="10615">
                <a:solidFill>
                  <a:srgbClr val="000000"/>
                </a:solidFill>
                <a:prstDash val="solid"/>
              </a:ln>
            </c:spPr>
          </c:dPt>
          <c:dPt>
            <c:idx val="2"/>
            <c:bubble3D val="0"/>
            <c:spPr>
              <a:pattFill prst="pct75">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FFFFCC" mc:Ignorable="a14" a14:legacySpreadsheetColorIndex="26"/>
                </a:bgClr>
              </a:pattFill>
              <a:ln w="10615">
                <a:solidFill>
                  <a:srgbClr val="000000"/>
                </a:solidFill>
                <a:prstDash val="solid"/>
              </a:ln>
            </c:spPr>
          </c:dPt>
          <c:dPt>
            <c:idx val="3"/>
            <c:bubble3D val="0"/>
            <c:spPr>
              <a:solidFill>
                <a:srgbClr val="CCFFFF"/>
              </a:solidFill>
              <a:ln w="10615">
                <a:solidFill>
                  <a:srgbClr val="000000"/>
                </a:solidFill>
                <a:prstDash val="solid"/>
              </a:ln>
            </c:spPr>
          </c:dPt>
          <c:dPt>
            <c:idx val="4"/>
            <c:bubble3D val="0"/>
            <c:spPr>
              <a:solidFill>
                <a:srgbClr val="00B050"/>
              </a:solidFill>
              <a:ln w="10615">
                <a:solidFill>
                  <a:sysClr val="windowText" lastClr="000000"/>
                </a:solidFill>
                <a:prstDash val="solid"/>
              </a:ln>
            </c:spPr>
          </c:dPt>
          <c:dPt>
            <c:idx val="5"/>
            <c:bubble3D val="0"/>
            <c:spPr>
              <a:solidFill>
                <a:srgbClr val="FF8080"/>
              </a:solidFill>
              <a:ln w="10615">
                <a:solidFill>
                  <a:srgbClr val="000000"/>
                </a:solidFill>
                <a:prstDash val="solid"/>
              </a:ln>
            </c:spPr>
          </c:dPt>
          <c:dLbls>
            <c:dLbl>
              <c:idx val="0"/>
              <c:delete val="1"/>
            </c:dLbl>
            <c:dLbl>
              <c:idx val="1"/>
              <c:layout>
                <c:manualLayout>
                  <c:x val="-0.27029396667896194"/>
                  <c:y val="-0.11437995650323811"/>
                </c:manualLayout>
              </c:layout>
              <c:dLblPos val="bestFit"/>
              <c:showLegendKey val="1"/>
              <c:showVal val="0"/>
              <c:showCatName val="1"/>
              <c:showSerName val="0"/>
              <c:showPercent val="1"/>
              <c:showBubbleSize val="0"/>
            </c:dLbl>
            <c:dLbl>
              <c:idx val="2"/>
              <c:layout>
                <c:manualLayout>
                  <c:x val="0"/>
                  <c:y val="-0.41253829308747053"/>
                </c:manualLayout>
              </c:layout>
              <c:dLblPos val="bestFit"/>
              <c:showLegendKey val="1"/>
              <c:showVal val="0"/>
              <c:showCatName val="1"/>
              <c:showSerName val="0"/>
              <c:showPercent val="1"/>
              <c:showBubbleSize val="0"/>
            </c:dLbl>
            <c:dLbl>
              <c:idx val="3"/>
              <c:layout>
                <c:manualLayout>
                  <c:x val="-9.3223490241854057E-2"/>
                  <c:y val="0.18308938622130333"/>
                </c:manualLayout>
              </c:layout>
              <c:dLblPos val="bestFit"/>
              <c:showLegendKey val="1"/>
              <c:showVal val="0"/>
              <c:showCatName val="1"/>
              <c:showSerName val="0"/>
              <c:showPercent val="1"/>
              <c:showBubbleSize val="0"/>
            </c:dLbl>
            <c:dLbl>
              <c:idx val="4"/>
              <c:layout>
                <c:manualLayout>
                  <c:x val="-3.5215513909288683E-2"/>
                  <c:y val="0.16051890642856245"/>
                </c:manualLayout>
              </c:layout>
              <c:dLblPos val="bestFit"/>
              <c:showLegendKey val="1"/>
              <c:showVal val="0"/>
              <c:showCatName val="1"/>
              <c:showSerName val="0"/>
              <c:showPercent val="1"/>
              <c:showBubbleSize val="0"/>
            </c:dLbl>
            <c:dLbl>
              <c:idx val="5"/>
              <c:layout>
                <c:manualLayout>
                  <c:x val="-0.10423570921175138"/>
                  <c:y val="-7.1842098061426704E-2"/>
                </c:manualLayout>
              </c:layout>
              <c:dLblPos val="bestFit"/>
              <c:showLegendKey val="1"/>
              <c:showVal val="0"/>
              <c:showCatName val="1"/>
              <c:showSerName val="0"/>
              <c:showPercent val="1"/>
              <c:showBubbleSize val="0"/>
            </c:dLbl>
            <c:dLbl>
              <c:idx val="6"/>
              <c:layout>
                <c:manualLayout>
                  <c:xMode val="edge"/>
                  <c:yMode val="edge"/>
                  <c:x val="0.47124824684431976"/>
                  <c:y val="0.11483267002545373"/>
                </c:manualLayout>
              </c:layout>
              <c:dLblPos val="bestFit"/>
              <c:showLegendKey val="1"/>
              <c:showVal val="0"/>
              <c:showCatName val="1"/>
              <c:showSerName val="0"/>
              <c:showPercent val="1"/>
              <c:showBubbleSize val="0"/>
            </c:dLbl>
            <c:numFmt formatCode="0.0%" sourceLinked="0"/>
            <c:spPr>
              <a:noFill/>
              <a:ln w="21230">
                <a:noFill/>
              </a:ln>
            </c:spPr>
            <c:showLegendKey val="1"/>
            <c:showVal val="0"/>
            <c:showCatName val="1"/>
            <c:showSerName val="0"/>
            <c:showPercent val="1"/>
            <c:showBubbleSize val="0"/>
            <c:showLeaderLines val="1"/>
          </c:dLbls>
          <c:cat>
            <c:strRef>
              <c:f>'liha investeeringud'!$P$28:$U$28</c:f>
              <c:strCache>
                <c:ptCount val="6"/>
                <c:pt idx="0">
                  <c:v>hoonete ja rajatiste soetamine</c:v>
                </c:pt>
                <c:pt idx="1">
                  <c:v>hoonete ja rajatiste ehitamine ja rekonstrueerimine</c:v>
                </c:pt>
                <c:pt idx="2">
                  <c:v>transpordivahendid</c:v>
                </c:pt>
                <c:pt idx="3">
                  <c:v>arvutid ja arvutisüsteemid</c:v>
                </c:pt>
                <c:pt idx="4">
                  <c:v>muud masinad ja seadmed, inventar*</c:v>
                </c:pt>
                <c:pt idx="5">
                  <c:v>maa</c:v>
                </c:pt>
              </c:strCache>
            </c:strRef>
          </c:cat>
          <c:val>
            <c:numRef>
              <c:f>'liha investeeringud'!$P$43:$U$43</c:f>
              <c:numCache>
                <c:formatCode>0.0</c:formatCode>
                <c:ptCount val="6"/>
                <c:pt idx="0">
                  <c:v>0</c:v>
                </c:pt>
                <c:pt idx="1">
                  <c:v>559.29999999999995</c:v>
                </c:pt>
                <c:pt idx="2">
                  <c:v>122</c:v>
                </c:pt>
                <c:pt idx="3">
                  <c:v>8.8000000000000007</c:v>
                </c:pt>
                <c:pt idx="4">
                  <c:v>1349.5</c:v>
                </c:pt>
                <c:pt idx="5">
                  <c:v>254.3</c:v>
                </c:pt>
              </c:numCache>
            </c:numRef>
          </c:val>
        </c:ser>
        <c:dLbls>
          <c:showLegendKey val="0"/>
          <c:showVal val="0"/>
          <c:showCatName val="0"/>
          <c:showSerName val="0"/>
          <c:showPercent val="0"/>
          <c:showBubbleSize val="0"/>
          <c:showLeaderLines val="1"/>
        </c:dLbls>
      </c:pie3DChart>
      <c:spPr>
        <a:solidFill>
          <a:schemeClr val="bg1"/>
        </a:solidFill>
        <a:ln w="21230">
          <a:noFill/>
        </a:ln>
      </c:spPr>
    </c:plotArea>
    <c:plotVisOnly val="1"/>
    <c:dispBlanksAs val="zero"/>
    <c:showDLblsOverMax val="0"/>
  </c:chart>
  <c:spPr>
    <a:solidFill>
      <a:schemeClr val="bg1"/>
    </a:solidFill>
    <a:ln>
      <a:noFill/>
    </a:ln>
  </c:spPr>
  <c:txPr>
    <a:bodyPr/>
    <a:lstStyle/>
    <a:p>
      <a:pPr>
        <a:defRPr sz="800" b="0" i="0" u="none" strike="noStrike" baseline="0">
          <a:solidFill>
            <a:srgbClr val="000000"/>
          </a:solidFill>
          <a:latin typeface="Roboto Condensed Light" panose="02000000000000000000" pitchFamily="2" charset="0"/>
          <a:ea typeface="Roboto Condensed Light" panose="02000000000000000000" pitchFamily="2" charset="0"/>
          <a:cs typeface="Arial"/>
        </a:defRPr>
      </a:pPr>
      <a:endParaRPr lang="et-E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134296326563666"/>
          <c:y val="5.3254437869822487E-2"/>
          <c:w val="0.69417911821330891"/>
          <c:h val="0.58032942920859265"/>
        </c:manualLayout>
      </c:layout>
      <c:lineChart>
        <c:grouping val="standard"/>
        <c:varyColors val="0"/>
        <c:ser>
          <c:idx val="1"/>
          <c:order val="0"/>
          <c:tx>
            <c:strRef>
              <c:f>jaehinnad!$I$33</c:f>
              <c:strCache>
                <c:ptCount val="1"/>
                <c:pt idx="0">
                  <c:v>sealiha kokkuostuhind</c:v>
                </c:pt>
              </c:strCache>
            </c:strRef>
          </c:tx>
          <c:spPr>
            <a:ln w="50323">
              <a:solidFill>
                <a:srgbClr val="C00000"/>
              </a:solidFill>
              <a:prstDash val="solid"/>
            </a:ln>
          </c:spPr>
          <c:marker>
            <c:symbol val="none"/>
          </c:marker>
          <c:cat>
            <c:strRef>
              <c:f>jaehinnad!$H$36:$H$43</c:f>
              <c:strCache>
                <c:ptCount val="8"/>
                <c:pt idx="0">
                  <c:v>2009</c:v>
                </c:pt>
                <c:pt idx="1">
                  <c:v>2010</c:v>
                </c:pt>
                <c:pt idx="2">
                  <c:v>2011</c:v>
                </c:pt>
                <c:pt idx="3">
                  <c:v>2012</c:v>
                </c:pt>
                <c:pt idx="4">
                  <c:v>2013</c:v>
                </c:pt>
                <c:pt idx="5">
                  <c:v>2014</c:v>
                </c:pt>
                <c:pt idx="6">
                  <c:v>2014
6 kuud</c:v>
                </c:pt>
                <c:pt idx="7">
                  <c:v>2015
6 kuud</c:v>
                </c:pt>
              </c:strCache>
            </c:strRef>
          </c:cat>
          <c:val>
            <c:numRef>
              <c:f>jaehinnad!$I$36:$I$43</c:f>
              <c:numCache>
                <c:formatCode>0.00</c:formatCode>
                <c:ptCount val="8"/>
                <c:pt idx="0">
                  <c:v>1.5125</c:v>
                </c:pt>
                <c:pt idx="1">
                  <c:v>1.4375</c:v>
                </c:pt>
                <c:pt idx="2">
                  <c:v>1.5650000000000002</c:v>
                </c:pt>
                <c:pt idx="3">
                  <c:v>1.6991666666666667</c:v>
                </c:pt>
                <c:pt idx="4">
                  <c:v>1.74</c:v>
                </c:pt>
                <c:pt idx="5">
                  <c:v>1.62</c:v>
                </c:pt>
                <c:pt idx="6">
                  <c:v>1.64</c:v>
                </c:pt>
                <c:pt idx="7">
                  <c:v>1.43</c:v>
                </c:pt>
              </c:numCache>
            </c:numRef>
          </c:val>
          <c:smooth val="0"/>
        </c:ser>
        <c:ser>
          <c:idx val="0"/>
          <c:order val="1"/>
          <c:tx>
            <c:strRef>
              <c:f>jaehinnad!$J$33</c:f>
              <c:strCache>
                <c:ptCount val="1"/>
                <c:pt idx="0">
                  <c:v>veiseliha kokkuostuhind</c:v>
                </c:pt>
              </c:strCache>
            </c:strRef>
          </c:tx>
          <c:spPr>
            <a:ln w="50323"/>
          </c:spPr>
          <c:marker>
            <c:symbol val="none"/>
          </c:marker>
          <c:cat>
            <c:strRef>
              <c:f>jaehinnad!$H$36:$H$43</c:f>
              <c:strCache>
                <c:ptCount val="8"/>
                <c:pt idx="0">
                  <c:v>2009</c:v>
                </c:pt>
                <c:pt idx="1">
                  <c:v>2010</c:v>
                </c:pt>
                <c:pt idx="2">
                  <c:v>2011</c:v>
                </c:pt>
                <c:pt idx="3">
                  <c:v>2012</c:v>
                </c:pt>
                <c:pt idx="4">
                  <c:v>2013</c:v>
                </c:pt>
                <c:pt idx="5">
                  <c:v>2014</c:v>
                </c:pt>
                <c:pt idx="6">
                  <c:v>2014
6 kuud</c:v>
                </c:pt>
                <c:pt idx="7">
                  <c:v>2015
6 kuud</c:v>
                </c:pt>
              </c:strCache>
            </c:strRef>
          </c:cat>
          <c:val>
            <c:numRef>
              <c:f>jaehinnad!$J$36:$J$43</c:f>
              <c:numCache>
                <c:formatCode>0.00</c:formatCode>
                <c:ptCount val="8"/>
                <c:pt idx="0">
                  <c:v>1.7725000000000002</c:v>
                </c:pt>
                <c:pt idx="1">
                  <c:v>1.8125</c:v>
                </c:pt>
                <c:pt idx="2">
                  <c:v>1.9933333333333334</c:v>
                </c:pt>
                <c:pt idx="3">
                  <c:v>2.34</c:v>
                </c:pt>
                <c:pt idx="4">
                  <c:v>2.41</c:v>
                </c:pt>
                <c:pt idx="5">
                  <c:v>2.15</c:v>
                </c:pt>
                <c:pt idx="6" formatCode="General">
                  <c:v>2.23</c:v>
                </c:pt>
                <c:pt idx="7">
                  <c:v>2.02</c:v>
                </c:pt>
              </c:numCache>
            </c:numRef>
          </c:val>
          <c:smooth val="0"/>
        </c:ser>
        <c:ser>
          <c:idx val="2"/>
          <c:order val="2"/>
          <c:tx>
            <c:strRef>
              <c:f>jaehinnad!$K$33</c:f>
              <c:strCache>
                <c:ptCount val="1"/>
                <c:pt idx="0">
                  <c:v>sealiha jaehind</c:v>
                </c:pt>
              </c:strCache>
            </c:strRef>
          </c:tx>
          <c:spPr>
            <a:ln w="50323"/>
          </c:spPr>
          <c:marker>
            <c:symbol val="none"/>
          </c:marker>
          <c:cat>
            <c:strRef>
              <c:f>jaehinnad!$H$36:$H$43</c:f>
              <c:strCache>
                <c:ptCount val="8"/>
                <c:pt idx="0">
                  <c:v>2009</c:v>
                </c:pt>
                <c:pt idx="1">
                  <c:v>2010</c:v>
                </c:pt>
                <c:pt idx="2">
                  <c:v>2011</c:v>
                </c:pt>
                <c:pt idx="3">
                  <c:v>2012</c:v>
                </c:pt>
                <c:pt idx="4">
                  <c:v>2013</c:v>
                </c:pt>
                <c:pt idx="5">
                  <c:v>2014</c:v>
                </c:pt>
                <c:pt idx="6">
                  <c:v>2014
6 kuud</c:v>
                </c:pt>
                <c:pt idx="7">
                  <c:v>2015
6 kuud</c:v>
                </c:pt>
              </c:strCache>
            </c:strRef>
          </c:cat>
          <c:val>
            <c:numRef>
              <c:f>jaehinnad!$K$36:$K$43</c:f>
              <c:numCache>
                <c:formatCode>0.00</c:formatCode>
                <c:ptCount val="8"/>
                <c:pt idx="0">
                  <c:v>5.1850000000000005</c:v>
                </c:pt>
                <c:pt idx="1">
                  <c:v>4.9450000000000003</c:v>
                </c:pt>
                <c:pt idx="2">
                  <c:v>5.1224999999999996</c:v>
                </c:pt>
                <c:pt idx="3">
                  <c:v>5.44</c:v>
                </c:pt>
                <c:pt idx="4">
                  <c:v>5.39</c:v>
                </c:pt>
                <c:pt idx="5">
                  <c:v>5.2</c:v>
                </c:pt>
                <c:pt idx="6">
                  <c:v>5.3524999999999991</c:v>
                </c:pt>
                <c:pt idx="7">
                  <c:v>4.7349999999999994</c:v>
                </c:pt>
              </c:numCache>
            </c:numRef>
          </c:val>
          <c:smooth val="0"/>
        </c:ser>
        <c:ser>
          <c:idx val="3"/>
          <c:order val="3"/>
          <c:tx>
            <c:strRef>
              <c:f>jaehinnad!$L$33</c:f>
              <c:strCache>
                <c:ptCount val="1"/>
                <c:pt idx="0">
                  <c:v>veiseliha jaehind</c:v>
                </c:pt>
              </c:strCache>
            </c:strRef>
          </c:tx>
          <c:spPr>
            <a:ln w="50323"/>
          </c:spPr>
          <c:marker>
            <c:symbol val="none"/>
          </c:marker>
          <c:cat>
            <c:strRef>
              <c:f>jaehinnad!$H$36:$H$43</c:f>
              <c:strCache>
                <c:ptCount val="8"/>
                <c:pt idx="0">
                  <c:v>2009</c:v>
                </c:pt>
                <c:pt idx="1">
                  <c:v>2010</c:v>
                </c:pt>
                <c:pt idx="2">
                  <c:v>2011</c:v>
                </c:pt>
                <c:pt idx="3">
                  <c:v>2012</c:v>
                </c:pt>
                <c:pt idx="4">
                  <c:v>2013</c:v>
                </c:pt>
                <c:pt idx="5">
                  <c:v>2014</c:v>
                </c:pt>
                <c:pt idx="6">
                  <c:v>2014
6 kuud</c:v>
                </c:pt>
                <c:pt idx="7">
                  <c:v>2015
6 kuud</c:v>
                </c:pt>
              </c:strCache>
            </c:strRef>
          </c:cat>
          <c:val>
            <c:numRef>
              <c:f>jaehinnad!$L$36:$L$43</c:f>
              <c:numCache>
                <c:formatCode>0.00</c:formatCode>
                <c:ptCount val="8"/>
                <c:pt idx="0">
                  <c:v>6.5350000000000001</c:v>
                </c:pt>
                <c:pt idx="1">
                  <c:v>6.8874999999999993</c:v>
                </c:pt>
                <c:pt idx="2">
                  <c:v>6.719444444444445</c:v>
                </c:pt>
                <c:pt idx="3">
                  <c:v>7.16</c:v>
                </c:pt>
                <c:pt idx="4">
                  <c:v>7.92</c:v>
                </c:pt>
                <c:pt idx="5">
                  <c:v>8.23</c:v>
                </c:pt>
                <c:pt idx="6">
                  <c:v>8.4699999999999989</c:v>
                </c:pt>
                <c:pt idx="7">
                  <c:v>7.3900000000000006</c:v>
                </c:pt>
              </c:numCache>
            </c:numRef>
          </c:val>
          <c:smooth val="0"/>
        </c:ser>
        <c:dLbls>
          <c:showLegendKey val="0"/>
          <c:showVal val="0"/>
          <c:showCatName val="0"/>
          <c:showSerName val="0"/>
          <c:showPercent val="0"/>
          <c:showBubbleSize val="0"/>
        </c:dLbls>
        <c:marker val="1"/>
        <c:smooth val="0"/>
        <c:axId val="297324544"/>
        <c:axId val="297326464"/>
      </c:lineChart>
      <c:catAx>
        <c:axId val="297324544"/>
        <c:scaling>
          <c:orientation val="minMax"/>
        </c:scaling>
        <c:delete val="0"/>
        <c:axPos val="b"/>
        <c:majorGridlines>
          <c:spPr>
            <a:ln w="2097">
              <a:solidFill>
                <a:schemeClr val="tx1">
                  <a:lumMod val="50000"/>
                  <a:lumOff val="50000"/>
                </a:schemeClr>
              </a:solidFill>
              <a:prstDash val="solid"/>
            </a:ln>
          </c:spPr>
        </c:majorGridlines>
        <c:title>
          <c:tx>
            <c:rich>
              <a:bodyPr/>
              <a:lstStyle/>
              <a:p>
                <a:pPr>
                  <a:defRPr/>
                </a:pPr>
                <a:r>
                  <a:rPr lang="et-EE"/>
                  <a:t>Allikas: EKI, EMOR, MM arvutused;  jaehind = kauplustes  müügil olev liha (kondita+ kondiga) </a:t>
                </a:r>
              </a:p>
            </c:rich>
          </c:tx>
          <c:layout>
            <c:manualLayout>
              <c:xMode val="edge"/>
              <c:yMode val="edge"/>
              <c:x val="9.7743481417006967E-3"/>
              <c:y val="0.91681107867211098"/>
            </c:manualLayout>
          </c:layout>
          <c:overlay val="0"/>
          <c:spPr>
            <a:noFill/>
            <a:ln w="16774">
              <a:noFill/>
            </a:ln>
          </c:spPr>
        </c:title>
        <c:numFmt formatCode="General" sourceLinked="1"/>
        <c:majorTickMark val="out"/>
        <c:minorTickMark val="none"/>
        <c:tickLblPos val="nextTo"/>
        <c:spPr>
          <a:ln w="2097">
            <a:solidFill>
              <a:srgbClr val="000000"/>
            </a:solidFill>
            <a:prstDash val="solid"/>
          </a:ln>
        </c:spPr>
        <c:txPr>
          <a:bodyPr rot="0" vert="horz"/>
          <a:lstStyle/>
          <a:p>
            <a:pPr>
              <a:defRPr/>
            </a:pPr>
            <a:endParaRPr lang="et-EE"/>
          </a:p>
        </c:txPr>
        <c:crossAx val="297326464"/>
        <c:crosses val="autoZero"/>
        <c:auto val="0"/>
        <c:lblAlgn val="ctr"/>
        <c:lblOffset val="100"/>
        <c:noMultiLvlLbl val="0"/>
      </c:catAx>
      <c:valAx>
        <c:axId val="297326464"/>
        <c:scaling>
          <c:orientation val="minMax"/>
        </c:scaling>
        <c:delete val="0"/>
        <c:axPos val="l"/>
        <c:majorGridlines>
          <c:spPr>
            <a:ln w="2097">
              <a:solidFill>
                <a:schemeClr val="tx1">
                  <a:lumMod val="50000"/>
                  <a:lumOff val="50000"/>
                </a:schemeClr>
              </a:solidFill>
              <a:prstDash val="solid"/>
            </a:ln>
          </c:spPr>
        </c:majorGridlines>
        <c:title>
          <c:tx>
            <c:rich>
              <a:bodyPr/>
              <a:lstStyle/>
              <a:p>
                <a:pPr>
                  <a:defRPr/>
                </a:pPr>
                <a:r>
                  <a:rPr lang="et-EE"/>
                  <a:t>eurot kilogramm</a:t>
                </a:r>
              </a:p>
            </c:rich>
          </c:tx>
          <c:layout>
            <c:manualLayout>
              <c:xMode val="edge"/>
              <c:yMode val="edge"/>
              <c:x val="2.1472534050758767E-2"/>
              <c:y val="0.19230760454393908"/>
            </c:manualLayout>
          </c:layout>
          <c:overlay val="0"/>
          <c:spPr>
            <a:noFill/>
            <a:ln w="16774">
              <a:noFill/>
            </a:ln>
          </c:spPr>
        </c:title>
        <c:numFmt formatCode="0" sourceLinked="0"/>
        <c:majorTickMark val="out"/>
        <c:minorTickMark val="none"/>
        <c:tickLblPos val="nextTo"/>
        <c:spPr>
          <a:ln w="2097">
            <a:solidFill>
              <a:srgbClr val="000000"/>
            </a:solidFill>
            <a:prstDash val="solid"/>
          </a:ln>
        </c:spPr>
        <c:txPr>
          <a:bodyPr rot="0" vert="horz"/>
          <a:lstStyle/>
          <a:p>
            <a:pPr>
              <a:defRPr/>
            </a:pPr>
            <a:endParaRPr lang="et-EE"/>
          </a:p>
        </c:txPr>
        <c:crossAx val="297324544"/>
        <c:crosses val="autoZero"/>
        <c:crossBetween val="between"/>
      </c:valAx>
      <c:dTable>
        <c:showHorzBorder val="1"/>
        <c:showVertBorder val="1"/>
        <c:showOutline val="1"/>
        <c:showKeys val="1"/>
        <c:spPr>
          <a:ln w="2097">
            <a:solidFill>
              <a:srgbClr val="000000"/>
            </a:solidFill>
            <a:prstDash val="solid"/>
          </a:ln>
        </c:spPr>
      </c:dTable>
      <c:spPr>
        <a:solidFill>
          <a:schemeClr val="bg1"/>
        </a:solidFill>
        <a:ln w="16774">
          <a:noFill/>
        </a:ln>
      </c:spPr>
    </c:plotArea>
    <c:plotVisOnly val="1"/>
    <c:dispBlanksAs val="gap"/>
    <c:showDLblsOverMax val="0"/>
  </c:chart>
  <c:spPr>
    <a:solidFill>
      <a:srgbClr val="FFFFFF"/>
    </a:solidFill>
    <a:ln>
      <a:noFill/>
    </a:ln>
  </c:spPr>
  <c:txPr>
    <a:bodyPr/>
    <a:lstStyle/>
    <a:p>
      <a:pPr>
        <a:defRPr sz="660" b="0" i="0" u="none" strike="noStrike" baseline="0">
          <a:solidFill>
            <a:srgbClr val="000000"/>
          </a:solidFill>
          <a:latin typeface="Roboto Condensed Light" panose="02000000000000000000" pitchFamily="2" charset="0"/>
          <a:ea typeface="Roboto Condensed Light" panose="02000000000000000000" pitchFamily="2" charset="0"/>
          <a:cs typeface="Arial"/>
        </a:defRPr>
      </a:pPr>
      <a:endParaRPr lang="et-E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1565</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Lihatööstussektori 2015. aasta I poolaasta ülevaade</vt:lpstr>
    </vt:vector>
  </TitlesOfParts>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Lihatööstussektori 2015. aasta I poolaasta ülevaade</dc:title>
  <dc:creator>Maaeluministeerium; Martin Pretke</dc:creator>
  <cp:keywords>lihatööstussektor;ülevaade;põllumajandus;toiduturg;põllumajandus ja toiduturg;statistika</cp:keywords>
  <dc:description>Maaeluministeerium</dc:description>
  <cp:lastModifiedBy/>
  <cp:revision>1</cp:revision>
  <dcterms:created xsi:type="dcterms:W3CDTF">2015-10-09T12:24:00Z</dcterms:created>
  <dcterms:modified xsi:type="dcterms:W3CDTF">2015-10-09T12:24:00Z</dcterms:modified>
</cp:coreProperties>
</file>